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906ae8e681f249af" /><Relationship Type="http://schemas.openxmlformats.org/package/2006/relationships/metadata/core-properties" Target="/docProps/core.xml" Id="R8fec7f8ea5cc4b83" /><Relationship Type="http://schemas.openxmlformats.org/officeDocument/2006/relationships/extended-properties" Target="/docProps/app.xml" Id="Ra6a6cf40d5954463" /><Relationship Type="http://schemas.openxmlformats.org/officeDocument/2006/relationships/custom-properties" Target="/docProps/custom.xml" Id="Rf17064f226e24d42"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G: Change Pack</w:t>
      </w:r>
    </w:p>
    <w:p>
      <w:pPr>
        <w:pStyle w:val="heading 1"/>
      </w:pPr>
      <w:r>
        <w:t>G1: 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2601</w:t>
            </w:r>
            <w:r>
              <w:rPr>
                <w:rFonts w:cs="Arial"/>
              </w:rPr>
              <w:t>.1</w:t>
            </w:r>
            <w:r>
              <w:rPr>
                <w:rFonts w:cs="Arial"/>
              </w:rPr>
              <w:t xml:space="preserve"> - MT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rFonts w:cs="Arial"/>
              </w:rPr>
              <w:t xml:space="preserve">Gas Charging Regime – update on </w:t>
            </w:r>
            <w:r>
              <w:rPr>
                <w:rFonts w:cs="Arial"/>
              </w:rPr>
              <w:t>UNC0</w:t>
            </w:r>
            <w:r>
              <w:rPr>
                <w:rFonts w:cs="Arial"/>
              </w:rPr>
              <w:t>678</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sdt>
            <w:sdtPr>
              <w:rPr>
                <w:rFonts w:cs="Arial"/>
              </w:rPr>
              <w:id w:val="738138613"/>
              <w:date w:fullDate="2020-06-05T00:00:00Z">
                <w:dateFormat w:val="dd/MM/yyyy"/>
                <w:lid w:val="en-GB"/>
                <w:storeMappedDataAs w:val="dateTime"/>
                <w:calendar w:val="gregorian"/>
              </w:date>
            </w:sdtPr>
            <w:sdtContent>
              <w:p>
                <w:pPr/>
                <w:r>
                  <w:rPr>
                    <w:rFonts w:cs="Arial"/>
                  </w:rPr>
                  <w:t>05/06/2020</w:t>
                </w:r>
              </w:p>
            </w:sdtContent>
          </w:sdt>
        </w:tc>
      </w:tr>
    </w:tbl>
    <w:p>
      <w:pPr/>
      <w:r>
        <w:t>Comm Date is when the Change Pack is being published for the Industry (Monday after ChMC)</w:t>
      </w:r>
    </w:p>
    <w:p>
      <w:pPr>
        <w:rPr>
          <w:b w:val="1"/>
          <w:bCs w:val="1"/>
          <w:color w:val="3E5AA8"/>
          <w:sz w:val="28"/>
          <w:szCs w:val="28"/>
        </w:rPr>
        <w:spacing w:after="0"/>
      </w:pPr>
      <w:r>
        <w:rPr>
          <w:b w:val="1"/>
          <w:bCs w:val="1"/>
          <w:color w:val="3E5AA8"/>
          <w:sz w:val="28"/>
          <w:szCs w:val="28"/>
        </w:rPr>
        <w:t xml:space="preserve">G2: </w:t>
      </w: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 xml:space="preserve">‘For </w:t>
            </w:r>
            <w:r>
              <w:rPr>
                <w:rFonts w:cs="Arial"/>
              </w:rPr>
              <w:t>Representation</w:t>
            </w:r>
            <w:r>
              <w:rPr>
                <w:rFonts w:cs="Arial"/>
              </w:rPr>
              <w:t>’</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sdt>
            <w:sdtPr>
              <w:rPr>
                <w:rFonts w:cs="Arial"/>
              </w:rPr>
              <w:id w:val="2100211890"/>
              <w:date w:fullDate="2020-06-19T00:00:00Z">
                <w:dateFormat w:val="dd/MM/yyyy"/>
                <w:lid w:val="en-GB"/>
                <w:storeMappedDataAs w:val="dateTime"/>
                <w:calendar w:val="gregorian"/>
              </w:date>
            </w:sdtPr>
            <w:sdtContent>
              <w:p>
                <w:pPr/>
                <w:r>
                  <w:rPr>
                    <w:rFonts w:cs="Arial"/>
                  </w:rPr>
                  <w:t>19/06/2020</w:t>
                </w:r>
              </w:p>
            </w:sdtContent>
          </w:sdt>
        </w:tc>
      </w:tr>
    </w:tbl>
    <w:p>
      <w:pPr>
        <w:pStyle w:val="heading 1"/>
      </w:pPr>
      <w:r>
        <w:t>G3: 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w:t>
            </w:r>
            <w:r>
              <w:rPr>
                <w:rFonts w:cs="Arial"/>
              </w:rPr>
              <w:t>4376</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Functional change</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 Class A, Shipper Class B, Shipper Class C and NTS</w:t>
            </w:r>
          </w:p>
          <w:p>
            <w:pPr>
              <w:rPr>
                <w:rFonts w:cs="Arial"/>
              </w:rPr>
            </w:pP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sz w:val="18"/>
                <w:szCs w:val="18"/>
              </w:rPr>
            </w:pPr>
            <w:r>
              <w:rPr>
                <w:rFonts w:cs="Arial"/>
              </w:rPr>
              <w:t xml:space="preserve">Rachel Addison </w:t>
            </w:r>
            <w:hyperlink r:id="Rbc86b5fd9eca47e3">
              <w:r>
                <w:rPr>
                  <w:rStyle w:val="Hyperlink"/>
                  <w:rFonts w:cs="Arial"/>
                  <w:sz w:val="18"/>
                  <w:szCs w:val="18"/>
                </w:rPr>
                <w:t>Rachel.addison@xoserve.com</w:t>
              </w:r>
            </w:hyperlink>
          </w:p>
          <w:p>
            <w:pPr>
              <w:rPr>
                <w:rFonts w:cs="Arial"/>
              </w:rPr>
            </w:pPr>
            <w:r>
              <w:rPr>
                <w:rFonts w:cs="Arial"/>
              </w:rPr>
              <w:t>0121 229 2528</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rFonts w:cs="Arial"/>
              </w:rPr>
              <w:spacing w:before="60" w:after="60"/>
            </w:pPr>
            <w:r>
              <w:rPr>
                <w:rFonts w:cs="Arial"/>
              </w:rPr>
              <w:t xml:space="preserve">The purpose of this communication is to provide an update on </w:t>
            </w:r>
            <w:r>
              <w:rPr>
                <w:rFonts w:cs="Arial"/>
              </w:rPr>
              <w:t>UNC0</w:t>
            </w:r>
            <w:r>
              <w:rPr>
                <w:rFonts w:cs="Arial"/>
              </w:rPr>
              <w:t xml:space="preserve">678, the GB Gas Charging review. </w:t>
            </w:r>
            <w:r>
              <w:rPr>
                <w:rFonts w:cs="Arial"/>
              </w:rPr>
              <w:t>O</w:t>
            </w:r>
            <w:r>
              <w:t xml:space="preserve">n </w:t>
            </w:r>
            <w:r>
              <w:t xml:space="preserve">28th </w:t>
            </w:r>
            <w:r>
              <w:t>May</w:t>
            </w:r>
            <w:r>
              <w:t xml:space="preserve"> 2020</w:t>
            </w:r>
            <w:r>
              <w:t xml:space="preserve"> O</w:t>
            </w:r>
            <w:r>
              <w:t>FGEM</w:t>
            </w:r>
            <w:r>
              <w:t xml:space="preserve"> decided to implement UNC0678</w:t>
            </w:r>
            <w:r>
              <w:t>A.</w:t>
            </w:r>
            <w:r>
              <w:t xml:space="preserve"> This delivers major changes to the GB charging framework including changes to the calculation, application and invoicing of Transmission and </w:t>
            </w:r>
            <w:r>
              <w:t>Non-Transmission</w:t>
            </w:r>
            <w:r>
              <w:t xml:space="preserve"> Charges</w:t>
            </w:r>
            <w:r>
              <w:t>.</w:t>
            </w:r>
          </w:p>
          <w:p>
            <w:pPr>
              <w:rPr>
                <w:rFonts w:cs="Arial"/>
                <w:lang w:val="en-US"/>
              </w:rPr>
              <w:spacing w:before="60" w:after="60"/>
            </w:pPr>
            <w:r>
              <w:rPr>
                <w:rFonts w:cs="Arial"/>
              </w:rPr>
              <w:t>T</w:t>
            </w:r>
            <w:r>
              <w:rPr>
                <w:rFonts w:cs="Arial"/>
              </w:rPr>
              <w:t xml:space="preserve">o support delivery of the relevant requirements, and as referenced in Communication ref. </w:t>
            </w:r>
            <w:r>
              <w:rPr>
                <w:rFonts w:cs="Arial"/>
              </w:rPr>
              <w:t xml:space="preserve">2178.1 – RJ – ES; </w:t>
            </w:r>
            <w:r>
              <w:rPr>
                <w:rFonts w:cs="Arial"/>
              </w:rPr>
              <w:t xml:space="preserve">changes are required to both UK Link Gemini and the UK Link System Application. </w:t>
            </w:r>
            <w:r>
              <w:rPr>
                <w:rFonts w:cs="Arial"/>
              </w:rPr>
              <w:t>T</w:t>
            </w:r>
            <w:r>
              <w:rPr>
                <w:rFonts w:cs="Arial"/>
              </w:rPr>
              <w:t xml:space="preserve">hese changes will become effective in the systems from 01/10/2020. </w:t>
            </w:r>
          </w:p>
          <w:p>
            <w:pPr>
              <w:rPr>
                <w:rFonts w:cs="Arial"/>
              </w:rPr>
            </w:pPr>
          </w:p>
          <w:p>
            <w:pPr>
              <w:rPr>
                <w:rFonts w:cs="Arial"/>
                <w:lang w:val="en-US"/>
              </w:rPr>
              <w:jc w:val="both"/>
            </w:pPr>
            <w:r>
              <w:rPr>
                <w:rFonts w:cs="Arial"/>
                <w:lang w:val="en-US"/>
              </w:rPr>
              <w:t xml:space="preserve">National Grid </w:t>
            </w:r>
            <w:r>
              <w:rPr>
                <w:rFonts w:cs="Arial"/>
                <w:lang w:val="en-US"/>
              </w:rPr>
              <w:t xml:space="preserve">has also </w:t>
            </w:r>
            <w:r>
              <w:rPr>
                <w:rFonts w:cs="Arial"/>
                <w:lang w:val="en-US"/>
              </w:rPr>
              <w:t>issue</w:t>
            </w:r>
            <w:r>
              <w:rPr>
                <w:rFonts w:cs="Arial"/>
                <w:lang w:val="en-US"/>
              </w:rPr>
              <w:t>d</w:t>
            </w:r>
            <w:r>
              <w:rPr>
                <w:rFonts w:cs="Arial"/>
                <w:lang w:val="en-US"/>
              </w:rPr>
              <w:t xml:space="preserve"> a separate </w:t>
            </w:r>
            <w:r>
              <w:rPr>
                <w:rFonts w:cs="Arial"/>
                <w:lang w:val="en-US"/>
              </w:rPr>
              <w:t>article entitled ‘Amendments to the Gas Charging Regime’</w:t>
            </w:r>
            <w:r>
              <w:rPr>
                <w:rFonts w:cs="Arial"/>
                <w:lang w:val="en-US"/>
              </w:rPr>
              <w:t xml:space="preserve"> providing </w:t>
            </w:r>
            <w:r>
              <w:rPr>
                <w:rFonts w:cs="Arial"/>
                <w:lang w:val="en-US"/>
              </w:rPr>
              <w:t xml:space="preserve">an overview as to the impacts of this change. </w:t>
            </w:r>
          </w:p>
          <w:p>
            <w:pPr>
              <w:rPr>
                <w:rFonts w:cs="Arial"/>
              </w:rPr>
            </w:pPr>
          </w:p>
          <w:p>
            <w:pPr/>
          </w:p>
        </w:tc>
      </w:tr>
    </w:tbl>
    <w:p>
      <w:pPr>
        <w:pStyle w:val="heading 1"/>
      </w:pPr>
      <w:r>
        <w:t xml:space="preserve">G4: </w:t>
      </w:r>
      <w:r>
        <w:t>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tcPr>
          <w:p>
            <w:pPr>
              <w:rPr>
                <w:rFonts w:cs="Arial"/>
              </w:rPr>
            </w:pPr>
            <w:r>
              <w:rPr>
                <w:rFonts w:cs="Arial"/>
              </w:rPr>
              <w:t xml:space="preserve">System changes </w:t>
            </w:r>
            <w:r>
              <w:rPr>
                <w:rFonts w:cs="Arial"/>
              </w:rPr>
              <w:t xml:space="preserve">are required </w:t>
            </w:r>
            <w:r>
              <w:rPr>
                <w:rFonts w:cs="Arial"/>
              </w:rPr>
              <w:t>to both UK</w:t>
            </w:r>
            <w:r>
              <w:rPr>
                <w:rFonts w:cs="Arial"/>
              </w:rPr>
              <w:t>L</w:t>
            </w:r>
            <w:r>
              <w:rPr>
                <w:rFonts w:cs="Arial"/>
              </w:rPr>
              <w:t>ink and Gemini</w:t>
            </w:r>
            <w:r>
              <w:rPr>
                <w:rFonts w:cs="Arial"/>
              </w:rPr>
              <w:t>.</w:t>
            </w:r>
          </w:p>
          <w:p>
            <w:pPr>
              <w:rPr>
                <w:b w:val="1"/>
                <w:bCs w:val="1"/>
                <w:rFonts w:cs="Arial"/>
              </w:rPr>
            </w:pPr>
            <w:r>
              <w:rPr>
                <w:b w:val="1"/>
                <w:bCs w:val="1"/>
                <w:rFonts w:cs="Arial"/>
              </w:rPr>
              <w:t xml:space="preserve">UKLink Change: </w:t>
            </w:r>
          </w:p>
          <w:p>
            <w:pPr>
              <w:rPr>
                <w:rFonts w:cs="Arial"/>
              </w:rPr>
              <w:numPr>
                <w:ilvl w:val="0"/>
                <w:numId w:val="1"/>
              </w:numPr>
              <w:pStyle w:val="List Paragraph"/>
            </w:pPr>
            <w:r>
              <w:rPr>
                <w:rFonts w:cs="Arial"/>
              </w:rPr>
              <w:t xml:space="preserve">Supply Point </w:t>
            </w:r>
            <w:r>
              <w:rPr>
                <w:rFonts w:cs="Arial"/>
              </w:rPr>
              <w:t xml:space="preserve">Administration and </w:t>
            </w:r>
            <w:r>
              <w:rPr>
                <w:rFonts w:cs="Arial"/>
              </w:rPr>
              <w:t>Registration</w:t>
            </w:r>
            <w:r>
              <w:rPr>
                <w:rFonts w:cs="Arial"/>
              </w:rPr>
              <w:t>.</w:t>
            </w:r>
            <w:r>
              <w:rPr>
                <w:rFonts w:cs="Arial"/>
              </w:rPr>
              <w:t xml:space="preserve">  </w:t>
            </w:r>
          </w:p>
          <w:p>
            <w:pPr>
              <w:rPr>
                <w:rFonts w:cs="Arial"/>
              </w:rPr>
              <w:numPr>
                <w:ilvl w:val="0"/>
                <w:numId w:val="1"/>
              </w:numPr>
              <w:pStyle w:val="List Paragraph"/>
            </w:pPr>
            <w:r>
              <w:rPr>
                <w:rFonts w:cs="Arial"/>
              </w:rPr>
              <w:t xml:space="preserve">Invoicing: </w:t>
            </w:r>
            <w:r>
              <w:rPr>
                <w:rFonts w:cs="Arial"/>
              </w:rPr>
              <w:t xml:space="preserve">NTS </w:t>
            </w:r>
            <w:r>
              <w:rPr>
                <w:rFonts w:cs="Arial"/>
              </w:rPr>
              <w:t>E</w:t>
            </w:r>
            <w:r>
              <w:rPr>
                <w:rFonts w:cs="Arial"/>
              </w:rPr>
              <w:t xml:space="preserve">xit Commodity Invoice </w:t>
            </w:r>
            <w:r>
              <w:rPr>
                <w:rFonts w:cs="Arial"/>
              </w:rPr>
              <w:t xml:space="preserve">(.COM) </w:t>
            </w:r>
            <w:r>
              <w:rPr>
                <w:rFonts w:cs="Arial"/>
              </w:rPr>
              <w:t xml:space="preserve">and </w:t>
            </w:r>
            <w:r>
              <w:rPr>
                <w:rFonts w:cs="Arial"/>
              </w:rPr>
              <w:t>Amendment</w:t>
            </w:r>
            <w:r>
              <w:rPr>
                <w:rFonts w:cs="Arial"/>
              </w:rPr>
              <w:t xml:space="preserve"> Invoice</w:t>
            </w:r>
            <w:r>
              <w:rPr>
                <w:rFonts w:cs="Arial"/>
              </w:rPr>
              <w:t xml:space="preserve"> (.AMS)</w:t>
            </w:r>
          </w:p>
          <w:p>
            <w:pPr>
              <w:rPr>
                <w:rFonts w:cs="Arial"/>
              </w:rPr>
              <w:numPr>
                <w:ilvl w:val="0"/>
                <w:numId w:val="1"/>
              </w:numPr>
              <w:pStyle w:val="List Paragraph"/>
            </w:pPr>
            <w:r>
              <w:rPr>
                <w:rFonts w:cs="Arial"/>
              </w:rPr>
              <w:t>NGT pricing Template (.PCD)</w:t>
            </w:r>
          </w:p>
          <w:p>
            <w:pPr>
              <w:rPr>
                <w:rFonts w:cs="Arial"/>
              </w:rPr>
              <w:numPr>
                <w:ilvl w:val="0"/>
                <w:numId w:val="1"/>
              </w:numPr>
              <w:pStyle w:val="List Paragraph"/>
            </w:pPr>
            <w:r>
              <w:rPr>
                <w:rFonts w:cs="Arial"/>
              </w:rPr>
              <w:t>RTB template</w:t>
            </w:r>
          </w:p>
          <w:p>
            <w:pPr>
              <w:rPr>
                <w:rFonts w:cs="Arial"/>
              </w:rPr>
              <w:numPr>
                <w:ilvl w:val="0"/>
                <w:numId w:val="1"/>
              </w:numPr>
              <w:pStyle w:val="List Paragraph"/>
            </w:pPr>
            <w:r>
              <w:rPr>
                <w:rFonts w:cs="Arial"/>
              </w:rPr>
              <w:t xml:space="preserve">Gemini </w:t>
            </w:r>
            <w:r>
              <w:rPr>
                <w:rFonts w:cs="Arial"/>
              </w:rPr>
              <w:t>Invoice file formats and new Charge Type Codes</w:t>
            </w:r>
            <w:r>
              <w:rPr>
                <w:rFonts w:cs="Arial"/>
              </w:rPr>
              <w:t xml:space="preserve"> for Invoices</w:t>
            </w:r>
            <w:r>
              <w:rPr>
                <w:rFonts w:cs="Arial"/>
              </w:rPr>
              <w:t>:</w:t>
            </w:r>
          </w:p>
          <w:p>
            <w:pPr>
              <w:rPr>
                <w:rFonts w:cs="Arial"/>
              </w:rPr>
              <w:pStyle w:val="List Paragraph"/>
            </w:pPr>
            <w:r>
              <w:rPr>
                <w:rFonts w:cs="Arial"/>
              </w:rPr>
              <w:t>a</w:t>
            </w:r>
            <w:r>
              <w:rPr>
                <w:rFonts w:cs="Arial"/>
              </w:rPr>
              <w:t xml:space="preserve"> Optional Tariff Adjustment Invoice (.OTA) </w:t>
            </w:r>
          </w:p>
          <w:p>
            <w:pPr>
              <w:rPr>
                <w:rFonts w:cs="Arial"/>
              </w:rPr>
              <w:pStyle w:val="List Paragraph"/>
            </w:pPr>
            <w:r>
              <w:rPr>
                <w:rFonts w:cs="Arial"/>
              </w:rPr>
              <w:t>b NTS Entry Capacity(.NTE)</w:t>
            </w:r>
          </w:p>
          <w:p>
            <w:pPr>
              <w:rPr>
                <w:rFonts w:cs="Arial"/>
              </w:rPr>
              <w:pStyle w:val="List Paragraph"/>
            </w:pPr>
            <w:r>
              <w:rPr>
                <w:rFonts w:cs="Arial"/>
              </w:rPr>
              <w:t>c NTS Exit Capacity (.NXC)</w:t>
            </w:r>
          </w:p>
          <w:p>
            <w:pPr>
              <w:rPr>
                <w:rFonts w:cs="Arial"/>
              </w:rPr>
              <w:pStyle w:val="List Paragraph"/>
            </w:pPr>
            <w:r>
              <w:rPr>
                <w:rFonts w:cs="Arial"/>
              </w:rPr>
              <w:t xml:space="preserve">d NTS Entry Commodity (.ECO) </w:t>
            </w:r>
          </w:p>
          <w:p>
            <w:pPr>
              <w:rPr>
                <w:rFonts w:cs="Arial"/>
              </w:rPr>
            </w:pPr>
            <w:r>
              <w:rPr>
                <w:rFonts w:cs="Arial"/>
              </w:rPr>
              <w:t xml:space="preserve"> </w:t>
            </w: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tcPr>
          <w:p>
            <w:pPr>
              <w:rPr>
                <w:rFonts w:cs="Arial"/>
              </w:rPr>
            </w:pPr>
            <w:r>
              <w:rPr>
                <w:rFonts w:cs="Arial"/>
              </w:rPr>
              <w:t>Transaction Volume, Data Volume, Performance,</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tcPr>
          <w:p>
            <w:pPr>
              <w:rPr>
                <w:rFonts w:cs="Arial"/>
                <w:highlight w:val="yellow"/>
              </w:rPr>
            </w:pPr>
            <w:r>
              <w:rPr>
                <w:rFonts w:cs="Arial"/>
              </w:rPr>
              <w:t>SAP ISU, SAP BW, AMT, PO, Gemini</w:t>
            </w:r>
          </w:p>
        </w:tc>
      </w:tr>
      <w:tr>
        <w:trPr>
          <w:trHeight w:hRule="atLeast" w:val="403"/>
        </w:trPr>
        <w:tc>
          <w:tcPr>
            <w:shd w:val="clear" w:fill="B3EDFB"/>
            <w:tcW w:type="pct" w:w="1223"/>
            <w:vAlign w:val="center"/>
          </w:tcPr>
          <w:p>
            <w:pPr>
              <w:rPr>
                <w:rFonts w:cs="Arial"/>
              </w:rPr>
              <w:jc w:val="right"/>
            </w:pPr>
            <w:r>
              <w:rPr>
                <w:rFonts w:cs="Arial"/>
              </w:rPr>
              <w:t>User</w:t>
            </w:r>
            <w:r>
              <w:rPr>
                <w:rFonts w:cs="Arial"/>
              </w:rPr>
              <w:t>(s)</w:t>
            </w:r>
            <w:r>
              <w:rPr>
                <w:rFonts w:cs="Arial"/>
              </w:rPr>
              <w:t>:</w:t>
            </w:r>
          </w:p>
        </w:tc>
        <w:tc>
          <w:tcPr>
            <w:shd w:val="clear" w:fill="FFFFFF"/>
            <w:tcW w:type="pct" w:w="3777"/>
          </w:tcPr>
          <w:p>
            <w:pPr>
              <w:rPr>
                <w:rFonts w:cs="Arial"/>
                <w:highlight w:val="yellow"/>
              </w:rPr>
            </w:pPr>
            <w:r>
              <w:rPr>
                <w:rFonts w:cs="Arial"/>
              </w:rPr>
              <w:t xml:space="preserve">Shipper, DN, NTS, </w:t>
            </w:r>
            <w:r>
              <w:rPr>
                <w:rFonts w:cs="Arial"/>
              </w:rPr>
              <w:t>iGT</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tcPr>
          <w:p>
            <w:pPr>
              <w:rPr>
                <w:rFonts w:cs="Arial"/>
              </w:rPr>
            </w:pPr>
            <w:r>
              <w:rPr>
                <w:rFonts w:cs="Arial"/>
              </w:rPr>
              <w:t>n/a</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tcPr>
          <w:p>
            <w:pPr>
              <w:rPr>
                <w:rFonts w:cs="Arial"/>
              </w:rPr>
            </w:pPr>
            <w:r>
              <w:rPr>
                <w:rFonts w:cs="Arial"/>
              </w:rPr>
              <w:t>n/a</w:t>
            </w:r>
          </w:p>
        </w:tc>
      </w:tr>
    </w:tbl>
    <w:p>
      <w:pPr>
        <w:spacing w:after="0"/>
      </w:pPr>
    </w:p>
    <w:p>
      <w:pPr>
        <w:spacing w:after="0"/>
      </w:pPr>
    </w:p>
    <w:p>
      <w:pPr>
        <w:spacing w:after="0"/>
      </w:pPr>
      <w:r>
        <mc:AlternateContent>
          <mc:Choice Requires="wps">
            <w:drawing>
              <wp:inline>
                <wp:extent cx="5731509" cy="1939925"/>
                <wp:docPr id="1" name="drawingObject1"/>
                <wp:cNvGraphicFramePr/>
                <a:graphic>
                  <a:graphicData uri="http://schemas.openxmlformats.org/drawingml/2006/picture">
                    <pic:pic>
                      <pic:nvPicPr>
                        <pic:cNvPr id="2" name="Picture 2"/>
                        <pic:cNvPicPr/>
                      </pic:nvPicPr>
                      <pic:blipFill>
                        <a:blip r:embed="R28c6b59d92bd4848"/>
                        <a:stretch/>
                      </pic:blipFill>
                      <pic:spPr>
                        <a:xfrm rot="0">
                          <a:ext cx="5731509" cy="1939925"/>
                        </a:xfrm>
                        <a:prstGeom prst="rect">
                          <a:avLst/>
                        </a:prstGeom>
                        <a:noFill/>
                      </pic:spPr>
                    </pic:pic>
                  </a:graphicData>
                </a:graphic>
              </wp:inline>
            </w:drawing>
          </mc:Choice>
          <mc:Fallback/>
        </mc:AlternateContent>
      </w:r>
    </w:p>
    <w:p>
      <w:pPr>
        <w:spacing w:after="0"/>
      </w:pPr>
    </w:p>
    <w:p>
      <w:pPr>
        <w:rPr>
          <w:color w:val="000000"/>
          <w:sz w:val="20"/>
          <w:szCs w:val="20"/>
        </w:rPr>
        <w:spacing w:after="0"/>
      </w:pPr>
      <w:r>
        <w:rPr>
          <w:color w:val="000000"/>
          <w:sz w:val="20"/>
          <w:szCs w:val="20"/>
        </w:rPr>
        <w:t>The above file format changes are within the existing Invoices and will have no impact on the Invoice schedule.</w:t>
      </w:r>
    </w:p>
    <w:p>
      <w:pPr>
        <w:spacing w:after="0"/>
      </w:pPr>
    </w:p>
    <w:p>
      <w:pPr>
        <w:pStyle w:val="heading 1"/>
      </w:pPr>
      <w:r>
        <w:t xml:space="preserve">G5: </w:t>
      </w:r>
      <w:r>
        <w:t>Change Design Description</w:t>
      </w:r>
    </w:p>
    <w:tbl>
      <w:tblPr>
        <w:tblStyle w:val="Table Grid"/>
        <w:tblLayout w:type="fixed"/>
        <w:tblInd w:type="dxa" w:w="-34"/>
        <w:tblW w:type="pct" w:w="5018"/>
        <w:tblLook w:firstColumn="1" w:firstRow="1" w:lastColumn="0" w:lastRow="0" w:noHBand="0" w:noVBand="1"/>
      </w:tblPr>
      <w:tblGrid>
        <w:gridCol w:w="9048"/>
      </w:tblGrid>
      <w:tr>
        <w:trPr>
          <w:trHeight w:hRule="atLeast" w:val="2684"/>
        </w:trPr>
        <w:tc>
          <w:tcPr>
            <w:tcW w:type="pct" w:w="5000"/>
            <w:vAlign w:val="center"/>
          </w:tcPr>
          <w:p>
            <w:pPr>
              <w:jc w:val="both"/>
            </w:pPr>
            <w:r>
              <w:t xml:space="preserve">An overview of the UNC0678A proposal that is to be implemented is given below. </w:t>
            </w:r>
          </w:p>
          <w:p>
            <w:pPr>
              <w:rPr>
                <w:rFonts w:cs="Arial"/>
              </w:rPr>
              <w:jc w:val="both"/>
            </w:pPr>
          </w:p>
          <w:p>
            <w:pPr>
              <w:rPr>
                <w:sz w:val="22"/>
                <w:szCs w:val="22"/>
              </w:rPr>
              <w:pStyle w:val="annotation text"/>
            </w:pPr>
            <w:r>
              <w:rPr>
                <w:sz w:val="22"/>
                <w:szCs w:val="22"/>
              </w:rPr>
              <w:t>New charge types are being created to align with the required charges as proposed under UNC0678A</w:t>
            </w:r>
            <w:r>
              <w:rPr>
                <w:sz w:val="22"/>
                <w:szCs w:val="22"/>
              </w:rPr>
              <w:t>.</w:t>
            </w:r>
            <w:r>
              <w:rPr>
                <w:sz w:val="22"/>
                <w:szCs w:val="22"/>
              </w:rPr>
              <w:t xml:space="preserve"> This includes the charges that are to be classified as Transmission Services and those to be under Non Transmission Services. Full details can be found on Transmission Services and </w:t>
            </w:r>
            <w:r>
              <w:rPr>
                <w:sz w:val="22"/>
                <w:szCs w:val="22"/>
              </w:rPr>
              <w:t>Non-Transmission</w:t>
            </w:r>
            <w:r>
              <w:rPr>
                <w:sz w:val="22"/>
                <w:szCs w:val="22"/>
              </w:rPr>
              <w:t xml:space="preserve"> Services in the </w:t>
            </w:r>
            <w:r>
              <w:rPr>
                <w:sz w:val="22"/>
                <w:szCs w:val="22"/>
              </w:rPr>
              <w:t>UNC</w:t>
            </w:r>
            <w:r>
              <w:rPr>
                <w:sz w:val="22"/>
                <w:szCs w:val="22"/>
              </w:rPr>
              <w:t xml:space="preserve"> </w:t>
            </w:r>
            <w:r>
              <w:rPr>
                <w:sz w:val="22"/>
                <w:szCs w:val="22"/>
              </w:rPr>
              <w:t>M</w:t>
            </w:r>
            <w:r>
              <w:rPr>
                <w:sz w:val="22"/>
                <w:szCs w:val="22"/>
              </w:rPr>
              <w:t>od</w:t>
            </w:r>
            <w:r>
              <w:rPr>
                <w:sz w:val="22"/>
                <w:szCs w:val="22"/>
              </w:rPr>
              <w:t>ification</w:t>
            </w:r>
            <w:r>
              <w:rPr>
                <w:sz w:val="22"/>
                <w:szCs w:val="22"/>
              </w:rPr>
              <w:t xml:space="preserve"> text.</w:t>
            </w:r>
          </w:p>
          <w:p>
            <w:pPr>
              <w:rPr>
                <w:rFonts w:cs="Arial"/>
              </w:rPr>
              <w:jc w:val="both"/>
            </w:pPr>
          </w:p>
          <w:p>
            <w:pPr>
              <w:jc w:val="both"/>
            </w:pPr>
            <w:hyperlink r:id="R686a87dcdeb04cbc">
              <w:r>
                <w:rPr>
                  <w:rStyle w:val="Hyperlink"/>
                </w:rPr>
                <w:t>https://www.gasgovernance.co.uk/0678</w:t>
              </w:r>
            </w:hyperlink>
          </w:p>
          <w:p>
            <w:pPr>
              <w:rPr>
                <w:b w:val="0"/>
                <w:bCs w:val="0"/>
                <w:color w:val="000000"/>
                <w:rFonts w:ascii="Arial" w:hAnsi="Arial" w:cs="Arial" w:eastAsia="Times New Roman"/>
                <w:position w:val="17"/>
              </w:rPr>
              <w:pStyle w:val="heading 3"/>
              <w:spacing w:before="240" w:lineRule="exact" w:line="315"/>
              <w:outlineLvl w:val="2"/>
            </w:pPr>
            <w:r>
              <w:rPr>
                <w:rStyle w:val="Strong"/>
                <w:b w:val="1"/>
                <w:bCs w:val="1"/>
                <w:color w:val="000000"/>
                <w:rFonts w:ascii="Arial" w:hAnsi="Arial" w:cs="Arial" w:eastAsia="Times New Roman"/>
                <w:position w:val="17"/>
              </w:rPr>
              <w:t>Transmission Services (TS)</w:t>
            </w:r>
            <w:r>
              <w:rPr>
                <w:rStyle w:val="Strong"/>
                <w:b w:val="1"/>
                <w:bCs w:val="1"/>
                <w:color w:val="000000"/>
                <w:rFonts w:ascii="Arial" w:hAnsi="Arial" w:cs="Arial" w:eastAsia="Times New Roman"/>
                <w:position w:val="17"/>
              </w:rPr>
              <w:t>:</w:t>
            </w:r>
          </w:p>
          <w:p>
            <w:pPr>
              <w:rPr>
                <w:color w:val="000000"/>
                <w:rFonts w:cs="Arial" w:eastAsia="Times New Roman"/>
                <w:position w:val="17"/>
              </w:rPr>
              <w:numPr>
                <w:ilvl w:val="0"/>
                <w:numId w:val="2"/>
              </w:numPr>
              <w:ind w:left="360"/>
              <w:spacing w:before="180" w:lineRule="atLeast" w:line="315"/>
            </w:pPr>
            <w:r>
              <w:rPr>
                <w:color w:val="000000"/>
                <w:rFonts w:cs="Arial" w:eastAsia="Times New Roman"/>
                <w:position w:val="17"/>
              </w:rPr>
              <w:t>Postage Stamp based Capacity Charges (i.e. one price for Entry Capacity and one price for Exit Capacity) – no geographic variation.  Capacity reserve prices linked to revenue to better facilitate revenue recovery from Capacity Charges.</w:t>
            </w:r>
          </w:p>
          <w:p>
            <w:pPr>
              <w:rPr>
                <w:color w:val="000000"/>
                <w:rFonts w:cs="Arial" w:eastAsia="Times New Roman"/>
                <w:position w:val="17"/>
              </w:rPr>
              <w:numPr>
                <w:ilvl w:val="0"/>
                <w:numId w:val="2"/>
              </w:numPr>
              <w:ind w:left="360"/>
              <w:spacing w:lineRule="atLeast" w:line="315"/>
            </w:pPr>
            <w:r>
              <w:rPr>
                <w:color w:val="000000"/>
                <w:rFonts w:cs="Arial" w:eastAsia="Times New Roman"/>
                <w:position w:val="17"/>
              </w:rPr>
              <w:t>Capacity (except for legacy Entry bought before 6 April 2017) payable prices change year to year</w:t>
            </w:r>
            <w:r>
              <w:rPr>
                <w:color w:val="000000"/>
                <w:rFonts w:cs="Arial" w:eastAsia="Times New Roman"/>
                <w:position w:val="17"/>
              </w:rPr>
              <w:t>.</w:t>
            </w:r>
          </w:p>
          <w:p>
            <w:pPr>
              <w:rPr>
                <w:color w:val="000000"/>
                <w:rFonts w:cs="Arial" w:eastAsia="Times New Roman"/>
                <w:position w:val="17"/>
              </w:rPr>
              <w:numPr>
                <w:ilvl w:val="0"/>
                <w:numId w:val="2"/>
              </w:numPr>
              <w:ind w:left="360"/>
              <w:spacing w:lineRule="atLeast" w:line="315"/>
            </w:pPr>
            <w:r>
              <w:rPr>
                <w:color w:val="000000"/>
                <w:rFonts w:cs="Arial" w:eastAsia="Times New Roman"/>
                <w:position w:val="17"/>
              </w:rPr>
              <w:t>No Commodity charges for Transmission Services</w:t>
            </w:r>
            <w:r>
              <w:rPr>
                <w:color w:val="000000"/>
                <w:rFonts w:cs="Arial" w:eastAsia="Times New Roman"/>
                <w:position w:val="17"/>
              </w:rPr>
              <w:t>.</w:t>
            </w:r>
          </w:p>
          <w:p>
            <w:pPr>
              <w:rPr>
                <w:color w:val="000000"/>
                <w:rFonts w:cs="Arial" w:eastAsia="Times New Roman"/>
                <w:position w:val="17"/>
              </w:rPr>
              <w:numPr>
                <w:ilvl w:val="0"/>
                <w:numId w:val="2"/>
              </w:numPr>
              <w:ind w:left="360"/>
              <w:spacing w:lineRule="atLeast" w:line="315"/>
            </w:pPr>
            <w:r>
              <w:rPr>
                <w:color w:val="000000"/>
                <w:rFonts w:cs="Arial" w:eastAsia="Times New Roman"/>
                <w:position w:val="17"/>
              </w:rPr>
              <w:t>Any revenue recovery (to manage over or under recovery) will be via a capacity based charge – levied separately to capacity reserve charges and based on bookings</w:t>
            </w:r>
            <w:r>
              <w:rPr>
                <w:color w:val="000000"/>
                <w:rFonts w:cs="Arial" w:eastAsia="Times New Roman"/>
                <w:position w:val="17"/>
              </w:rPr>
              <w:t>.</w:t>
            </w:r>
          </w:p>
          <w:p>
            <w:pPr>
              <w:rPr>
                <w:color w:val="000000"/>
                <w:rFonts w:cs="Arial" w:eastAsia="Times New Roman"/>
                <w:position w:val="17"/>
              </w:rPr>
              <w:numPr>
                <w:ilvl w:val="0"/>
                <w:numId w:val="2"/>
              </w:numPr>
              <w:ind w:left="360"/>
              <w:spacing w:lineRule="atLeast" w:line="315"/>
            </w:pPr>
            <w:r>
              <w:rPr>
                <w:color w:val="000000"/>
                <w:rFonts w:cs="Arial" w:eastAsia="Times New Roman"/>
                <w:position w:val="17"/>
              </w:rPr>
              <w:t>Storage Discount to capacity reserve prices of 50%</w:t>
            </w:r>
            <w:r>
              <w:rPr>
                <w:color w:val="000000"/>
                <w:rFonts w:cs="Arial" w:eastAsia="Times New Roman"/>
                <w:position w:val="17"/>
              </w:rPr>
              <w:t>.</w:t>
            </w:r>
          </w:p>
          <w:p>
            <w:pPr>
              <w:rPr>
                <w:color w:val="000000"/>
                <w:rFonts w:cs="Arial" w:eastAsia="Times New Roman"/>
                <w:position w:val="17"/>
              </w:rPr>
              <w:numPr>
                <w:ilvl w:val="0"/>
                <w:numId w:val="2"/>
              </w:numPr>
              <w:ind w:left="360"/>
              <w:spacing w:lineRule="atLeast" w:line="315"/>
            </w:pPr>
            <w:r>
              <w:rPr>
                <w:color w:val="000000"/>
                <w:rFonts w:cs="Arial" w:eastAsia="Times New Roman"/>
                <w:position w:val="17"/>
              </w:rPr>
              <w:t>Interruptible discount of 10% from reserve price (Entry and Exit)</w:t>
            </w:r>
            <w:r>
              <w:rPr>
                <w:color w:val="000000"/>
                <w:rFonts w:cs="Arial" w:eastAsia="Times New Roman"/>
                <w:position w:val="17"/>
              </w:rPr>
              <w:t>.</w:t>
            </w:r>
          </w:p>
          <w:p>
            <w:pPr>
              <w:rPr>
                <w:color w:val="000000"/>
                <w:rFonts w:ascii="Arial" w:hAnsi="Arial" w:cs="Arial"/>
                <w:position w:val="17"/>
              </w:rPr>
              <w:pStyle w:val="Normal (Web)"/>
              <w:spacing w:before="300" w:beforeAutospacing="0" w:after="0" w:afterAutospacing="0" w:lineRule="atLeast" w:line="315"/>
            </w:pPr>
            <w:r>
              <w:rPr>
                <w:rStyle w:val="Strong"/>
                <w:color w:val="000000"/>
                <w:rFonts w:ascii="Arial" w:hAnsi="Arial" w:cs="Arial"/>
                <w:position w:val="17"/>
              </w:rPr>
              <w:t>General Non-Transmission Services (GNTS)</w:t>
            </w:r>
            <w:r>
              <w:rPr>
                <w:rStyle w:val="Strong"/>
                <w:color w:val="000000"/>
                <w:rFonts w:ascii="Arial" w:hAnsi="Arial" w:cs="Arial"/>
                <w:position w:val="17"/>
              </w:rPr>
              <w:t>:</w:t>
            </w:r>
          </w:p>
          <w:p>
            <w:pPr>
              <w:rPr>
                <w:color w:val="000000"/>
                <w:rFonts w:cs="Arial" w:eastAsia="Times New Roman"/>
                <w:position w:val="17"/>
              </w:rPr>
              <w:numPr>
                <w:ilvl w:val="0"/>
                <w:numId w:val="3"/>
              </w:numPr>
              <w:ind w:left="360"/>
              <w:spacing w:before="300" w:lineRule="atLeast" w:line="315"/>
            </w:pPr>
            <w:r>
              <w:rPr>
                <w:color w:val="000000"/>
                <w:rFonts w:cs="Arial" w:eastAsia="Times New Roman"/>
                <w:position w:val="17"/>
              </w:rPr>
              <w:t>General Non-Transmission Services broadly aligns to SO charges as they stand now recovered mostly via commodity charges, with some exceptions</w:t>
            </w:r>
            <w:r>
              <w:rPr>
                <w:color w:val="000000"/>
                <w:rFonts w:cs="Arial" w:eastAsia="Times New Roman"/>
                <w:position w:val="17"/>
              </w:rPr>
              <w:t>.</w:t>
            </w:r>
          </w:p>
          <w:p>
            <w:pPr>
              <w:rPr>
                <w:color w:val="000000"/>
                <w:rFonts w:cs="Arial" w:eastAsia="Times New Roman"/>
                <w:position w:val="17"/>
              </w:rPr>
              <w:numPr>
                <w:ilvl w:val="0"/>
                <w:numId w:val="3"/>
              </w:numPr>
              <w:ind w:left="360"/>
              <w:spacing w:lineRule="atLeast" w:line="315"/>
            </w:pPr>
            <w:r>
              <w:rPr>
                <w:color w:val="000000"/>
                <w:rFonts w:cs="Arial" w:eastAsia="Times New Roman"/>
                <w:position w:val="17"/>
              </w:rPr>
              <w:t>Some targeted charges (e.g. DN Pensions Deficit, St Fergus Compression, Metering) with the remainder recovered by GNTS Entry and Exit Charges</w:t>
            </w:r>
            <w:r>
              <w:rPr>
                <w:color w:val="000000"/>
                <w:rFonts w:cs="Arial" w:eastAsia="Times New Roman"/>
                <w:position w:val="17"/>
              </w:rPr>
              <w:t>.</w:t>
            </w:r>
          </w:p>
          <w:p>
            <w:pPr>
              <w:rPr>
                <w:color w:val="000000"/>
                <w:rFonts w:cs="Arial"/>
              </w:rPr>
              <w:jc w:val="both"/>
            </w:pPr>
          </w:p>
          <w:p>
            <w:pPr>
              <w:rPr>
                <w:color w:val="000000"/>
                <w:rFonts w:cs="Arial"/>
              </w:rPr>
              <w:jc w:val="both"/>
            </w:pPr>
          </w:p>
          <w:p>
            <w:pPr>
              <w:rPr>
                <w:b w:val="1"/>
                <w:bCs w:val="1"/>
                <w:rFonts w:ascii="Arial" w:hAnsi="Arial" w:cs="Arial" w:eastAsia="Times New Roman"/>
              </w:rPr>
            </w:pPr>
            <w:r>
              <w:rPr>
                <w:b w:val="1"/>
                <w:bCs w:val="1"/>
                <w:rFonts w:cs="Arial"/>
              </w:rPr>
              <w:t xml:space="preserve"> </w:t>
            </w:r>
            <w:r>
              <w:rPr>
                <w:b w:val="1"/>
                <w:bCs w:val="1"/>
                <w:rFonts w:ascii="Arial" w:hAnsi="Arial" w:cs="Arial" w:eastAsia="Times New Roman"/>
              </w:rPr>
              <w:t xml:space="preserve">Impacts of </w:t>
            </w:r>
            <w:r>
              <w:rPr>
                <w:b w:val="1"/>
                <w:bCs w:val="1"/>
                <w:rFonts w:ascii="Arial" w:hAnsi="Arial" w:cs="Arial" w:eastAsia="Times New Roman"/>
              </w:rPr>
              <w:t>UNC0</w:t>
            </w:r>
            <w:r>
              <w:rPr>
                <w:b w:val="1"/>
                <w:bCs w:val="1"/>
                <w:rFonts w:ascii="Arial" w:hAnsi="Arial" w:cs="Arial" w:eastAsia="Times New Roman"/>
              </w:rPr>
              <w:t>678</w:t>
            </w:r>
            <w:r>
              <w:rPr>
                <w:b w:val="1"/>
                <w:bCs w:val="1"/>
                <w:rFonts w:ascii="Arial" w:hAnsi="Arial" w:cs="Arial" w:eastAsia="Times New Roman"/>
              </w:rPr>
              <w:t>A</w:t>
            </w:r>
            <w:r>
              <w:rPr>
                <w:b w:val="1"/>
                <w:bCs w:val="1"/>
                <w:rFonts w:ascii="Arial" w:hAnsi="Arial" w:cs="Arial" w:eastAsia="Times New Roman"/>
              </w:rPr>
              <w:t xml:space="preserve"> to Industry</w:t>
            </w:r>
            <w:r>
              <w:rPr>
                <w:b w:val="1"/>
                <w:bCs w:val="1"/>
                <w:rFonts w:ascii="Arial" w:hAnsi="Arial" w:cs="Arial" w:eastAsia="Times New Roman"/>
              </w:rPr>
              <w:t>:</w:t>
            </w:r>
          </w:p>
          <w:p>
            <w:pPr>
              <w:rPr>
                <w:b w:val="1"/>
                <w:bCs w:val="1"/>
                <w:rFonts w:cs="Arial"/>
              </w:rPr>
            </w:pPr>
          </w:p>
          <w:p>
            <w:pPr>
              <w:rPr>
                <w:color w:val="000000"/>
                <w:rFonts w:cs="Arial" w:eastAsia="Times New Roman"/>
                <w:position w:val="17"/>
              </w:rPr>
              <w:numPr>
                <w:ilvl w:val="0"/>
                <w:numId w:val="4"/>
              </w:numPr>
              <w:ind w:left="360"/>
              <w:spacing w:before="240" w:lineRule="atLeast" w:line="315"/>
            </w:pPr>
            <w:r>
              <w:rPr>
                <w:color w:val="000000"/>
                <w:rFonts w:cs="Arial" w:eastAsia="Times New Roman"/>
                <w:position w:val="17"/>
              </w:rPr>
              <w:t>As a result of</w:t>
            </w:r>
            <w:r>
              <w:rPr>
                <w:color w:val="000000"/>
                <w:rFonts w:cs="Arial" w:eastAsia="Times New Roman"/>
                <w:position w:val="17"/>
              </w:rPr>
              <w:t xml:space="preserve"> UNC0678A there are some systems changes to </w:t>
            </w:r>
            <w:r>
              <w:rPr>
                <w:rStyle w:val="Strong"/>
                <w:b w:val="0"/>
                <w:bCs w:val="0"/>
                <w:color w:val="000000"/>
                <w:rFonts w:cs="Arial" w:eastAsia="Times New Roman"/>
                <w:position w:val="17"/>
              </w:rPr>
              <w:t>UK Link</w:t>
            </w:r>
            <w:r>
              <w:rPr>
                <w:color w:val="000000"/>
                <w:rFonts w:cs="Arial" w:eastAsia="Times New Roman"/>
                <w:position w:val="17"/>
              </w:rPr>
              <w:t xml:space="preserve"> and </w:t>
            </w:r>
            <w:r>
              <w:rPr>
                <w:rStyle w:val="Strong"/>
                <w:b w:val="0"/>
                <w:bCs w:val="0"/>
                <w:color w:val="000000"/>
                <w:rFonts w:cs="Arial" w:eastAsia="Times New Roman"/>
                <w:position w:val="17"/>
              </w:rPr>
              <w:t>Gemini</w:t>
            </w:r>
            <w:r>
              <w:rPr>
                <w:rStyle w:val="Strong"/>
                <w:b w:val="0"/>
                <w:bCs w:val="0"/>
                <w:color w:val="000000"/>
                <w:rFonts w:cs="Arial" w:eastAsia="Times New Roman"/>
                <w:position w:val="17"/>
              </w:rPr>
              <w:t>.</w:t>
            </w:r>
          </w:p>
          <w:p>
            <w:pPr>
              <w:rPr>
                <w:color w:val="000000"/>
                <w:rFonts w:cs="Arial" w:eastAsia="Times New Roman"/>
                <w:position w:val="17"/>
              </w:rPr>
              <w:numPr>
                <w:ilvl w:val="0"/>
                <w:numId w:val="4"/>
              </w:numPr>
              <w:ind w:left="360"/>
              <w:spacing w:lineRule="atLeast" w:line="315"/>
            </w:pPr>
            <w:r>
              <w:rPr>
                <w:color w:val="000000"/>
                <w:rFonts w:cs="Arial" w:eastAsia="Times New Roman"/>
                <w:position w:val="17"/>
              </w:rPr>
              <w:t xml:space="preserve">New </w:t>
            </w:r>
            <w:r>
              <w:rPr>
                <w:rStyle w:val="Strong"/>
                <w:b w:val="0"/>
                <w:bCs w:val="0"/>
                <w:color w:val="000000"/>
                <w:rFonts w:cs="Arial" w:eastAsia="Times New Roman"/>
                <w:position w:val="17"/>
              </w:rPr>
              <w:t>Charge Types</w:t>
            </w:r>
            <w:r>
              <w:rPr>
                <w:color w:val="000000"/>
                <w:rFonts w:cs="Arial" w:eastAsia="Times New Roman"/>
                <w:position w:val="17"/>
              </w:rPr>
              <w:t xml:space="preserve"> are being created </w:t>
            </w:r>
            <w:r>
              <w:rPr>
                <w:color w:val="000000"/>
                <w:rFonts w:cs="Arial" w:eastAsia="Times New Roman"/>
                <w:position w:val="17"/>
              </w:rPr>
              <w:t>because of</w:t>
            </w:r>
            <w:r>
              <w:rPr>
                <w:color w:val="000000"/>
                <w:rFonts w:cs="Arial" w:eastAsia="Times New Roman"/>
                <w:position w:val="17"/>
              </w:rPr>
              <w:t xml:space="preserve"> the required charging products in line with</w:t>
            </w:r>
            <w:r>
              <w:rPr>
                <w:color w:val="000000"/>
                <w:rFonts w:cs="Arial" w:eastAsia="Times New Roman"/>
                <w:position w:val="17"/>
              </w:rPr>
              <w:t xml:space="preserve"> the Mod</w:t>
            </w:r>
            <w:r>
              <w:rPr>
                <w:color w:val="000000"/>
                <w:rFonts w:cs="Arial" w:eastAsia="Times New Roman"/>
                <w:position w:val="17"/>
              </w:rPr>
              <w:t>.</w:t>
            </w:r>
          </w:p>
          <w:p>
            <w:pPr>
              <w:rPr>
                <w:color w:val="000000"/>
                <w:rFonts w:cs="Arial" w:eastAsia="Times New Roman"/>
                <w:position w:val="17"/>
              </w:rPr>
              <w:numPr>
                <w:ilvl w:val="0"/>
                <w:numId w:val="4"/>
              </w:numPr>
              <w:ind w:left="360"/>
              <w:spacing w:lineRule="atLeast" w:line="315"/>
            </w:pPr>
            <w:r>
              <w:rPr>
                <w:color w:val="000000"/>
                <w:rFonts w:cs="Arial" w:eastAsia="Times New Roman"/>
                <w:position w:val="17"/>
              </w:rPr>
              <w:t xml:space="preserve">The impact to </w:t>
            </w:r>
            <w:r>
              <w:rPr>
                <w:color w:val="000000"/>
                <w:rFonts w:cs="Arial" w:eastAsia="Times New Roman"/>
                <w:position w:val="17"/>
              </w:rPr>
              <w:t>In</w:t>
            </w:r>
            <w:r>
              <w:rPr>
                <w:color w:val="000000"/>
                <w:rFonts w:cs="Arial" w:eastAsia="Times New Roman"/>
                <w:position w:val="17"/>
              </w:rPr>
              <w:t xml:space="preserve">dustry of the systems changes includes some new </w:t>
            </w:r>
            <w:r>
              <w:rPr>
                <w:rStyle w:val="Strong"/>
                <w:b w:val="0"/>
                <w:bCs w:val="0"/>
                <w:color w:val="000000"/>
                <w:rFonts w:cs="Arial" w:eastAsia="Times New Roman"/>
                <w:position w:val="17"/>
              </w:rPr>
              <w:t>Charge Types</w:t>
            </w:r>
            <w:r>
              <w:rPr>
                <w:color w:val="000000"/>
                <w:rFonts w:cs="Arial" w:eastAsia="Times New Roman"/>
                <w:position w:val="17"/>
              </w:rPr>
              <w:t xml:space="preserve"> on invoices generated from UK Link and Gemini and new </w:t>
            </w:r>
            <w:r>
              <w:rPr>
                <w:rStyle w:val="Strong"/>
                <w:b w:val="0"/>
                <w:bCs w:val="0"/>
                <w:color w:val="000000"/>
                <w:rFonts w:cs="Arial" w:eastAsia="Times New Roman"/>
                <w:position w:val="17"/>
              </w:rPr>
              <w:t>File Formats</w:t>
            </w:r>
            <w:r>
              <w:rPr>
                <w:color w:val="000000"/>
                <w:rFonts w:cs="Arial" w:eastAsia="Times New Roman"/>
                <w:position w:val="17"/>
              </w:rPr>
              <w:t xml:space="preserve"> for invoices.</w:t>
            </w:r>
          </w:p>
          <w:p>
            <w:pPr>
              <w:rPr>
                <w:color w:val="000000"/>
                <w:rFonts w:cs="Arial" w:eastAsia="Times New Roman"/>
                <w:position w:val="17"/>
              </w:rPr>
              <w:numPr>
                <w:ilvl w:val="0"/>
                <w:numId w:val="4"/>
              </w:numPr>
              <w:ind w:left="360"/>
              <w:spacing w:lineRule="atLeast" w:line="315"/>
            </w:pPr>
            <w:r>
              <w:rPr>
                <w:color w:val="000000"/>
                <w:rFonts w:cs="Arial" w:eastAsia="Times New Roman"/>
                <w:position w:val="17"/>
              </w:rPr>
              <w:t xml:space="preserve">There will be changes to two Gemini Screens a) </w:t>
            </w:r>
            <w:r>
              <w:rPr>
                <w:rStyle w:val="Strong"/>
                <w:b w:val="0"/>
                <w:bCs w:val="0"/>
                <w:color w:val="000000"/>
                <w:rFonts w:cs="Arial" w:eastAsia="Times New Roman"/>
                <w:position w:val="17"/>
              </w:rPr>
              <w:t>Fully Adjusted Capacity</w:t>
            </w:r>
            <w:r>
              <w:rPr>
                <w:color w:val="000000"/>
                <w:rFonts w:cs="Arial" w:eastAsia="Times New Roman"/>
                <w:position w:val="17"/>
              </w:rPr>
              <w:t xml:space="preserve"> b) </w:t>
            </w:r>
            <w:r>
              <w:rPr>
                <w:rStyle w:val="Strong"/>
                <w:b w:val="0"/>
                <w:bCs w:val="0"/>
                <w:color w:val="000000"/>
                <w:rFonts w:cs="Arial" w:eastAsia="Times New Roman"/>
                <w:position w:val="17"/>
              </w:rPr>
              <w:t>Bid Information Report</w:t>
            </w:r>
            <w:r>
              <w:rPr>
                <w:b w:val="1"/>
                <w:bCs w:val="1"/>
                <w:color w:val="000000"/>
                <w:rFonts w:cs="Arial" w:eastAsia="Times New Roman"/>
                <w:position w:val="17"/>
              </w:rPr>
              <w:t>.</w:t>
            </w:r>
            <w:r>
              <w:rPr>
                <w:color w:val="000000"/>
                <w:rFonts w:cs="Arial" w:eastAsia="Times New Roman"/>
                <w:position w:val="17"/>
              </w:rPr>
              <w:t xml:space="preserve">  Details of these changes </w:t>
            </w:r>
            <w:r>
              <w:rPr>
                <w:color w:val="000000"/>
                <w:rFonts w:cs="Arial" w:eastAsia="Times New Roman"/>
                <w:position w:val="17"/>
              </w:rPr>
              <w:t>are</w:t>
            </w:r>
            <w:r>
              <w:rPr>
                <w:color w:val="000000"/>
                <w:rFonts w:cs="Arial" w:eastAsia="Times New Roman"/>
                <w:position w:val="17"/>
              </w:rPr>
              <w:t xml:space="preserve"> provided in the Gemini External Screen Pack</w:t>
            </w:r>
            <w:r>
              <w:rPr>
                <w:color w:val="000000"/>
                <w:rFonts w:cs="Arial" w:eastAsia="Times New Roman"/>
                <w:position w:val="17"/>
              </w:rPr>
              <w:t xml:space="preserve"> </w:t>
            </w:r>
            <w:hyperlink r:id="R8c3a602d759d45ba">
              <w:r>
                <w:rPr>
                  <w:rStyle w:val="Hyperlink"/>
                  <w:b w:val="1"/>
                  <w:bCs w:val="1"/>
                  <w:rFonts w:cs="Arial" w:eastAsia="Times New Roman"/>
                  <w:position w:val="17"/>
                </w:rPr>
                <w:t>here</w:t>
              </w:r>
              <w:r>
                <w:rPr>
                  <w:rStyle w:val="Hyperlink"/>
                  <w:b w:val="1"/>
                  <w:bCs w:val="1"/>
                  <w:rFonts w:cs="Arial" w:eastAsia="Times New Roman"/>
                  <w:position w:val="17"/>
                </w:rPr>
                <w:t>.</w:t>
              </w:r>
            </w:hyperlink>
          </w:p>
          <w:p>
            <w:pPr>
              <w:rPr>
                <w:color w:val="000000"/>
                <w:rFonts w:cs="Arial" w:eastAsia="Times New Roman"/>
                <w:position w:val="17"/>
              </w:rPr>
              <w:spacing w:lineRule="atLeast" w:line="315"/>
            </w:pPr>
          </w:p>
          <w:p>
            <w:pPr>
              <w:rPr>
                <w:b w:val="1"/>
                <w:bCs w:val="1"/>
                <w:rFonts w:cs="Arial"/>
                <w:u w:val="single"/>
              </w:rPr>
              <w:jc w:val="both"/>
            </w:pPr>
            <w:r>
              <w:rPr>
                <w:b w:val="1"/>
                <w:bCs w:val="1"/>
                <w:rFonts w:cs="Arial"/>
                <w:u w:val="single"/>
              </w:rPr>
              <w:t xml:space="preserve">Design Description: </w:t>
            </w:r>
          </w:p>
          <w:p>
            <w:pPr>
              <w:rPr>
                <w:b w:val="1"/>
                <w:bCs w:val="1"/>
                <w:rFonts w:cs="Arial"/>
                <w:u w:val="single"/>
              </w:rPr>
              <w:jc w:val="both"/>
            </w:pPr>
          </w:p>
          <w:p>
            <w:pPr>
              <w:rPr>
                <w:rFonts w:cs="Arial"/>
              </w:rPr>
              <w:jc w:val="both"/>
            </w:pPr>
            <w:r>
              <w:rPr>
                <w:rFonts w:cs="Arial"/>
              </w:rPr>
              <w:t xml:space="preserve">To satisfy the requirements of the Mod, a ‘Business </w:t>
            </w:r>
            <w:r>
              <w:rPr>
                <w:rFonts w:cs="Arial"/>
              </w:rPr>
              <w:t>as</w:t>
            </w:r>
            <w:r>
              <w:rPr>
                <w:rFonts w:cs="Arial"/>
              </w:rPr>
              <w:t xml:space="preserve"> Usual’ approach has been undertaken to price rate change activity to fulfil the obligation of applying the NTS Exit Commodity Transmission charge for all UKLink sites. This removes the need for any changes to </w:t>
            </w:r>
            <w:r>
              <w:rPr>
                <w:rFonts w:cs="Arial"/>
              </w:rPr>
              <w:t>UK Link</w:t>
            </w:r>
            <w:r>
              <w:rPr>
                <w:rFonts w:cs="Arial"/>
              </w:rPr>
              <w:t>, Shipper and Network Systems. This element of the Modification can also be achieved with little or no impact to upstream and downstream processing.</w:t>
            </w:r>
          </w:p>
          <w:p>
            <w:pPr>
              <w:rPr>
                <w:rFonts w:ascii="Arial" w:hAnsi="Arial" w:cs="Arial"/>
              </w:rPr>
              <w:jc w:val="both"/>
            </w:pPr>
          </w:p>
          <w:p>
            <w:pPr>
              <w:rPr>
                <w:rFonts w:ascii="Arial" w:hAnsi="Arial" w:cs="Arial"/>
              </w:rPr>
              <w:jc w:val="both"/>
            </w:pPr>
            <w:r>
              <w:rPr>
                <w:rFonts w:ascii="Arial" w:hAnsi="Arial" w:cs="Arial"/>
              </w:rPr>
              <w:t xml:space="preserve">All Commodity Charges will be non-Transmission Charges from 01/10/2020 and will </w:t>
            </w:r>
            <w:r>
              <w:rPr>
                <w:rFonts w:cs="Arial"/>
              </w:rPr>
              <w:t xml:space="preserve">be managed via the normal pricing review process and publication of the </w:t>
            </w:r>
            <w:r>
              <w:rPr>
                <w:rFonts w:cs="Arial"/>
              </w:rPr>
              <w:t>NTS Transportation Charges Statements.</w:t>
            </w:r>
          </w:p>
          <w:p>
            <w:pPr>
              <w:jc w:val="both"/>
              <w:spacing w:before="96" w:after="96"/>
            </w:pPr>
          </w:p>
          <w:p>
            <w:pPr>
              <w:jc w:val="both"/>
              <w:spacing w:before="96" w:after="96"/>
            </w:pPr>
            <w:r>
              <w:t xml:space="preserve">The existing NTS Optional Commodity Rate will not be available from 01/10/2020. </w:t>
            </w:r>
          </w:p>
          <w:p>
            <w:pPr>
              <w:rPr>
                <w:rFonts w:cs="Arial"/>
              </w:rPr>
              <w:jc w:val="both"/>
            </w:pPr>
            <w:r>
              <w:rPr>
                <w:rFonts w:cs="Arial"/>
              </w:rPr>
              <w:t>A change to the Transmission</w:t>
            </w:r>
            <w:r>
              <w:rPr>
                <w:rFonts w:cs="Arial"/>
              </w:rPr>
              <w:t xml:space="preserve"> P</w:t>
            </w:r>
            <w:r>
              <w:rPr>
                <w:rFonts w:cs="Arial"/>
              </w:rPr>
              <w:t xml:space="preserve">ricing template to inactivate the NTS Optional </w:t>
            </w:r>
            <w:r>
              <w:rPr>
                <w:rFonts w:cs="Arial"/>
              </w:rPr>
              <w:t>C</w:t>
            </w:r>
            <w:r>
              <w:rPr>
                <w:rFonts w:cs="Arial"/>
              </w:rPr>
              <w:t>ommodity rate will be introduce</w:t>
            </w:r>
            <w:r>
              <w:rPr>
                <w:rFonts w:cs="Arial"/>
              </w:rPr>
              <w:t>d</w:t>
            </w:r>
            <w:r>
              <w:rPr>
                <w:rFonts w:cs="Arial"/>
              </w:rPr>
              <w:t xml:space="preserve">. </w:t>
            </w:r>
          </w:p>
          <w:p>
            <w:pPr>
              <w:rPr>
                <w:rFonts w:cs="Arial"/>
              </w:rPr>
              <w:jc w:val="both"/>
            </w:pPr>
          </w:p>
          <w:p>
            <w:pPr>
              <w:rPr>
                <w:rFonts w:cs="Arial"/>
              </w:rPr>
              <w:jc w:val="both"/>
            </w:pPr>
            <w:r>
              <w:rPr>
                <w:rFonts w:cs="Arial"/>
              </w:rPr>
              <w:t xml:space="preserve">New charge codes will be added into </w:t>
            </w:r>
            <w:r>
              <w:rPr>
                <w:rFonts w:cs="Arial"/>
              </w:rPr>
              <w:t xml:space="preserve">Gemini and </w:t>
            </w:r>
            <w:r>
              <w:rPr>
                <w:rFonts w:cs="Arial"/>
              </w:rPr>
              <w:t xml:space="preserve">UKLink </w:t>
            </w:r>
            <w:r>
              <w:rPr>
                <w:rFonts w:cs="Arial"/>
              </w:rPr>
              <w:t>with</w:t>
            </w:r>
            <w:r>
              <w:rPr>
                <w:rFonts w:cs="Arial"/>
              </w:rPr>
              <w:t xml:space="preserve"> corresponding </w:t>
            </w:r>
            <w:r>
              <w:rPr>
                <w:rFonts w:cs="Arial"/>
              </w:rPr>
              <w:t xml:space="preserve">new record types in the existing </w:t>
            </w:r>
            <w:r>
              <w:rPr>
                <w:rFonts w:cs="Arial"/>
              </w:rPr>
              <w:t>file format</w:t>
            </w:r>
            <w:r>
              <w:rPr>
                <w:rFonts w:cs="Arial"/>
              </w:rPr>
              <w:t xml:space="preserve"> for the Gemini Pass T</w:t>
            </w:r>
            <w:r>
              <w:rPr>
                <w:rFonts w:cs="Arial"/>
              </w:rPr>
              <w:t>hrough Invoices</w:t>
            </w:r>
            <w:r>
              <w:rPr>
                <w:rFonts w:cs="Arial"/>
              </w:rPr>
              <w:t xml:space="preserve"> detailed below:</w:t>
            </w:r>
          </w:p>
          <w:p>
            <w:pPr>
              <w:rPr>
                <w:rFonts w:cs="Arial"/>
              </w:rPr>
              <w:jc w:val="both"/>
            </w:pPr>
          </w:p>
          <w:p>
            <w:pPr>
              <w:rPr>
                <w:rFonts w:cs="Arial"/>
              </w:rPr>
              <w:jc w:val="both"/>
            </w:pPr>
            <w:r>
              <w:rPr>
                <w:rFonts w:cs="Arial"/>
              </w:rPr>
              <w:t>New Charge Type to Invoice:</w:t>
            </w:r>
          </w:p>
          <w:tbl>
            <w:tblPr>
              <w:tblLayout w:type="fixed"/>
              <w:tblInd w:type="dxa" w:w="534"/>
              <w:tblW w:type="dxa" w:w="8930"/>
              <w:tblLook w:firstColumn="1" w:firstRow="1" w:lastColumn="0" w:lastRow="0" w:noHBand="0" w:noVBand="1"/>
            </w:tblPr>
            <w:tblGrid>
              <w:gridCol w:w="3487"/>
              <w:gridCol w:w="3544"/>
              <w:gridCol w:w="1899"/>
            </w:tblGrid>
            <w:tr>
              <w:trPr>
                <w:trHeight w:hRule="atLeast" w:val="315"/>
              </w:trPr>
              <w:tc>
                <w:tcPr>
                  <w:shd w:val="clear" w:fill="0E3570"/>
                  <w:tcW w:type="dxa" w:w="8930"/>
                  <w:vAlign w:val="bottom"/>
                  <w:tcBorders>
                    <w:left w:val="single" w:sz="8" w:space="0" w:color="FFFFFF"/>
                    <w:top w:val="single" w:sz="8" w:space="0" w:color="FFFFFF"/>
                    <w:right w:val="single" w:sz="8" w:space="0" w:color="FFFFFF"/>
                    <w:bottom w:val="single" w:sz="12" w:space="0" w:color="FFFFFF"/>
                  </w:tcBorders>
                  <w:gridSpan w:val="3"/>
                </w:tcPr>
                <w:p>
                  <w:pPr>
                    <w:rPr>
                      <w:b w:val="1"/>
                      <w:bCs w:val="1"/>
                      <w:color w:val="FFFFFF"/>
                      <w:rFonts w:ascii="Calibri" w:hAnsi="Calibri" w:cs="Times New Roman" w:eastAsia="Times New Roman"/>
                    </w:rPr>
                    <w:jc w:val="center"/>
                    <w:spacing w:after="0" w:lineRule="auto" w:line="240"/>
                  </w:pPr>
                  <w:r>
                    <w:rPr>
                      <w:b w:val="1"/>
                      <w:bCs w:val="1"/>
                      <w:color w:val="FFFFFF"/>
                      <w:rFonts w:ascii="Calibri" w:hAnsi="Calibri" w:cs="Times New Roman" w:eastAsia="Times New Roman"/>
                    </w:rPr>
                    <w:t>Gemini pass-</w:t>
                  </w:r>
                  <w:r>
                    <w:rPr>
                      <w:b w:val="1"/>
                      <w:bCs w:val="1"/>
                      <w:color w:val="FFFFFF"/>
                      <w:rFonts w:ascii="Calibri" w:hAnsi="Calibri" w:cs="Times New Roman" w:eastAsia="Times New Roman"/>
                    </w:rPr>
                    <w:t>through Invoices</w:t>
                  </w:r>
                </w:p>
              </w:tc>
            </w:tr>
            <w:tr>
              <w:trPr>
                <w:trHeight w:hRule="atLeast" w:val="330"/>
                <w:gridAfter w:val="1"/>
              </w:trPr>
              <w:tc>
                <w:tcPr>
                  <w:shd w:val="clear" w:fill="0E3570"/>
                  <w:tcW w:type="dxa" w:w="3487"/>
                  <w:vAlign w:val="bottom"/>
                  <w:tcBorders>
                    <w:left w:val="single" w:sz="8" w:space="0" w:color="FFFFFF"/>
                    <w:top w:val="single" w:sz="8" w:space="0" w:color="FFFFFF"/>
                    <w:right w:val="single" w:sz="8" w:space="0" w:color="FFFFFF"/>
                    <w:bottom w:val="single" w:sz="12" w:space="0" w:color="FFFFFF"/>
                  </w:tcBorders>
                </w:tcPr>
                <w:p>
                  <w:pPr>
                    <w:rPr>
                      <w:b w:val="1"/>
                      <w:bCs w:val="1"/>
                      <w:color w:val="FFFFFF"/>
                      <w:rFonts w:ascii="Calibri" w:hAnsi="Calibri" w:cs="Times New Roman" w:eastAsia="Times New Roman"/>
                    </w:rPr>
                    <w:jc w:val="center"/>
                    <w:spacing w:after="0" w:lineRule="auto" w:line="240"/>
                  </w:pPr>
                  <w:r>
                    <w:rPr>
                      <w:b w:val="1"/>
                      <w:bCs w:val="1"/>
                      <w:color w:val="FFFFFF"/>
                      <w:rFonts w:ascii="Calibri" w:hAnsi="Calibri" w:cs="Times New Roman" w:eastAsia="Times New Roman"/>
                    </w:rPr>
                    <w:t>Invoice Type</w:t>
                  </w:r>
                </w:p>
              </w:tc>
              <w:tc>
                <w:tcPr>
                  <w:shd w:val="clear" w:fill="0E3570"/>
                  <w:tcW w:type="dxa" w:w="3544"/>
                  <w:vAlign w:val="bottom"/>
                  <w:tcBorders>
                    <w:left w:val="nil"/>
                    <w:top w:val="single" w:sz="8" w:space="0" w:color="FFFFFF"/>
                    <w:right w:val="single" w:sz="8" w:space="0" w:color="FFFFFF"/>
                    <w:bottom w:val="single" w:sz="12" w:space="0" w:color="FFFFFF"/>
                  </w:tcBorders>
                </w:tcPr>
                <w:p>
                  <w:pPr>
                    <w:rPr>
                      <w:b w:val="1"/>
                      <w:bCs w:val="1"/>
                      <w:color w:val="FFFFFF"/>
                      <w:rFonts w:ascii="Calibri" w:hAnsi="Calibri" w:cs="Times New Roman" w:eastAsia="Times New Roman"/>
                    </w:rPr>
                    <w:jc w:val="center"/>
                    <w:spacing w:after="0" w:lineRule="auto" w:line="240"/>
                  </w:pPr>
                  <w:r>
                    <w:rPr>
                      <w:b w:val="1"/>
                      <w:bCs w:val="1"/>
                      <w:color w:val="FFFFFF"/>
                      <w:rFonts w:ascii="Calibri" w:hAnsi="Calibri" w:cs="Times New Roman" w:eastAsia="Times New Roman"/>
                    </w:rPr>
                    <w:t xml:space="preserve">New </w:t>
                  </w:r>
                  <w:r>
                    <w:rPr>
                      <w:b w:val="1"/>
                      <w:bCs w:val="1"/>
                      <w:color w:val="FFFFFF"/>
                      <w:rFonts w:ascii="Calibri" w:hAnsi="Calibri" w:cs="Times New Roman" w:eastAsia="Times New Roman"/>
                    </w:rPr>
                    <w:t>Charge Types</w:t>
                  </w:r>
                </w:p>
              </w:tc>
            </w:tr>
            <w:tr>
              <w:trPr>
                <w:trHeight w:hRule="atLeast" w:val="330"/>
                <w:gridAfter w:val="1"/>
              </w:trPr>
              <w:tc>
                <w:tcPr>
                  <w:shd w:val="clear" w:fill="CCCED5"/>
                  <w:tcW w:type="dxa" w:w="3487"/>
                  <w:vAlign w:val="center"/>
                  <w:tcBorders>
                    <w:left w:val="single" w:sz="8" w:space="0" w:color="FFFFFF"/>
                    <w:top w:val="nil"/>
                    <w:right w:val="single" w:sz="8" w:space="0" w:color="FFFFFF"/>
                    <w:bottom w:val="single" w:sz="8" w:space="0" w:color="FFFFFF"/>
                  </w:tcBorders>
                </w:tcPr>
                <w:p>
                  <w:pPr>
                    <w:rPr>
                      <w:color w:val="000000"/>
                      <w:rFonts w:ascii="Calibri" w:hAnsi="Calibri" w:cs="Times New Roman" w:eastAsia="Times New Roman"/>
                    </w:rPr>
                    <w:jc w:val="center"/>
                    <w:spacing w:after="0" w:lineRule="auto" w:line="240"/>
                  </w:pPr>
                  <w:r>
                    <w:rPr>
                      <w:color w:val="000000"/>
                      <w:rFonts w:ascii="Calibri" w:hAnsi="Calibri" w:cs="Times New Roman" w:eastAsia="Times New Roman"/>
                    </w:rPr>
                    <w:t>ECO - NTS Entry Commodity</w:t>
                  </w:r>
                </w:p>
              </w:tc>
              <w:tc>
                <w:tcPr>
                  <w:shd w:val="clear" w:fill="CCCED5"/>
                  <w:tcW w:type="dxa" w:w="3544"/>
                  <w:vAlign w:val="center"/>
                  <w:tcBorders>
                    <w:left w:val="nil"/>
                    <w:top w:val="nil"/>
                    <w:right w:val="single" w:sz="8" w:space="0" w:color="FFFFFF"/>
                    <w:bottom w:val="single" w:sz="8" w:space="0" w:color="FFFFFF"/>
                  </w:tcBorders>
                </w:tcPr>
                <w:p>
                  <w:pPr>
                    <w:rPr>
                      <w:b w:val="1"/>
                      <w:bCs w:val="1"/>
                      <w:color w:val="000000"/>
                      <w:rFonts w:ascii="Calibri" w:hAnsi="Calibri" w:cs="Times New Roman" w:eastAsia="Times New Roman"/>
                    </w:rPr>
                    <w:spacing w:after="0" w:lineRule="auto" w:line="240"/>
                  </w:pPr>
                  <w:r>
                    <w:rPr>
                      <w:b w:val="1"/>
                      <w:bCs w:val="1"/>
                      <w:color w:val="000000"/>
                      <w:rFonts w:ascii="Calibri" w:hAnsi="Calibri" w:cs="Times New Roman" w:eastAsia="Times New Roman"/>
                    </w:rPr>
                    <w:t>ECS</w:t>
                  </w:r>
                  <w:r>
                    <w:rPr>
                      <w:color w:val="000000"/>
                      <w:rFonts w:ascii="Calibri" w:hAnsi="Calibri" w:cs="Times New Roman" w:eastAsia="Times New Roman"/>
                    </w:rPr>
                    <w:t xml:space="preserve"> - NTS </w:t>
                  </w:r>
                  <w:r>
                    <w:rPr>
                      <w:color w:val="000000"/>
                      <w:rFonts w:ascii="Calibri" w:hAnsi="Calibri" w:cs="Times New Roman" w:eastAsia="Times New Roman"/>
                    </w:rPr>
                    <w:t>EnCOM</w:t>
                  </w:r>
                  <w:r>
                    <w:rPr>
                      <w:color w:val="000000"/>
                      <w:rFonts w:ascii="Calibri" w:hAnsi="Calibri" w:cs="Times New Roman" w:eastAsia="Times New Roman"/>
                    </w:rPr>
                    <w:t xml:space="preserve"> </w:t>
                  </w:r>
                  <w:r>
                    <w:rPr>
                      <w:color w:val="000000"/>
                      <w:rFonts w:ascii="Calibri" w:hAnsi="Calibri" w:cs="Times New Roman" w:eastAsia="Times New Roman"/>
                    </w:rPr>
                    <w:t>NTrxn</w:t>
                  </w:r>
                  <w:r>
                    <w:rPr>
                      <w:color w:val="000000"/>
                      <w:rFonts w:ascii="Calibri" w:hAnsi="Calibri" w:cs="Times New Roman" w:eastAsia="Times New Roman"/>
                    </w:rPr>
                    <w:t xml:space="preserve"> </w:t>
                  </w:r>
                  <w:r>
                    <w:rPr>
                      <w:color w:val="000000"/>
                      <w:rFonts w:ascii="Calibri" w:hAnsi="Calibri" w:cs="Times New Roman" w:eastAsia="Times New Roman"/>
                    </w:rPr>
                    <w:t>Chg</w:t>
                  </w:r>
                </w:p>
              </w:tc>
            </w:tr>
            <w:tr>
              <w:trPr>
                <w:trHeight w:hRule="atLeast" w:val="315"/>
                <w:gridAfter w:val="1"/>
              </w:trPr>
              <w:tc>
                <w:tcPr>
                  <w:shd w:val="clear" w:fill="CCCED5"/>
                  <w:tcW w:type="dxa" w:w="3487"/>
                  <w:vAlign w:val="center"/>
                  <w:tcBorders>
                    <w:left w:val="single" w:sz="8" w:space="0" w:color="FFFFFF"/>
                    <w:top w:val="nil"/>
                    <w:right w:val="single" w:sz="8" w:space="0" w:color="FFFFFF"/>
                    <w:bottom w:val="single" w:sz="8" w:space="0" w:color="FFFFFF"/>
                  </w:tcBorders>
                  <w:vMerge w:val="restart"/>
                </w:tcPr>
                <w:p>
                  <w:pPr>
                    <w:rPr>
                      <w:color w:val="000000"/>
                      <w:rFonts w:ascii="Calibri" w:hAnsi="Calibri" w:cs="Times New Roman" w:eastAsia="Times New Roman"/>
                    </w:rPr>
                    <w:jc w:val="center"/>
                    <w:spacing w:after="0" w:lineRule="auto" w:line="240"/>
                  </w:pPr>
                  <w:r>
                    <w:rPr>
                      <w:color w:val="000000"/>
                      <w:rFonts w:ascii="Calibri" w:hAnsi="Calibri" w:cs="Times New Roman" w:eastAsia="Times New Roman"/>
                    </w:rPr>
                    <w:t>NTE - NTS ENTRY CAPACITY</w:t>
                  </w:r>
                </w:p>
              </w:tc>
              <w:tc>
                <w:tcPr>
                  <w:shd w:val="clear" w:fill="CCCED5"/>
                  <w:tcW w:type="dxa" w:w="3544"/>
                  <w:vAlign w:val="center"/>
                  <w:tcBorders>
                    <w:left w:val="nil"/>
                    <w:top w:val="nil"/>
                    <w:right w:val="single" w:sz="8" w:space="0" w:color="FFFFFF"/>
                    <w:bottom w:val="single" w:sz="8" w:space="0" w:color="FFFFFF"/>
                  </w:tcBorders>
                </w:tcPr>
                <w:p>
                  <w:pPr>
                    <w:rPr>
                      <w:b w:val="1"/>
                      <w:bCs w:val="1"/>
                      <w:color w:val="000000"/>
                      <w:rFonts w:ascii="Calibri" w:hAnsi="Calibri" w:cs="Times New Roman" w:eastAsia="Times New Roman"/>
                    </w:rPr>
                    <w:spacing w:after="0" w:lineRule="auto" w:line="240"/>
                  </w:pPr>
                  <w:r>
                    <w:rPr>
                      <w:b w:val="1"/>
                      <w:bCs w:val="1"/>
                      <w:color w:val="000000"/>
                      <w:rFonts w:ascii="Calibri" w:hAnsi="Calibri" w:cs="Times New Roman" w:eastAsia="Times New Roman"/>
                    </w:rPr>
                    <w:t>RRC</w:t>
                  </w:r>
                  <w:r>
                    <w:rPr>
                      <w:color w:val="000000"/>
                      <w:rFonts w:ascii="Calibri" w:hAnsi="Calibri" w:cs="Times New Roman" w:eastAsia="Times New Roman"/>
                    </w:rPr>
                    <w:t xml:space="preserve"> - NTS Entry Rev Rec </w:t>
                  </w:r>
                  <w:r>
                    <w:rPr>
                      <w:color w:val="000000"/>
                      <w:rFonts w:ascii="Calibri" w:hAnsi="Calibri" w:cs="Times New Roman" w:eastAsia="Times New Roman"/>
                    </w:rPr>
                    <w:t>Chg</w:t>
                  </w:r>
                </w:p>
              </w:tc>
            </w:tr>
            <w:tr>
              <w:trPr>
                <w:trHeight w:hRule="atLeast" w:val="315"/>
                <w:gridAfter w:val="1"/>
              </w:trPr>
              <w:tc>
                <w:tcPr>
                  <w:tcW w:type="dxa" w:w="3487"/>
                  <w:vAlign w:val="center"/>
                  <w:tcBorders>
                    <w:left w:val="single" w:sz="8" w:space="0" w:color="FFFFFF"/>
                    <w:top w:val="nil"/>
                    <w:right w:val="single" w:sz="8" w:space="0" w:color="FFFFFF"/>
                    <w:bottom w:val="single" w:sz="8" w:space="0" w:color="FFFFFF"/>
                  </w:tcBorders>
                  <w:vMerge w:val="continue"/>
                </w:tcPr>
                <w:p/>
              </w:tc>
              <w:tc>
                <w:tcPr>
                  <w:shd w:val="clear" w:fill="E7E8EB"/>
                  <w:tcW w:type="dxa" w:w="3544"/>
                  <w:vAlign w:val="center"/>
                  <w:tcBorders>
                    <w:left w:val="nil"/>
                    <w:top w:val="nil"/>
                    <w:right w:val="single" w:sz="8" w:space="0" w:color="FFFFFF"/>
                    <w:bottom w:val="single" w:sz="8" w:space="0" w:color="FFFFFF"/>
                  </w:tcBorders>
                </w:tcPr>
                <w:p>
                  <w:pPr>
                    <w:rPr>
                      <w:b w:val="1"/>
                      <w:bCs w:val="1"/>
                      <w:color w:val="000000"/>
                      <w:rFonts w:ascii="Calibri" w:hAnsi="Calibri" w:cs="Times New Roman" w:eastAsia="Times New Roman"/>
                    </w:rPr>
                    <w:spacing w:after="0" w:lineRule="auto" w:line="240"/>
                  </w:pPr>
                  <w:r>
                    <w:rPr>
                      <w:b w:val="1"/>
                      <w:bCs w:val="1"/>
                      <w:color w:val="000000"/>
                      <w:rFonts w:ascii="Calibri" w:hAnsi="Calibri" w:cs="Times New Roman" w:eastAsia="Times New Roman"/>
                    </w:rPr>
                    <w:t>ARR</w:t>
                  </w:r>
                  <w:r>
                    <w:rPr>
                      <w:color w:val="000000"/>
                      <w:rFonts w:ascii="Calibri" w:hAnsi="Calibri" w:cs="Times New Roman" w:eastAsia="Times New Roman"/>
                    </w:rPr>
                    <w:t xml:space="preserve"> - NTS Entry Rev Rec </w:t>
                  </w:r>
                  <w:r>
                    <w:rPr>
                      <w:color w:val="000000"/>
                      <w:rFonts w:ascii="Calibri" w:hAnsi="Calibri" w:cs="Times New Roman" w:eastAsia="Times New Roman"/>
                    </w:rPr>
                    <w:t>Adj</w:t>
                  </w:r>
                  <w:r>
                    <w:rPr>
                      <w:color w:val="000000"/>
                      <w:rFonts w:ascii="Calibri" w:hAnsi="Calibri" w:cs="Times New Roman" w:eastAsia="Times New Roman"/>
                    </w:rPr>
                    <w:t xml:space="preserve"> </w:t>
                  </w:r>
                  <w:r>
                    <w:rPr>
                      <w:color w:val="000000"/>
                      <w:rFonts w:ascii="Calibri" w:hAnsi="Calibri" w:cs="Times New Roman" w:eastAsia="Times New Roman"/>
                    </w:rPr>
                    <w:t>Chg</w:t>
                  </w:r>
                </w:p>
              </w:tc>
            </w:tr>
            <w:tr>
              <w:trPr>
                <w:trHeight w:hRule="atLeast" w:val="315"/>
                <w:gridAfter w:val="1"/>
              </w:trPr>
              <w:tc>
                <w:tcPr>
                  <w:tcW w:type="dxa" w:w="3487"/>
                  <w:vAlign w:val="center"/>
                  <w:tcBorders>
                    <w:left w:val="single" w:sz="8" w:space="0" w:color="FFFFFF"/>
                    <w:top w:val="nil"/>
                    <w:right w:val="single" w:sz="8" w:space="0" w:color="FFFFFF"/>
                    <w:bottom w:val="single" w:sz="8" w:space="0" w:color="FFFFFF"/>
                  </w:tcBorders>
                  <w:vMerge w:val="continue"/>
                </w:tcPr>
                <w:p/>
              </w:tc>
              <w:tc>
                <w:tcPr>
                  <w:shd w:val="clear" w:fill="CCCED5"/>
                  <w:tcW w:type="dxa" w:w="3544"/>
                  <w:vAlign w:val="center"/>
                  <w:tcBorders>
                    <w:left w:val="nil"/>
                    <w:top w:val="nil"/>
                    <w:right w:val="single" w:sz="8" w:space="0" w:color="FFFFFF"/>
                    <w:bottom w:val="single" w:sz="8" w:space="0" w:color="FFFFFF"/>
                  </w:tcBorders>
                </w:tcPr>
                <w:p>
                  <w:pPr>
                    <w:rPr>
                      <w:b w:val="1"/>
                      <w:bCs w:val="1"/>
                      <w:color w:val="000000"/>
                      <w:rFonts w:ascii="Calibri" w:hAnsi="Calibri" w:cs="Times New Roman" w:eastAsia="Times New Roman"/>
                    </w:rPr>
                    <w:spacing w:after="0" w:lineRule="auto" w:line="240"/>
                  </w:pPr>
                  <w:r>
                    <w:rPr>
                      <w:b w:val="1"/>
                      <w:bCs w:val="1"/>
                      <w:color w:val="000000"/>
                      <w:rFonts w:ascii="Calibri" w:hAnsi="Calibri" w:cs="Times New Roman" w:eastAsia="Times New Roman"/>
                    </w:rPr>
                    <w:t>NER</w:t>
                  </w:r>
                  <w:r>
                    <w:rPr>
                      <w:color w:val="000000"/>
                      <w:rFonts w:ascii="Calibri" w:hAnsi="Calibri" w:cs="Times New Roman" w:eastAsia="Times New Roman"/>
                    </w:rPr>
                    <w:t xml:space="preserve"> - NTS </w:t>
                  </w:r>
                  <w:r>
                    <w:rPr>
                      <w:color w:val="000000"/>
                      <w:rFonts w:ascii="Calibri" w:hAnsi="Calibri" w:cs="Times New Roman" w:eastAsia="Times New Roman"/>
                    </w:rPr>
                    <w:t>Txn</w:t>
                  </w:r>
                  <w:r>
                    <w:rPr>
                      <w:color w:val="000000"/>
                      <w:rFonts w:ascii="Calibri" w:hAnsi="Calibri" w:cs="Times New Roman" w:eastAsia="Times New Roman"/>
                    </w:rPr>
                    <w:t xml:space="preserve"> </w:t>
                  </w:r>
                  <w:r>
                    <w:rPr>
                      <w:color w:val="000000"/>
                      <w:rFonts w:ascii="Calibri" w:hAnsi="Calibri" w:cs="Times New Roman" w:eastAsia="Times New Roman"/>
                    </w:rPr>
                    <w:t>En</w:t>
                  </w:r>
                  <w:r>
                    <w:rPr>
                      <w:color w:val="000000"/>
                      <w:rFonts w:ascii="Calibri" w:hAnsi="Calibri" w:cs="Times New Roman" w:eastAsia="Times New Roman"/>
                    </w:rPr>
                    <w:t xml:space="preserve"> Charge </w:t>
                  </w:r>
                  <w:r>
                    <w:rPr>
                      <w:color w:val="000000"/>
                      <w:rFonts w:ascii="Calibri" w:hAnsi="Calibri" w:cs="Times New Roman" w:eastAsia="Times New Roman"/>
                    </w:rPr>
                    <w:t>Rbt</w:t>
                  </w:r>
                </w:p>
              </w:tc>
            </w:tr>
            <w:tr>
              <w:trPr>
                <w:trHeight w:hRule="atLeast" w:val="315"/>
                <w:gridAfter w:val="1"/>
              </w:trPr>
              <w:tc>
                <w:tcPr>
                  <w:tcW w:type="dxa" w:w="3487"/>
                  <w:vAlign w:val="center"/>
                  <w:tcBorders>
                    <w:left w:val="single" w:sz="8" w:space="0" w:color="FFFFFF"/>
                    <w:top w:val="nil"/>
                    <w:right w:val="single" w:sz="8" w:space="0" w:color="FFFFFF"/>
                    <w:bottom w:val="single" w:sz="8" w:space="0" w:color="FFFFFF"/>
                  </w:tcBorders>
                  <w:vMerge w:val="continue"/>
                </w:tcPr>
                <w:p/>
              </w:tc>
              <w:tc>
                <w:tcPr>
                  <w:shd w:val="clear" w:fill="E7E8EB"/>
                  <w:tcW w:type="dxa" w:w="3544"/>
                  <w:vAlign w:val="center"/>
                  <w:tcBorders>
                    <w:left w:val="nil"/>
                    <w:top w:val="nil"/>
                    <w:right w:val="single" w:sz="8" w:space="0" w:color="FFFFFF"/>
                    <w:bottom w:val="single" w:sz="8" w:space="0" w:color="FFFFFF"/>
                  </w:tcBorders>
                </w:tcPr>
                <w:p>
                  <w:pPr>
                    <w:rPr>
                      <w:b w:val="1"/>
                      <w:bCs w:val="1"/>
                      <w:color w:val="000000"/>
                      <w:rFonts w:ascii="Calibri" w:hAnsi="Calibri" w:cs="Times New Roman" w:eastAsia="Times New Roman"/>
                    </w:rPr>
                    <w:spacing w:after="0" w:lineRule="auto" w:line="240"/>
                  </w:pPr>
                  <w:r>
                    <w:rPr>
                      <w:b w:val="1"/>
                      <w:bCs w:val="1"/>
                      <w:color w:val="000000"/>
                      <w:rFonts w:ascii="Calibri" w:hAnsi="Calibri" w:cs="Times New Roman" w:eastAsia="Times New Roman"/>
                    </w:rPr>
                    <w:t>NEA</w:t>
                  </w:r>
                  <w:r>
                    <w:rPr>
                      <w:color w:val="000000"/>
                      <w:rFonts w:ascii="Calibri" w:hAnsi="Calibri" w:cs="Times New Roman" w:eastAsia="Times New Roman"/>
                    </w:rPr>
                    <w:t xml:space="preserve"> - NTS </w:t>
                  </w:r>
                  <w:r>
                    <w:rPr>
                      <w:color w:val="000000"/>
                      <w:rFonts w:ascii="Calibri" w:hAnsi="Calibri" w:cs="Times New Roman" w:eastAsia="Times New Roman"/>
                    </w:rPr>
                    <w:t>Txn</w:t>
                  </w:r>
                  <w:r>
                    <w:rPr>
                      <w:color w:val="000000"/>
                      <w:rFonts w:ascii="Calibri" w:hAnsi="Calibri" w:cs="Times New Roman" w:eastAsia="Times New Roman"/>
                    </w:rPr>
                    <w:t xml:space="preserve"> </w:t>
                  </w:r>
                  <w:r>
                    <w:rPr>
                      <w:color w:val="000000"/>
                      <w:rFonts w:ascii="Calibri" w:hAnsi="Calibri" w:cs="Times New Roman" w:eastAsia="Times New Roman"/>
                    </w:rPr>
                    <w:t>En</w:t>
                  </w:r>
                  <w:r>
                    <w:rPr>
                      <w:color w:val="000000"/>
                      <w:rFonts w:ascii="Calibri" w:hAnsi="Calibri" w:cs="Times New Roman" w:eastAsia="Times New Roman"/>
                    </w:rPr>
                    <w:t xml:space="preserve"> Charge </w:t>
                  </w:r>
                  <w:r>
                    <w:rPr>
                      <w:color w:val="000000"/>
                      <w:rFonts w:ascii="Calibri" w:hAnsi="Calibri" w:cs="Times New Roman" w:eastAsia="Times New Roman"/>
                    </w:rPr>
                    <w:t>Rbt</w:t>
                  </w:r>
                  <w:r>
                    <w:rPr>
                      <w:color w:val="000000"/>
                      <w:rFonts w:ascii="Calibri" w:hAnsi="Calibri" w:cs="Times New Roman" w:eastAsia="Times New Roman"/>
                    </w:rPr>
                    <w:t xml:space="preserve"> </w:t>
                  </w:r>
                  <w:r>
                    <w:rPr>
                      <w:color w:val="000000"/>
                      <w:rFonts w:ascii="Calibri" w:hAnsi="Calibri" w:cs="Times New Roman" w:eastAsia="Times New Roman"/>
                    </w:rPr>
                    <w:t>Adj</w:t>
                  </w:r>
                </w:p>
              </w:tc>
            </w:tr>
            <w:tr>
              <w:trPr>
                <w:trHeight w:hRule="atLeast" w:val="315"/>
                <w:gridAfter w:val="1"/>
              </w:trPr>
              <w:tc>
                <w:tcPr>
                  <w:shd w:val="clear" w:fill="CCCED5"/>
                  <w:tcW w:type="dxa" w:w="3487"/>
                  <w:vAlign w:val="center"/>
                  <w:tcBorders>
                    <w:left w:val="single" w:sz="8" w:space="0" w:color="FFFFFF"/>
                    <w:top w:val="nil"/>
                    <w:right w:val="single" w:sz="8" w:space="0" w:color="FFFFFF"/>
                    <w:bottom w:val="single" w:sz="8" w:space="0" w:color="FFFFFF"/>
                  </w:tcBorders>
                  <w:vMerge w:val="restart"/>
                </w:tcPr>
                <w:p>
                  <w:pPr>
                    <w:rPr>
                      <w:color w:val="000000"/>
                      <w:rFonts w:ascii="Calibri" w:hAnsi="Calibri" w:cs="Times New Roman" w:eastAsia="Times New Roman"/>
                    </w:rPr>
                    <w:jc w:val="center"/>
                    <w:spacing w:after="0" w:lineRule="auto" w:line="240"/>
                  </w:pPr>
                  <w:r>
                    <w:rPr>
                      <w:color w:val="000000"/>
                      <w:rFonts w:ascii="Calibri" w:hAnsi="Calibri" w:cs="Times New Roman" w:eastAsia="Times New Roman"/>
                    </w:rPr>
                    <w:t>NXC - NTS EXIT FLAT CAPACITY INVOICE</w:t>
                  </w:r>
                </w:p>
              </w:tc>
              <w:tc>
                <w:tcPr>
                  <w:shd w:val="clear" w:fill="CCCED5"/>
                  <w:tcW w:type="dxa" w:w="3544"/>
                  <w:vAlign w:val="center"/>
                  <w:tcBorders>
                    <w:left w:val="nil"/>
                    <w:top w:val="nil"/>
                    <w:right w:val="single" w:sz="8" w:space="0" w:color="FFFFFF"/>
                    <w:bottom w:val="single" w:sz="8" w:space="0" w:color="FFFFFF"/>
                  </w:tcBorders>
                </w:tcPr>
                <w:p>
                  <w:pPr>
                    <w:rPr>
                      <w:b w:val="1"/>
                      <w:bCs w:val="1"/>
                      <w:color w:val="000000"/>
                      <w:rFonts w:ascii="Calibri" w:hAnsi="Calibri" w:cs="Times New Roman" w:eastAsia="Times New Roman"/>
                    </w:rPr>
                    <w:spacing w:after="0" w:lineRule="auto" w:line="240"/>
                  </w:pPr>
                  <w:r>
                    <w:rPr>
                      <w:b w:val="1"/>
                      <w:bCs w:val="1"/>
                      <w:color w:val="000000"/>
                      <w:rFonts w:ascii="Calibri" w:hAnsi="Calibri" w:cs="Times New Roman" w:eastAsia="Times New Roman"/>
                    </w:rPr>
                    <w:t>RRX</w:t>
                  </w:r>
                  <w:r>
                    <w:rPr>
                      <w:color w:val="000000"/>
                      <w:rFonts w:ascii="Calibri" w:hAnsi="Calibri" w:cs="Times New Roman" w:eastAsia="Times New Roman"/>
                    </w:rPr>
                    <w:t xml:space="preserve"> - NTS Exit Rev Rec </w:t>
                  </w:r>
                  <w:r>
                    <w:rPr>
                      <w:color w:val="000000"/>
                      <w:rFonts w:ascii="Calibri" w:hAnsi="Calibri" w:cs="Times New Roman" w:eastAsia="Times New Roman"/>
                    </w:rPr>
                    <w:t>Chg</w:t>
                  </w:r>
                </w:p>
              </w:tc>
            </w:tr>
            <w:tr>
              <w:trPr>
                <w:trHeight w:hRule="atLeast" w:val="315"/>
                <w:gridAfter w:val="1"/>
              </w:trPr>
              <w:tc>
                <w:tcPr>
                  <w:tcW w:type="dxa" w:w="3487"/>
                  <w:vAlign w:val="center"/>
                  <w:tcBorders>
                    <w:left w:val="single" w:sz="8" w:space="0" w:color="FFFFFF"/>
                    <w:top w:val="nil"/>
                    <w:right w:val="single" w:sz="8" w:space="0" w:color="FFFFFF"/>
                    <w:bottom w:val="single" w:sz="8" w:space="0" w:color="FFFFFF"/>
                  </w:tcBorders>
                  <w:vMerge w:val="continue"/>
                </w:tcPr>
                <w:p/>
              </w:tc>
              <w:tc>
                <w:tcPr>
                  <w:shd w:val="clear" w:fill="E7E8EB"/>
                  <w:tcW w:type="dxa" w:w="3544"/>
                  <w:vAlign w:val="center"/>
                  <w:tcBorders>
                    <w:left w:val="nil"/>
                    <w:top w:val="nil"/>
                    <w:right w:val="single" w:sz="8" w:space="0" w:color="FFFFFF"/>
                    <w:bottom w:val="single" w:sz="8" w:space="0" w:color="FFFFFF"/>
                  </w:tcBorders>
                </w:tcPr>
                <w:p>
                  <w:pPr>
                    <w:rPr>
                      <w:b w:val="1"/>
                      <w:bCs w:val="1"/>
                      <w:color w:val="000000"/>
                      <w:rFonts w:ascii="Calibri" w:hAnsi="Calibri" w:cs="Times New Roman" w:eastAsia="Times New Roman"/>
                    </w:rPr>
                    <w:spacing w:after="0" w:lineRule="auto" w:line="240"/>
                  </w:pPr>
                  <w:r>
                    <w:rPr>
                      <w:b w:val="1"/>
                      <w:bCs w:val="1"/>
                      <w:color w:val="000000"/>
                      <w:rFonts w:ascii="Calibri" w:hAnsi="Calibri" w:cs="Times New Roman" w:eastAsia="Times New Roman"/>
                    </w:rPr>
                    <w:t>ARX</w:t>
                  </w:r>
                  <w:r>
                    <w:rPr>
                      <w:color w:val="000000"/>
                      <w:rFonts w:ascii="Calibri" w:hAnsi="Calibri" w:cs="Times New Roman" w:eastAsia="Times New Roman"/>
                    </w:rPr>
                    <w:t xml:space="preserve"> - NTS Exit Rev Rec </w:t>
                  </w:r>
                  <w:r>
                    <w:rPr>
                      <w:color w:val="000000"/>
                      <w:rFonts w:ascii="Calibri" w:hAnsi="Calibri" w:cs="Times New Roman" w:eastAsia="Times New Roman"/>
                    </w:rPr>
                    <w:t>Adj</w:t>
                  </w:r>
                  <w:r>
                    <w:rPr>
                      <w:color w:val="000000"/>
                      <w:rFonts w:ascii="Calibri" w:hAnsi="Calibri" w:cs="Times New Roman" w:eastAsia="Times New Roman"/>
                    </w:rPr>
                    <w:t xml:space="preserve"> </w:t>
                  </w:r>
                  <w:r>
                    <w:rPr>
                      <w:color w:val="000000"/>
                      <w:rFonts w:ascii="Calibri" w:hAnsi="Calibri" w:cs="Times New Roman" w:eastAsia="Times New Roman"/>
                    </w:rPr>
                    <w:t>Chg</w:t>
                  </w:r>
                </w:p>
              </w:tc>
            </w:tr>
          </w:tbl>
          <w:p>
            <w:pPr>
              <w:jc w:val="both"/>
              <w:spacing w:before="96" w:after="96"/>
            </w:pPr>
          </w:p>
          <w:p>
            <w:pPr>
              <w:jc w:val="both"/>
              <w:spacing w:before="96" w:after="96"/>
            </w:pPr>
            <w:r>
              <w:t xml:space="preserve">The Comprehensive Invoices Charge Types list for Shippers and Transmission are </w:t>
            </w:r>
            <w:r>
              <w:t>updated</w:t>
            </w:r>
            <w:r>
              <w:t xml:space="preserve"> below:</w:t>
            </w:r>
          </w:p>
          <w:p>
            <w:pPr>
              <w:jc w:val="both"/>
              <w:spacing w:before="96" w:after="96"/>
            </w:pPr>
          </w:p>
          <w:p>
            <w:pPr>
              <w:rPr>
                <w:b w:val="1"/>
                <w:bCs w:val="1"/>
                <w:color w:val="FF0000"/>
              </w:rPr>
              <w:jc w:val="both"/>
              <w:spacing w:before="96" w:after="96"/>
            </w:pPr>
            <w:hyperlink r:id="Rdd54cc7b5a534fbc">
              <w:r>
                <w:rPr>
                  <w:rStyle w:val="Hyperlink"/>
                  <w:b w:val="1"/>
                  <w:bCs w:val="1"/>
                </w:rPr>
                <w:t>Comprehensive Invoices Charge Types List (Shippers)</w:t>
              </w:r>
            </w:hyperlink>
          </w:p>
          <w:p>
            <w:pPr>
              <w:rPr>
                <w:b w:val="1"/>
                <w:bCs w:val="1"/>
                <w:color w:val="FF0000"/>
              </w:rPr>
              <w:jc w:val="both"/>
              <w:spacing w:before="96" w:after="96"/>
            </w:pPr>
            <w:hyperlink r:id="Rf0272f2d54c74e99">
              <w:r>
                <w:rPr>
                  <w:rStyle w:val="Hyperlink"/>
                  <w:b w:val="1"/>
                  <w:bCs w:val="1"/>
                </w:rPr>
                <w:t>Comprehensive Invoices Charge Types List (Transmission)</w:t>
              </w:r>
            </w:hyperlink>
          </w:p>
          <w:p>
            <w:pPr>
              <w:jc w:val="both"/>
              <w:spacing w:before="96" w:after="96"/>
            </w:pPr>
          </w:p>
          <w:p>
            <w:pPr>
              <w:jc w:val="both"/>
              <w:spacing w:before="96" w:after="96"/>
            </w:pPr>
            <w:r>
              <w:t xml:space="preserve">The </w:t>
            </w:r>
            <w:r>
              <w:t>N</w:t>
            </w:r>
            <w:r>
              <w:t xml:space="preserve">ew </w:t>
            </w:r>
            <w:r>
              <w:t>C</w:t>
            </w:r>
            <w:r>
              <w:t xml:space="preserve">harge Types will also be reflected in the </w:t>
            </w:r>
            <w:r>
              <w:t xml:space="preserve">Transmission </w:t>
            </w:r>
            <w:r>
              <w:t>RTB Template</w:t>
            </w:r>
            <w:r>
              <w:t>.</w:t>
            </w:r>
          </w:p>
          <w:p>
            <w:pPr>
              <w:jc w:val="both"/>
              <w:spacing w:before="96" w:after="96"/>
            </w:pPr>
          </w:p>
          <w:p>
            <w:pPr>
              <w:rPr>
                <w:b w:val="1"/>
                <w:bCs w:val="1"/>
              </w:rPr>
              <w:jc w:val="both"/>
              <w:spacing w:before="96" w:after="96"/>
            </w:pPr>
            <w:r>
              <w:rPr>
                <w:b w:val="1"/>
                <w:bCs w:val="1"/>
                <w:rFonts w:ascii="Arial" w:hAnsi="Arial" w:cs="Arial"/>
                <w:u w:val="single"/>
              </w:rPr>
              <w:t>Gemini Passthrough Invoice File Format change</w:t>
            </w:r>
          </w:p>
          <w:p>
            <w:pPr>
              <w:rPr>
                <w:rFonts w:cs="Arial"/>
              </w:rPr>
              <w:jc w:val="both"/>
            </w:pPr>
          </w:p>
          <w:p>
            <w:pPr>
              <w:rPr>
                <w:rFonts w:cs="Arial"/>
              </w:rPr>
              <w:jc w:val="both"/>
            </w:pPr>
            <w:r>
              <w:rPr>
                <w:rFonts w:cs="Arial"/>
              </w:rPr>
              <w:t>New records are required to be added to the ex</w:t>
            </w:r>
            <w:r>
              <w:rPr>
                <w:rFonts w:cs="Arial"/>
              </w:rPr>
              <w:t xml:space="preserve">isting </w:t>
            </w:r>
            <w:r>
              <w:rPr>
                <w:rFonts w:cs="Arial"/>
              </w:rPr>
              <w:t>Invoices de</w:t>
            </w:r>
            <w:r>
              <w:rPr>
                <w:rFonts w:cs="Arial"/>
              </w:rPr>
              <w:t>tailed below</w:t>
            </w:r>
            <w:r>
              <w:rPr>
                <w:rFonts w:cs="Arial"/>
              </w:rPr>
              <w:t xml:space="preserve"> and the amended file formats are embedded:</w:t>
            </w:r>
          </w:p>
          <w:p>
            <w:pPr>
              <w:rPr>
                <w:lang w:val="en-US"/>
              </w:rPr>
              <w:numPr>
                <w:ilvl w:val="1"/>
                <w:numId w:val="5"/>
              </w:numPr>
              <w:jc w:val="both"/>
              <w:spacing w:before="96" w:after="96"/>
            </w:pPr>
            <w:r>
              <w:rPr>
                <w:color w:val="000000"/>
                <w:lang w:val="en-US"/>
              </w:rPr>
              <w:t>NT</w:t>
            </w:r>
            <w:r>
              <w:rPr>
                <w:color w:val="000000"/>
                <w:lang w:val="en-US"/>
              </w:rPr>
              <w:t>E</w:t>
            </w:r>
            <w:r>
              <w:rPr>
                <w:lang w:val="en-US"/>
              </w:rPr>
              <w:t xml:space="preserve"> </w:t>
            </w:r>
            <w:r>
              <w:rPr>
                <w:lang w:val="en-US"/>
              </w:rPr>
              <w:t>-  NTS</w:t>
            </w:r>
            <w:r>
              <w:rPr>
                <w:lang w:val="en-US"/>
              </w:rPr>
              <w:t xml:space="preserve"> Entry Capacity Invoice File</w:t>
            </w:r>
          </w:p>
          <w:p>
            <w:pPr>
              <w:rPr>
                <w:lang w:val="en-US"/>
              </w:rPr>
              <w:numPr>
                <w:ilvl w:val="2"/>
                <w:numId w:val="6"/>
              </w:numPr>
              <w:pStyle w:val="List Paragraph"/>
              <w:contextualSpacing w:val="0"/>
            </w:pPr>
            <w:r>
              <w:rPr>
                <w:lang w:val="en-US"/>
              </w:rPr>
              <w:t>Existing record type (N03) will have 2 new optional fields as below</w:t>
            </w:r>
          </w:p>
          <w:p>
            <w:pPr>
              <w:rPr>
                <w:lang w:val="en-US"/>
              </w:rPr>
              <w:numPr>
                <w:ilvl w:val="3"/>
                <w:numId w:val="7"/>
              </w:numPr>
              <w:pStyle w:val="List Paragraph"/>
            </w:pPr>
            <w:r>
              <w:rPr>
                <w:lang w:val="en-US"/>
              </w:rPr>
              <w:t>ACTUAL_RSERVE_PRICE</w:t>
            </w:r>
          </w:p>
          <w:p>
            <w:pPr>
              <w:rPr>
                <w:lang w:val="en-US"/>
              </w:rPr>
              <w:numPr>
                <w:ilvl w:val="3"/>
                <w:numId w:val="7"/>
              </w:numPr>
              <w:pStyle w:val="List Paragraph"/>
              <w:contextualSpacing w:val="0"/>
            </w:pPr>
            <w:r>
              <w:rPr>
                <w:lang w:val="en-US"/>
              </w:rPr>
              <w:t>ACTUAL_PREMIUM_PRICE</w:t>
            </w:r>
          </w:p>
          <w:p>
            <w:pPr>
              <w:rPr>
                <w:b w:val="1"/>
                <w:bCs w:val="1"/>
                <w:lang w:val="en-US"/>
              </w:rPr>
            </w:pPr>
          </w:p>
          <w:p>
            <w:pPr>
              <w:rPr>
                <w:b w:val="1"/>
                <w:bCs w:val="1"/>
                <w:lang w:val="en-US"/>
              </w:rPr>
            </w:pPr>
          </w:p>
          <w:p>
            <w:pPr>
              <w:numPr>
                <w:ilvl w:val="1"/>
                <w:numId w:val="5"/>
              </w:numPr>
              <w:pStyle w:val="List Paragraph"/>
              <w:contextualSpacing w:val="0"/>
            </w:pPr>
            <w:r>
              <w:rPr>
                <w:lang w:val="en-US"/>
              </w:rPr>
              <w:t xml:space="preserve">4 New Record Types will be created in the </w:t>
            </w:r>
            <w:r>
              <w:rPr>
                <w:color w:val="000000"/>
                <w:lang w:val="en-US"/>
              </w:rPr>
              <w:t>NT</w:t>
            </w:r>
            <w:r>
              <w:rPr>
                <w:color w:val="000000"/>
                <w:lang w:val="en-US"/>
              </w:rPr>
              <w:t>E</w:t>
            </w:r>
            <w:r>
              <w:rPr>
                <w:lang w:val="en-US"/>
              </w:rPr>
              <w:t xml:space="preserve"> invoice file</w:t>
            </w:r>
          </w:p>
          <w:p>
            <w:pPr>
              <w:rPr>
                <w:lang w:val="en-US"/>
              </w:rPr>
              <w:numPr>
                <w:ilvl w:val="2"/>
                <w:numId w:val="6"/>
              </w:numPr>
              <w:pStyle w:val="List Paragraph"/>
              <w:contextualSpacing w:val="0"/>
            </w:pPr>
            <w:r>
              <w:rPr>
                <w:lang w:val="en-US"/>
              </w:rPr>
              <w:t>RT_N18_REVENUE_RECOVERY_DETAIL</w:t>
            </w:r>
          </w:p>
          <w:p>
            <w:pPr>
              <w:rPr>
                <w:lang w:val="en-US"/>
              </w:rPr>
              <w:numPr>
                <w:ilvl w:val="2"/>
                <w:numId w:val="6"/>
              </w:numPr>
              <w:pStyle w:val="List Paragraph"/>
              <w:contextualSpacing w:val="0"/>
            </w:pPr>
            <w:r>
              <w:rPr>
                <w:lang w:val="en-US"/>
              </w:rPr>
              <w:t>RT_N19_REVENUE_RECOVERY_ADJUSTMENT_DETAIL</w:t>
            </w:r>
          </w:p>
          <w:p>
            <w:pPr>
              <w:rPr>
                <w:lang w:val="en-US"/>
              </w:rPr>
              <w:numPr>
                <w:ilvl w:val="2"/>
                <w:numId w:val="6"/>
              </w:numPr>
              <w:pStyle w:val="List Paragraph"/>
              <w:contextualSpacing w:val="0"/>
            </w:pPr>
            <w:r>
              <w:rPr>
                <w:lang w:val="en-US"/>
              </w:rPr>
              <w:t>RT_N11_NTS_TRANS_REBATE_DETAIL</w:t>
            </w:r>
          </w:p>
          <w:p>
            <w:pPr>
              <w:rPr>
                <w:lang w:val="en-US"/>
              </w:rPr>
              <w:numPr>
                <w:ilvl w:val="2"/>
                <w:numId w:val="6"/>
              </w:numPr>
              <w:pStyle w:val="List Paragraph"/>
              <w:contextualSpacing w:val="0"/>
            </w:pPr>
            <w:r>
              <w:rPr>
                <w:lang w:val="en-US"/>
              </w:rPr>
              <w:t>RT_N20_NTS_TRANS_REBATE_ADJUSTMENT_DETAIL</w:t>
            </w:r>
          </w:p>
          <w:p>
            <w:pPr>
              <w:rPr>
                <w:lang w:val="en-US"/>
              </w:rPr>
            </w:pPr>
          </w:p>
          <w:p>
            <w:pPr>
              <w:rPr>
                <w:lang w:val="en-US"/>
              </w:rPr>
              <w:pStyle w:val="List Paragraph"/>
              <w:ind w:left="1440"/>
              <w:contextualSpacing w:val="0"/>
            </w:pPr>
          </w:p>
          <w:p>
            <w:pPr>
              <w:rPr>
                <w:lang w:val="en-US"/>
              </w:rPr>
              <w:numPr>
                <w:ilvl w:val="1"/>
                <w:numId w:val="5"/>
              </w:numPr>
              <w:pStyle w:val="List Paragraph"/>
              <w:contextualSpacing w:val="0"/>
            </w:pPr>
            <w:r>
              <w:rPr>
                <w:lang w:val="en-US"/>
              </w:rPr>
              <w:t>2</w:t>
            </w:r>
            <w:bookmarkStart w:id="0" w:name="_GoBack"/>
            <w:bookmarkEnd w:id="0"/>
            <w:r>
              <w:rPr>
                <w:lang w:val="en-US"/>
              </w:rPr>
              <w:t xml:space="preserve"> New Record Types will be created in the </w:t>
            </w:r>
            <w:r>
              <w:rPr>
                <w:color w:val="000000"/>
                <w:lang w:val="en-US"/>
              </w:rPr>
              <w:t>NX</w:t>
            </w:r>
            <w:r>
              <w:rPr>
                <w:color w:val="000000"/>
                <w:lang w:val="en-US"/>
              </w:rPr>
              <w:t>C</w:t>
            </w:r>
            <w:r>
              <w:rPr>
                <w:lang w:val="en-US"/>
              </w:rPr>
              <w:t xml:space="preserve"> invoice file</w:t>
            </w:r>
          </w:p>
          <w:p>
            <w:pPr>
              <w:numPr>
                <w:ilvl w:val="2"/>
                <w:numId w:val="6"/>
              </w:numPr>
              <w:pStyle w:val="List Paragraph"/>
              <w:contextualSpacing w:val="0"/>
            </w:pPr>
            <w:r>
              <w:t>RT_X09_EXIT_REVENUE_RECOVERY_DETAIL</w:t>
            </w:r>
          </w:p>
          <w:p>
            <w:pPr>
              <w:rPr>
                <w:lang w:val="en-US"/>
              </w:rPr>
              <w:numPr>
                <w:ilvl w:val="2"/>
                <w:numId w:val="6"/>
              </w:numPr>
              <w:pStyle w:val="List Paragraph"/>
              <w:contextualSpacing w:val="0"/>
            </w:pPr>
            <w:r>
              <w:t>RT_X10</w:t>
            </w:r>
            <w:r>
              <w:t>_EXIT_REVENUE_RECOVERY_</w:t>
            </w:r>
            <w:r>
              <w:t>ADJUSTMENT_</w:t>
            </w:r>
            <w:r>
              <w:t>DETAIL</w:t>
            </w:r>
          </w:p>
          <w:p>
            <w:pPr>
              <w:rPr>
                <w:lang w:val="en-US"/>
              </w:rPr>
              <w:pStyle w:val="List Paragraph"/>
              <w:ind w:left="2160"/>
              <w:contextualSpacing w:val="0"/>
            </w:pPr>
          </w:p>
          <w:p>
            <w:pPr>
              <w:rPr>
                <w:b w:val="1"/>
                <w:bCs w:val="1"/>
                <w:color w:val="FF0000"/>
                <w:lang w:val="en-US"/>
              </w:rPr>
              <w:ind w:left="720"/>
            </w:pPr>
          </w:p>
          <w:p>
            <w:pPr>
              <w:rPr>
                <w:b w:val="1"/>
                <w:bCs w:val="1"/>
                <w:color w:val="FF0000"/>
                <w:lang w:val="en-US"/>
              </w:rPr>
              <w:ind w:left="720"/>
            </w:pPr>
          </w:p>
          <w:p>
            <w:pPr>
              <w:rPr>
                <w:b w:val="1"/>
                <w:bCs w:val="1"/>
                <w:color w:val="FF0000"/>
                <w:lang w:val="en-US"/>
              </w:rPr>
              <w:ind w:left="720"/>
            </w:pPr>
            <w:hyperlink r:id="R4fde25e188fc4812">
              <w:r>
                <w:rPr>
                  <w:rStyle w:val="Hyperlink"/>
                  <w:b w:val="1"/>
                  <w:bCs w:val="1"/>
                  <w:lang w:val="en-US"/>
                </w:rPr>
                <w:t>NXC-NTS File Format</w:t>
              </w:r>
            </w:hyperlink>
          </w:p>
          <w:p>
            <w:pPr>
              <w:rPr>
                <w:b w:val="1"/>
                <w:bCs w:val="1"/>
                <w:color w:val="FF0000"/>
                <w:lang w:val="en-US"/>
              </w:rPr>
              <w:ind w:left="720"/>
            </w:pPr>
            <w:hyperlink r:id="R341f13def59c4038">
              <w:r>
                <w:rPr>
                  <w:rStyle w:val="Hyperlink"/>
                  <w:b w:val="1"/>
                  <w:bCs w:val="1"/>
                  <w:lang w:val="en-US"/>
                </w:rPr>
                <w:t>NTE File Format</w:t>
              </w:r>
            </w:hyperlink>
          </w:p>
          <w:p>
            <w:pPr>
              <w:rPr>
                <w:b w:val="1"/>
                <w:bCs w:val="1"/>
                <w:color w:val="FF0000"/>
                <w:lang w:val="en-US"/>
              </w:rPr>
              <w:ind w:left="720"/>
            </w:pPr>
            <w:hyperlink r:id="Rc4b4f003821c4fae">
              <w:r>
                <w:rPr>
                  <w:rStyle w:val="Hyperlink"/>
                  <w:b w:val="1"/>
                  <w:bCs w:val="1"/>
                  <w:lang w:val="en-US"/>
                </w:rPr>
                <w:t>ECO File Format</w:t>
              </w:r>
            </w:hyperlink>
          </w:p>
          <w:p>
            <w:pPr>
              <w:rPr>
                <w:b w:val="1"/>
                <w:bCs w:val="1"/>
                <w:color w:val="FF0000"/>
                <w:lang w:val="en-US"/>
              </w:rPr>
              <w:ind w:left="720"/>
            </w:pPr>
            <w:hyperlink r:id="R4f03aef0e4834848">
              <w:r>
                <w:rPr>
                  <w:rStyle w:val="Hyperlink"/>
                  <w:b w:val="1"/>
                  <w:bCs w:val="1"/>
                  <w:lang w:val="en-US"/>
                </w:rPr>
                <w:t>OTA File Format</w:t>
              </w:r>
            </w:hyperlink>
          </w:p>
          <w:p>
            <w:pPr>
              <w:rPr>
                <w:lang w:val="en-US"/>
              </w:rPr>
              <w:pStyle w:val="List Paragraph"/>
              <w:ind w:left="2160"/>
              <w:contextualSpacing w:val="0"/>
            </w:pPr>
          </w:p>
          <w:p>
            <w:pPr>
              <w:rPr>
                <w:rFonts w:cs="Arial"/>
              </w:rPr>
            </w:pPr>
            <w:r>
              <w:rPr>
                <w:rFonts w:cs="Arial"/>
              </w:rPr>
              <w:t>During Cutover</w:t>
            </w:r>
            <w:r>
              <w:rPr>
                <w:rFonts w:cs="Arial"/>
              </w:rPr>
              <w:t>,</w:t>
            </w:r>
            <w:r>
              <w:rPr>
                <w:rFonts w:cs="Arial"/>
              </w:rPr>
              <w:t xml:space="preserve"> the existing sites that are currently on the NTS Optional Commodity Rate </w:t>
            </w:r>
            <w:r>
              <w:rPr>
                <w:rFonts w:cs="Arial"/>
              </w:rPr>
              <w:t xml:space="preserve">will be </w:t>
            </w:r>
            <w:r>
              <w:rPr>
                <w:rFonts w:cs="Arial"/>
              </w:rPr>
              <w:t>end dated for 30</w:t>
            </w:r>
            <w:r>
              <w:rPr>
                <w:rFonts w:cs="Arial"/>
              </w:rPr>
              <w:t>/</w:t>
            </w:r>
            <w:r>
              <w:rPr>
                <w:rFonts w:cs="Arial"/>
              </w:rPr>
              <w:t>09</w:t>
            </w:r>
            <w:r>
              <w:rPr>
                <w:rFonts w:cs="Arial"/>
              </w:rPr>
              <w:t>/</w:t>
            </w:r>
            <w:r>
              <w:rPr>
                <w:rFonts w:cs="Arial"/>
              </w:rPr>
              <w:t xml:space="preserve">2020 and </w:t>
            </w:r>
            <w:r>
              <w:rPr>
                <w:rFonts w:cs="Arial"/>
              </w:rPr>
              <w:t xml:space="preserve">the </w:t>
            </w:r>
            <w:r>
              <w:rPr>
                <w:rFonts w:cs="Arial"/>
              </w:rPr>
              <w:t>Standard NTS Commodity rate</w:t>
            </w:r>
            <w:r>
              <w:rPr>
                <w:rFonts w:cs="Arial"/>
              </w:rPr>
              <w:t xml:space="preserve"> </w:t>
            </w:r>
            <w:r>
              <w:rPr>
                <w:rFonts w:cs="Arial"/>
              </w:rPr>
              <w:t xml:space="preserve">will be applied </w:t>
            </w:r>
            <w:r>
              <w:rPr>
                <w:rFonts w:cs="Arial"/>
              </w:rPr>
              <w:t>from 01/10/2020.</w:t>
            </w:r>
            <w:r>
              <w:rPr>
                <w:rFonts w:cs="Arial"/>
              </w:rPr>
              <w:t xml:space="preserve"> </w:t>
            </w:r>
            <w:r>
              <w:rPr>
                <w:rFonts w:cs="Arial"/>
              </w:rPr>
              <w:t>Shippers can carry out this activ</w:t>
            </w:r>
            <w:r>
              <w:rPr>
                <w:rFonts w:cs="Arial"/>
              </w:rPr>
              <w:t xml:space="preserve">ity via the </w:t>
            </w:r>
            <w:r>
              <w:rPr>
                <w:rFonts w:cs="Arial"/>
              </w:rPr>
              <w:t xml:space="preserve">normal </w:t>
            </w:r>
            <w:r>
              <w:rPr>
                <w:rFonts w:cs="Arial"/>
              </w:rPr>
              <w:t>SPA processes if they wis</w:t>
            </w:r>
            <w:r>
              <w:rPr>
                <w:rFonts w:cs="Arial"/>
              </w:rPr>
              <w:t>h.</w:t>
            </w:r>
            <w:r>
              <w:rPr>
                <w:rFonts w:cs="Arial"/>
              </w:rPr>
              <w:t xml:space="preserve"> </w:t>
            </w:r>
            <w:r>
              <w:rPr>
                <w:rFonts w:cs="Arial"/>
              </w:rPr>
              <w:t>W</w:t>
            </w:r>
            <w:r>
              <w:rPr>
                <w:rFonts w:cs="Arial"/>
              </w:rPr>
              <w:t>here this has not been completed</w:t>
            </w:r>
            <w:r>
              <w:rPr>
                <w:rFonts w:cs="Arial"/>
              </w:rPr>
              <w:t>,</w:t>
            </w:r>
            <w:r>
              <w:rPr>
                <w:rFonts w:cs="Arial"/>
              </w:rPr>
              <w:t xml:space="preserve"> Xoserve will </w:t>
            </w:r>
            <w:r>
              <w:rPr>
                <w:rFonts w:cs="Arial"/>
              </w:rPr>
              <w:t xml:space="preserve">carry </w:t>
            </w:r>
            <w:r>
              <w:rPr>
                <w:rFonts w:cs="Arial"/>
              </w:rPr>
              <w:t xml:space="preserve">out </w:t>
            </w:r>
            <w:r>
              <w:rPr>
                <w:rFonts w:cs="Arial"/>
              </w:rPr>
              <w:t>this activity on behalf</w:t>
            </w:r>
            <w:r>
              <w:rPr>
                <w:rFonts w:cs="Arial"/>
              </w:rPr>
              <w:t xml:space="preserve"> of the </w:t>
            </w:r>
            <w:r>
              <w:rPr>
                <w:rFonts w:cs="Arial"/>
              </w:rPr>
              <w:t>Network.</w:t>
            </w:r>
            <w:r>
              <w:rPr>
                <w:rFonts w:cs="Arial"/>
              </w:rPr>
              <w:t xml:space="preserve"> </w:t>
            </w:r>
          </w:p>
          <w:p>
            <w:pPr>
              <w:rPr>
                <w:rFonts w:cs="Arial"/>
              </w:rPr>
            </w:pPr>
            <w:r>
              <w:rPr>
                <w:rFonts w:cs="Arial"/>
              </w:rPr>
              <w:t xml:space="preserve">Those Shippers affected by this activity will be contacted and the information shared closer to the time to ensure a smooth transfer. </w:t>
            </w:r>
          </w:p>
          <w:p>
            <w:pPr>
              <w:rPr>
                <w:b w:val="1"/>
                <w:bCs w:val="1"/>
                <w:rFonts w:cs="Arial" w:eastAsia="Arial"/>
                <w:u w:val="single"/>
              </w:rPr>
            </w:pPr>
          </w:p>
          <w:p>
            <w:pPr>
              <w:rPr>
                <w:rFonts w:cs="Arial" w:eastAsia="Arial Unicode MS"/>
              </w:rPr>
              <w:jc w:val="both"/>
              <w:spacing w:before="96" w:after="96"/>
            </w:pPr>
            <w:r>
              <w:rPr>
                <w:rFonts w:cs="Arial" w:eastAsia="Arial Unicode MS"/>
              </w:rPr>
              <w:t xml:space="preserve">Additional validation </w:t>
            </w:r>
            <w:r>
              <w:rPr>
                <w:rFonts w:cs="Arial" w:eastAsia="Arial Unicode MS"/>
              </w:rPr>
              <w:t>will</w:t>
            </w:r>
            <w:r>
              <w:rPr>
                <w:rFonts w:cs="Arial" w:eastAsia="Arial Unicode MS"/>
              </w:rPr>
              <w:t xml:space="preserve"> be applied </w:t>
            </w:r>
            <w:r>
              <w:rPr>
                <w:rFonts w:cs="Arial" w:eastAsia="Arial Unicode MS"/>
              </w:rPr>
              <w:t xml:space="preserve">to the Supply Point </w:t>
            </w:r>
            <w:r>
              <w:rPr>
                <w:rFonts w:cs="Arial" w:eastAsia="Arial Unicode MS"/>
              </w:rPr>
              <w:t>R</w:t>
            </w:r>
            <w:r>
              <w:rPr>
                <w:rFonts w:cs="Arial" w:eastAsia="Arial Unicode MS"/>
              </w:rPr>
              <w:t xml:space="preserve">egistration </w:t>
            </w:r>
            <w:r>
              <w:rPr>
                <w:rFonts w:cs="Arial" w:eastAsia="Arial Unicode MS"/>
              </w:rPr>
              <w:t xml:space="preserve">files (Nomination/Confirmation) </w:t>
            </w:r>
            <w:r>
              <w:rPr>
                <w:rFonts w:cs="Arial" w:eastAsia="Arial Unicode MS"/>
              </w:rPr>
              <w:t xml:space="preserve">in UK Link </w:t>
            </w:r>
            <w:r>
              <w:rPr>
                <w:rFonts w:cs="Arial" w:eastAsia="Arial Unicode MS"/>
              </w:rPr>
              <w:t xml:space="preserve">to reject any requests for the NTS Optional Commodity </w:t>
            </w:r>
            <w:r>
              <w:rPr>
                <w:rFonts w:cs="Arial" w:eastAsia="Arial Unicode MS"/>
              </w:rPr>
              <w:t>R</w:t>
            </w:r>
            <w:r>
              <w:rPr>
                <w:rFonts w:cs="Arial" w:eastAsia="Arial Unicode MS"/>
              </w:rPr>
              <w:t xml:space="preserve">ate </w:t>
            </w:r>
            <w:r>
              <w:rPr>
                <w:rFonts w:cs="Arial" w:eastAsia="Arial Unicode MS"/>
              </w:rPr>
              <w:t>post implementation. This rejection code will be:</w:t>
            </w:r>
          </w:p>
          <w:p>
            <w:pPr>
              <w:rPr>
                <w:rFonts w:cs="Arial" w:eastAsia="Arial Unicode MS"/>
              </w:rPr>
              <w:jc w:val="both"/>
              <w:spacing w:before="96" w:after="96"/>
            </w:pPr>
            <w:r>
              <w:rPr>
                <w:b w:val="1"/>
                <w:bCs w:val="1"/>
                <w:lang w:val="en-US"/>
              </w:rPr>
              <w:t>NOM00062: “</w:t>
            </w:r>
            <w:r>
              <w:rPr>
                <w:b w:val="1"/>
                <w:bCs w:val="1"/>
                <w:rFonts w:cs="Arial" w:eastAsia="Arial Unicode MS"/>
              </w:rPr>
              <w:t>The NTS Optional Rate cannot be requested”</w:t>
            </w:r>
            <w:r>
              <w:rPr>
                <w:rFonts w:cs="Arial" w:eastAsia="Arial Unicode MS"/>
              </w:rPr>
              <w:t>.</w:t>
            </w:r>
          </w:p>
          <w:p>
            <w:pPr>
              <w:jc w:val="both"/>
              <w:spacing w:before="96" w:after="96"/>
            </w:pPr>
            <w:r>
              <w:t>T</w:t>
            </w:r>
            <w:r>
              <w:t>he updated Shipper rejection document detailing the new rejection</w:t>
            </w:r>
            <w:r>
              <w:t xml:space="preserve"> code and the affected files</w:t>
            </w:r>
            <w:r>
              <w:t xml:space="preserve"> can be found </w:t>
            </w:r>
            <w:hyperlink r:id="R7c84aa53365540a0">
              <w:r>
                <w:rPr>
                  <w:rStyle w:val="Hyperlink"/>
                  <w:b w:val="1"/>
                  <w:bCs w:val="1"/>
                </w:rPr>
                <w:t>here.</w:t>
              </w:r>
            </w:hyperlink>
          </w:p>
          <w:p>
            <w:pPr>
              <w:jc w:val="both"/>
              <w:spacing w:before="96" w:after="96"/>
            </w:pPr>
          </w:p>
          <w:p>
            <w:pPr>
              <w:rPr>
                <w:b w:val="1"/>
                <w:bCs w:val="1"/>
              </w:rPr>
              <w:jc w:val="both"/>
              <w:spacing w:before="96" w:after="96"/>
            </w:pPr>
            <w:r>
              <w:rPr>
                <w:b w:val="1"/>
                <w:bCs w:val="1"/>
              </w:rPr>
              <w:t>Please not</w:t>
            </w:r>
            <w:r>
              <w:rPr>
                <w:b w:val="1"/>
                <w:bCs w:val="1"/>
              </w:rPr>
              <w:t>e</w:t>
            </w:r>
            <w:r>
              <w:rPr>
                <w:b w:val="1"/>
                <w:bCs w:val="1"/>
              </w:rPr>
              <w:t xml:space="preserve"> that the above </w:t>
            </w:r>
            <w:r>
              <w:rPr>
                <w:b w:val="1"/>
                <w:bCs w:val="1"/>
              </w:rPr>
              <w:t xml:space="preserve">changes to the embedded documents are subject to change with other </w:t>
            </w:r>
            <w:r>
              <w:rPr>
                <w:b w:val="1"/>
                <w:bCs w:val="1"/>
              </w:rPr>
              <w:t>C</w:t>
            </w:r>
            <w:r>
              <w:rPr>
                <w:b w:val="1"/>
                <w:bCs w:val="1"/>
              </w:rPr>
              <w:t xml:space="preserve">hange </w:t>
            </w:r>
            <w:r>
              <w:rPr>
                <w:b w:val="1"/>
                <w:bCs w:val="1"/>
              </w:rPr>
              <w:t>P</w:t>
            </w:r>
            <w:r>
              <w:rPr>
                <w:b w:val="1"/>
                <w:bCs w:val="1"/>
              </w:rPr>
              <w:t>acks that are being processed at the same time</w:t>
            </w:r>
            <w:r>
              <w:rPr>
                <w:b w:val="1"/>
                <w:bCs w:val="1"/>
              </w:rPr>
              <w:t>.</w:t>
            </w:r>
            <w:r>
              <w:rPr>
                <w:b w:val="1"/>
                <w:bCs w:val="1"/>
              </w:rPr>
              <w:t xml:space="preserve"> </w:t>
            </w:r>
            <w:r>
              <w:rPr>
                <w:b w:val="1"/>
                <w:bCs w:val="1"/>
              </w:rPr>
              <w:t>T</w:t>
            </w:r>
            <w:r>
              <w:rPr>
                <w:b w:val="1"/>
                <w:bCs w:val="1"/>
              </w:rPr>
              <w:t xml:space="preserve">hese will be detailed individually in each </w:t>
            </w:r>
            <w:r>
              <w:rPr>
                <w:b w:val="1"/>
                <w:bCs w:val="1"/>
              </w:rPr>
              <w:t>C</w:t>
            </w:r>
            <w:r>
              <w:rPr>
                <w:b w:val="1"/>
                <w:bCs w:val="1"/>
              </w:rPr>
              <w:t xml:space="preserve">hange </w:t>
            </w:r>
            <w:r>
              <w:rPr>
                <w:b w:val="1"/>
                <w:bCs w:val="1"/>
              </w:rPr>
              <w:t>P</w:t>
            </w:r>
            <w:r>
              <w:rPr>
                <w:b w:val="1"/>
                <w:bCs w:val="1"/>
              </w:rPr>
              <w:t>ack and will be merged once changes are implemented.</w:t>
            </w:r>
          </w:p>
          <w:p>
            <w:pPr>
              <w:jc w:val="both"/>
              <w:spacing w:before="96" w:after="96"/>
            </w:pPr>
            <w:r>
              <w:t xml:space="preserve"> </w:t>
            </w:r>
          </w:p>
          <w:p>
            <w:pPr>
              <w:jc w:val="both"/>
              <w:spacing w:before="96" w:after="96"/>
            </w:pPr>
            <w:r>
              <w:rPr>
                <w:rFonts w:eastAsia="Arial"/>
              </w:rPr>
              <w:t>D</w:t>
            </w:r>
            <w:r>
              <w:rPr>
                <w:rFonts w:cs="Arial" w:eastAsia="Arial"/>
              </w:rPr>
              <w:t>SC Change Managers will be asked to approve the implementation date of 1</w:t>
            </w:r>
            <w:r>
              <w:rPr>
                <w:rFonts w:cs="Arial" w:eastAsia="Arial"/>
                <w:vertAlign w:val="superscript"/>
              </w:rPr>
              <w:t>st</w:t>
            </w:r>
            <w:r>
              <w:rPr>
                <w:rFonts w:cs="Arial" w:eastAsia="Arial"/>
              </w:rPr>
              <w:t xml:space="preserve"> October 2020. </w:t>
            </w:r>
          </w:p>
          <w:p>
            <w:pPr>
              <w:rPr>
                <w:rFonts w:cs="Arial"/>
              </w:rPr>
              <w:tabs>
                <w:tab w:val="left" w:leader="none" w:pos="7290"/>
              </w:tabs>
            </w:pPr>
          </w:p>
        </w:tc>
      </w:tr>
    </w:tbl>
    <w:p>
      <w:pPr>
        <w:pStyle w:val="heading 1"/>
      </w:pPr>
      <w:r>
        <w:t xml:space="preserve">G6: </w:t>
      </w:r>
      <w:r>
        <w:t>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XRN4376 GB Charging and Incremental Capacity</w:t>
            </w:r>
          </w:p>
          <w:p>
            <w:pPr>
              <w:rPr>
                <w:rFonts w:cs="Arial"/>
              </w:rPr>
            </w:pPr>
          </w:p>
        </w:tc>
      </w:tr>
    </w:tbl>
    <w:p>
      <w:pPr>
        <w:pStyle w:val="heading 1"/>
      </w:pPr>
      <w:r>
        <w:t xml:space="preserve">G7: </w:t>
      </w: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sdt>
            <w:sdtPr>
              <w:rPr>
                <w:rFonts w:cs="Arial"/>
              </w:rPr>
              <w:id w:val="165912924"/>
              <w:date w:fullDate="0001-01-01T00:00:00Z">
                <w:dateFormat w:val="dd/MM/yyyy"/>
                <w:lid w:val="en-GB"/>
                <w:storeMappedDataAs w:val="dateTime"/>
                <w:calendar w:val="gregorian"/>
              </w:date>
            </w:sdtPr>
            <w:sdtContent>
              <w:p>
                <w:pPr/>
                <w:r>
                  <w:rPr>
                    <w:rFonts w:cs="Arial"/>
                  </w:rPr>
                  <w:t>01/01/0001</w:t>
                </w:r>
              </w:p>
            </w:sdtContent>
          </w:sdt>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n/a</w:t>
            </w:r>
          </w:p>
        </w:tc>
      </w:tr>
    </w:tbl>
    <w:p>
      <w:pPr>
        <w:pStyle w:val="heading 1"/>
      </w:pPr>
      <w:r>
        <w:t xml:space="preserve">G8: </w:t>
      </w: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01/10/2020 Individual change outside release window</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 xml:space="preserve">For </w:t>
            </w:r>
            <w:r>
              <w:rPr>
                <w:rFonts w:cs="Arial"/>
              </w:rPr>
              <w:t>Representation</w:t>
            </w:r>
          </w:p>
        </w:tc>
      </w:tr>
    </w:tbl>
    <w:p>
      <w:pPr/>
    </w:p>
    <w:p>
      <w:pPr/>
      <w:r>
        <w:t xml:space="preserve">Please see the following page for representation comments template; responses to </w:t>
      </w:r>
      <w:hyperlink r:id="R62bb3ab2fa414fb7">
        <w:r>
          <w:rPr>
            <w:rStyle w:val="Hyperlink"/>
          </w:rPr>
          <w:t>uklink@xoserve.com</w:t>
        </w:r>
      </w:hyperlink>
      <w:r>
        <w:t xml:space="preserve"> </w:t>
      </w:r>
    </w:p>
    <w:p>
      <w:pPr/>
    </w:p>
    <w:p>
      <w:pPr>
        <w:rPr>
          <w:b w:val="1"/>
          <w:bCs w:val="1"/>
          <w:color w:val="1D3E61"/>
          <w:kern w:val="28"/>
          <w:sz w:val="52"/>
          <w:szCs w:val="52"/>
          <w:spacing w:val="5"/>
        </w:rPr>
      </w:pPr>
      <w:bookmarkStart w:id="1" w:name="_Hlk40256444"/>
      <w:r>
        <w:br w:type="page"/>
      </w: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Cadent</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Shiv Singh</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shiv.singh1@cadentgas.com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07580999287</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for representation.</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We have some comments from DNCC (our Control Room) that i am hoping that you can respond to:</w:t>
            </w:r>
            <w:r>
              <w:rPr>
                <w:rFonts w:cs="Arial"/>
              </w:rPr>
              <w:br w:type="textWrapping"/>
            </w:r>
            <w:r>
              <w:rPr>
                <w:rFonts w:cs="Arial"/>
              </w:rPr>
              <w:br w:type="textWrapping"/>
            </w:r>
            <w:r>
              <w:rPr>
                <w:rFonts w:cs="Arial"/>
              </w:rPr>
              <w:t>1.</w:t>
            </w:r>
            <w:r>
              <w:rPr>
                <w:rFonts w:cs="Arial"/>
              </w:rPr>
              <w:tab/>
            </w:r>
            <w:r>
              <w:rPr>
                <w:rFonts w:cs="Arial"/>
              </w:rPr>
              <w:t>New charge codes from the change pack – Although the change pack says there’s 4 for the NXC invoice, I think it’s a typo and there’s only 2, RRX and ARX (Transmission Service Revenue Recovery Charge &amp; the ARX is the same but for an adjustment it seems).  Can you possibly run through what these charges are for and how we would replicate the calculations? I need someone to explain what the Exit Revenue Recovery Charge is, how it is applied and how we would validate it.  I think possibly that it might not apply to DNs based on a small sentence in the Ofgem impact assessment, but I need this confirming, and if so whether it will appear as a record on the invoice or not?</w:t>
            </w:r>
            <w:r>
              <w:rPr>
                <w:rFonts w:cs="Arial"/>
              </w:rPr>
              <w:br w:type="textWrapping"/>
            </w:r>
            <w:r>
              <w:rPr>
                <w:rFonts w:cs="Arial"/>
              </w:rPr>
              <w:br w:type="textWrapping"/>
            </w:r>
            <w:r>
              <w:rPr>
                <w:rFonts w:cs="Arial"/>
              </w:rPr>
              <w:t>2.</w:t>
            </w:r>
            <w:r>
              <w:rPr>
                <w:rFonts w:cs="Arial"/>
              </w:rPr>
              <w:tab/>
            </w:r>
            <w:r>
              <w:rPr>
                <w:rFonts w:cs="Arial"/>
              </w:rPr>
              <w:t>There are 2 New Exit Capacity reports in Gemini, can you just run through what these are for and why they are new?</w:t>
            </w:r>
            <w:r>
              <w:rPr>
                <w:rFonts w:cs="Arial"/>
              </w:rPr>
              <w:br w:type="textWrapping"/>
            </w:r>
            <w:r>
              <w:rPr>
                <w:rFonts w:cs="Arial"/>
              </w:rPr>
              <w:br w:type="textWrapping"/>
            </w:r>
            <w:r>
              <w:rPr>
                <w:rFonts w:cs="Arial"/>
              </w:rPr>
              <w:t>Any help with the above would be much appreciated.</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response, please see the following:</w:t>
            </w:r>
            <w:r>
              <w:rPr>
                <w:rFonts w:cs="Arial"/>
              </w:rPr>
              <w:br w:type="textWrapping"/>
            </w:r>
            <w:r>
              <w:rPr>
                <w:rFonts w:cs="Arial"/>
              </w:rPr>
              <w:br w:type="textWrapping"/>
            </w:r>
            <w:r>
              <w:rPr>
                <w:rFonts w:cs="Arial"/>
              </w:rPr>
              <w:t xml:space="preserve">"The RRX and ARX charges are National Grid NTS charges and apply to all System Users that have an NTS Exit Capacity invoice, so there is no specific exclusion for DNs. </w:t>
            </w:r>
            <w:r>
              <w:rPr>
                <w:rFonts w:cs="Arial"/>
              </w:rPr>
              <w:br w:type="textWrapping"/>
            </w:r>
            <w:r>
              <w:rPr>
                <w:rFonts w:cs="Arial"/>
              </w:rPr>
              <w:br w:type="textWrapping"/>
            </w:r>
            <w:r>
              <w:rPr>
                <w:rFonts w:cs="Arial"/>
              </w:rPr>
              <w:t>With regards to Exit, the existing external facing screen reports are not being amended as part of MOD678A. Only one new external facing screen ‘Users Adjusted Capacity Report is added to view the details (Users Adjusted Capacity components) that are used for calculating the revenue recovery charge at Exit, as mentioned in my previous mail. There are no amendments at Exit for bid and price reports because the prices are already charged at the floating regime.</w:t>
            </w:r>
            <w:r>
              <w:rPr>
                <w:rFonts w:cs="Arial"/>
              </w:rPr>
              <w:br w:type="textWrapping"/>
            </w:r>
            <w:r>
              <w:rPr>
                <w:rFonts w:cs="Arial"/>
              </w:rPr>
              <w:br w:type="textWrapping"/>
            </w:r>
            <w:r>
              <w:rPr>
                <w:rFonts w:cs="Arial"/>
              </w:rPr>
              <w:t>In Entry, the existing external facing screen report ‘Bid Information report’ and ‘Capacity and Price information report’ are being amended to accommodate the floating price regime changes ( i.e. New Premium Price column added for QSEC and MSEC Auctions in line with the IP Auctions)"</w:t>
            </w:r>
          </w:p>
        </w:tc>
      </w:tr>
    </w:tbl>
    <w:p>
      <w:pPr/>
    </w:p>
    <w:p>
      <w:pPr/>
      <w:r>
        <w:t xml:space="preserve">Please send the completed </w:t>
      </w:r>
      <w:r>
        <w:t>representation response to</w:t>
      </w:r>
      <w:r>
        <w:t xml:space="preserve"> </w:t>
      </w:r>
      <w:hyperlink r:id="R2f5bec35bee6455b">
        <w:r>
          <w:rPr>
            <w:rStyle w:val="Hyperlink"/>
          </w:rPr>
          <w:t>uklink@xoserve.com</w:t>
        </w:r>
      </w:hyperlink>
      <w:r>
        <w:t xml:space="preserve"> </w:t>
      </w:r>
    </w:p>
    <w:p>
      <w:pPr/>
    </w:p>
    <w:p>
      <w:pPr/>
      <w:bookmarkEnd w:id="1"/>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6a3eb78a780544f5"/>
      <w:footerReference w:type="default" r:id="Rd7dc7f73c8bb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Calibri">
    <w:panose1 w:val="020F0502020204030204"/>
    <w:charset w:val="01"/>
    <w:family w:val="auto"/>
    <w:notTrueType w:val="off"/>
    <w:pitch w:val="variable"/>
    <w:sig w:usb0="E0002AFF" w:usb1="C000247B" w:usb2="00000009" w:usb3="00000000" w:csb0="200001FF" w:csb1="0000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CP_V7.0</w:t>
    </w:r>
    <w:r>
      <mc:AlternateContent>
        <mc:Choice Requires="wps">
          <w:drawing>
            <wp:anchor allowOverlap="1" layoutInCell="1" relativeHeight="251661314"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6" name="drawingObject6"/>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63362"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3" name="drawingObject3"/>
              <wp:cNvGraphicFramePr>
                <a:graphicFrameLocks noChangeAspect="1"/>
              </wp:cNvGraphicFramePr>
              <a:graphic>
                <a:graphicData uri="http://schemas.openxmlformats.org/drawingml/2006/picture">
                  <pic:pic>
                    <pic:nvPicPr>
                      <pic:cNvPr id="4" name="Picture 4"/>
                      <pic:cNvPicPr/>
                    </pic:nvPicPr>
                    <pic:blipFill>
                      <a:blip r:embed="R975efb58c75b4cf0"/>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9266"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5" name="drawingObject5"/>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11"/>
    <w:multiLevelType w:val="hybridMultilevel"/>
    <w:name w:val="ListStyle11"/>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1">
    <w:styleLink w:val="ListStyle7"/>
    <w:multiLevelType w:val="hybridMultilevel"/>
    <w:name w:val="ListStyle7"/>
    <w:lvl w:ilvl="0">
      <w:numFmt w:val="bullet"/>
      <w:start w:val="1"/>
      <w:lvlText w:val=""/>
      <w:lvlJc w:val="left"/>
      <w:pPr>
        <w:tabs>
          <w:tab w:val="num" w:leader="none" w:pos="720"/>
        </w:tabs>
        <w:ind w:hanging="360" w:left="720"/>
      </w:pPr>
      <w:rPr>
        <w:rFonts w:ascii="Symbol" w:hAnsi="Symbol"/>
        <w:sz w:val="20"/>
        <w:szCs w:val="20"/>
      </w:rPr>
    </w:lvl>
    <w:lvl w:ilvl="1">
      <w:numFmt w:val="bullet"/>
      <w:start w:val="1"/>
      <w:lvlText w:val=""/>
      <w:lvlJc w:val="left"/>
      <w:pPr>
        <w:tabs>
          <w:tab w:val="num" w:leader="none" w:pos="1440"/>
        </w:tabs>
        <w:ind w:hanging="360" w:left="1440"/>
      </w:pPr>
      <w:rPr>
        <w:rFonts w:ascii="Symbol" w:hAnsi="Symbol"/>
        <w:sz w:val="20"/>
        <w:szCs w:val="20"/>
      </w:rPr>
    </w:lvl>
    <w:lvl w:ilvl="2">
      <w:numFmt w:val="bullet"/>
      <w:start w:val="1"/>
      <w:lvlText w:val=""/>
      <w:lvlJc w:val="left"/>
      <w:pPr>
        <w:tabs>
          <w:tab w:val="num" w:leader="none" w:pos="2160"/>
        </w:tabs>
        <w:ind w:hanging="360" w:left="2160"/>
      </w:pPr>
      <w:rPr>
        <w:rFonts w:ascii="Symbol" w:hAnsi="Symbol"/>
        <w:sz w:val="20"/>
        <w:szCs w:val="20"/>
      </w:rPr>
    </w:lvl>
    <w:lvl w:ilvl="3">
      <w:numFmt w:val="bullet"/>
      <w:start w:val="1"/>
      <w:lvlText w:val=""/>
      <w:lvlJc w:val="left"/>
      <w:pPr>
        <w:tabs>
          <w:tab w:val="num" w:leader="none" w:pos="2880"/>
        </w:tabs>
        <w:ind w:hanging="360" w:left="2880"/>
      </w:pPr>
      <w:rPr>
        <w:rFonts w:ascii="Symbol" w:hAnsi="Symbol"/>
        <w:sz w:val="20"/>
        <w:szCs w:val="20"/>
      </w:rPr>
    </w:lvl>
    <w:lvl w:ilvl="4">
      <w:numFmt w:val="bullet"/>
      <w:start w:val="1"/>
      <w:lvlText w:val=""/>
      <w:lvlJc w:val="left"/>
      <w:pPr>
        <w:tabs>
          <w:tab w:val="num" w:leader="none" w:pos="3600"/>
        </w:tabs>
        <w:ind w:hanging="360" w:left="3600"/>
      </w:pPr>
      <w:rPr>
        <w:rFonts w:ascii="Symbol" w:hAnsi="Symbol"/>
        <w:sz w:val="20"/>
        <w:szCs w:val="20"/>
      </w:rPr>
    </w:lvl>
    <w:lvl w:ilvl="5">
      <w:numFmt w:val="bullet"/>
      <w:start w:val="1"/>
      <w:lvlText w:val=""/>
      <w:lvlJc w:val="left"/>
      <w:pPr>
        <w:tabs>
          <w:tab w:val="num" w:leader="none" w:pos="4320"/>
        </w:tabs>
        <w:ind w:hanging="360" w:left="4320"/>
      </w:pPr>
      <w:rPr>
        <w:rFonts w:ascii="Symbol" w:hAnsi="Symbol"/>
        <w:sz w:val="20"/>
        <w:szCs w:val="20"/>
      </w:rPr>
    </w:lvl>
    <w:lvl w:ilvl="6">
      <w:numFmt w:val="bullet"/>
      <w:start w:val="1"/>
      <w:lvlText w:val=""/>
      <w:lvlJc w:val="left"/>
      <w:pPr>
        <w:tabs>
          <w:tab w:val="num" w:leader="none" w:pos="5040"/>
        </w:tabs>
        <w:ind w:hanging="360" w:left="5040"/>
      </w:pPr>
      <w:rPr>
        <w:rFonts w:ascii="Symbol" w:hAnsi="Symbol"/>
        <w:sz w:val="20"/>
        <w:szCs w:val="20"/>
      </w:rPr>
    </w:lvl>
    <w:lvl w:ilvl="7">
      <w:numFmt w:val="bullet"/>
      <w:start w:val="1"/>
      <w:lvlText w:val=""/>
      <w:lvlJc w:val="left"/>
      <w:pPr>
        <w:tabs>
          <w:tab w:val="num" w:leader="none" w:pos="5760"/>
        </w:tabs>
        <w:ind w:hanging="360" w:left="5760"/>
      </w:pPr>
      <w:rPr>
        <w:rFonts w:ascii="Symbol" w:hAnsi="Symbol"/>
        <w:sz w:val="20"/>
        <w:szCs w:val="20"/>
      </w:rPr>
    </w:lvl>
    <w:lvl w:ilvl="8">
      <w:numFmt w:val="bullet"/>
      <w:start w:val="1"/>
      <w:lvlText w:val=""/>
      <w:lvlJc w:val="left"/>
      <w:pPr>
        <w:tabs>
          <w:tab w:val="num" w:leader="none" w:pos="6480"/>
        </w:tabs>
        <w:ind w:hanging="360" w:left="6480"/>
      </w:pPr>
      <w:rPr>
        <w:rFonts w:ascii="Symbol" w:hAnsi="Symbol"/>
        <w:sz w:val="20"/>
        <w:szCs w:val="20"/>
      </w:rPr>
    </w:lvl>
  </w:abstractNum>
  <w:abstractNum w:abstractNumId="2">
    <w:styleLink w:val="ListStyle6"/>
    <w:multiLevelType w:val="hybridMultilevel"/>
    <w:name w:val="ListStyle6"/>
    <w:lvl w:ilvl="0">
      <w:numFmt w:val="bullet"/>
      <w:start w:val="1"/>
      <w:lvlText w:val=""/>
      <w:lvlJc w:val="left"/>
      <w:pPr>
        <w:tabs>
          <w:tab w:val="num" w:leader="none" w:pos="720"/>
        </w:tabs>
        <w:ind w:hanging="360" w:left="720"/>
      </w:pPr>
      <w:rPr>
        <w:rFonts w:ascii="Symbol" w:hAnsi="Symbol"/>
        <w:sz w:val="20"/>
        <w:szCs w:val="20"/>
      </w:rPr>
    </w:lvl>
    <w:lvl w:ilvl="1">
      <w:numFmt w:val="bullet"/>
      <w:start w:val="1"/>
      <w:lvlText w:val=""/>
      <w:lvlJc w:val="left"/>
      <w:pPr>
        <w:tabs>
          <w:tab w:val="num" w:leader="none" w:pos="1440"/>
        </w:tabs>
        <w:ind w:hanging="360" w:left="1440"/>
      </w:pPr>
      <w:rPr>
        <w:rFonts w:ascii="Symbol" w:hAnsi="Symbol"/>
        <w:sz w:val="20"/>
        <w:szCs w:val="20"/>
      </w:rPr>
    </w:lvl>
    <w:lvl w:ilvl="2">
      <w:numFmt w:val="bullet"/>
      <w:start w:val="1"/>
      <w:lvlText w:val=""/>
      <w:lvlJc w:val="left"/>
      <w:pPr>
        <w:tabs>
          <w:tab w:val="num" w:leader="none" w:pos="2160"/>
        </w:tabs>
        <w:ind w:hanging="360" w:left="2160"/>
      </w:pPr>
      <w:rPr>
        <w:rFonts w:ascii="Symbol" w:hAnsi="Symbol"/>
        <w:sz w:val="20"/>
        <w:szCs w:val="20"/>
      </w:rPr>
    </w:lvl>
    <w:lvl w:ilvl="3">
      <w:numFmt w:val="bullet"/>
      <w:start w:val="1"/>
      <w:lvlText w:val=""/>
      <w:lvlJc w:val="left"/>
      <w:pPr>
        <w:tabs>
          <w:tab w:val="num" w:leader="none" w:pos="2880"/>
        </w:tabs>
        <w:ind w:hanging="360" w:left="2880"/>
      </w:pPr>
      <w:rPr>
        <w:rFonts w:ascii="Symbol" w:hAnsi="Symbol"/>
        <w:sz w:val="20"/>
        <w:szCs w:val="20"/>
      </w:rPr>
    </w:lvl>
    <w:lvl w:ilvl="4">
      <w:numFmt w:val="bullet"/>
      <w:start w:val="1"/>
      <w:lvlText w:val=""/>
      <w:lvlJc w:val="left"/>
      <w:pPr>
        <w:tabs>
          <w:tab w:val="num" w:leader="none" w:pos="3600"/>
        </w:tabs>
        <w:ind w:hanging="360" w:left="3600"/>
      </w:pPr>
      <w:rPr>
        <w:rFonts w:ascii="Symbol" w:hAnsi="Symbol"/>
        <w:sz w:val="20"/>
        <w:szCs w:val="20"/>
      </w:rPr>
    </w:lvl>
    <w:lvl w:ilvl="5">
      <w:numFmt w:val="bullet"/>
      <w:start w:val="1"/>
      <w:lvlText w:val=""/>
      <w:lvlJc w:val="left"/>
      <w:pPr>
        <w:tabs>
          <w:tab w:val="num" w:leader="none" w:pos="4320"/>
        </w:tabs>
        <w:ind w:hanging="360" w:left="4320"/>
      </w:pPr>
      <w:rPr>
        <w:rFonts w:ascii="Symbol" w:hAnsi="Symbol"/>
        <w:sz w:val="20"/>
        <w:szCs w:val="20"/>
      </w:rPr>
    </w:lvl>
    <w:lvl w:ilvl="6">
      <w:numFmt w:val="bullet"/>
      <w:start w:val="1"/>
      <w:lvlText w:val=""/>
      <w:lvlJc w:val="left"/>
      <w:pPr>
        <w:tabs>
          <w:tab w:val="num" w:leader="none" w:pos="5040"/>
        </w:tabs>
        <w:ind w:hanging="360" w:left="5040"/>
      </w:pPr>
      <w:rPr>
        <w:rFonts w:ascii="Symbol" w:hAnsi="Symbol"/>
        <w:sz w:val="20"/>
        <w:szCs w:val="20"/>
      </w:rPr>
    </w:lvl>
    <w:lvl w:ilvl="7">
      <w:numFmt w:val="bullet"/>
      <w:start w:val="1"/>
      <w:lvlText w:val=""/>
      <w:lvlJc w:val="left"/>
      <w:pPr>
        <w:tabs>
          <w:tab w:val="num" w:leader="none" w:pos="5760"/>
        </w:tabs>
        <w:ind w:hanging="360" w:left="5760"/>
      </w:pPr>
      <w:rPr>
        <w:rFonts w:ascii="Symbol" w:hAnsi="Symbol"/>
        <w:sz w:val="20"/>
        <w:szCs w:val="20"/>
      </w:rPr>
    </w:lvl>
    <w:lvl w:ilvl="8">
      <w:numFmt w:val="bullet"/>
      <w:start w:val="1"/>
      <w:lvlText w:val=""/>
      <w:lvlJc w:val="left"/>
      <w:pPr>
        <w:tabs>
          <w:tab w:val="num" w:leader="none" w:pos="6480"/>
        </w:tabs>
        <w:ind w:hanging="360" w:left="6480"/>
      </w:pPr>
      <w:rPr>
        <w:rFonts w:ascii="Symbol" w:hAnsi="Symbol"/>
        <w:sz w:val="20"/>
        <w:szCs w:val="20"/>
      </w:rPr>
    </w:lvl>
  </w:abstractNum>
  <w:abstractNum w:abstractNumId="3">
    <w:styleLink w:val="ListStyle21"/>
    <w:multiLevelType w:val="hybridMultilevel"/>
    <w:name w:val="ListStyle21"/>
    <w:lvl w:ilvl="0">
      <w:numFmt w:val="bullet"/>
      <w:start w:val="1"/>
      <w:lvlText w:val=""/>
      <w:lvlJc w:val="left"/>
      <w:pPr>
        <w:tabs>
          <w:tab w:val="num" w:leader="none" w:pos="720"/>
        </w:tabs>
        <w:ind w:hanging="360" w:left="720"/>
      </w:pPr>
      <w:rPr>
        <w:rFonts w:ascii="Symbol" w:hAnsi="Symbol"/>
        <w:sz w:val="20"/>
        <w:szCs w:val="20"/>
      </w:rPr>
    </w:lvl>
    <w:lvl w:ilvl="1">
      <w:numFmt w:val="bullet"/>
      <w:start w:val="1"/>
      <w:lvlText w:val=""/>
      <w:lvlJc w:val="left"/>
      <w:pPr>
        <w:tabs>
          <w:tab w:val="num" w:leader="none" w:pos="1440"/>
        </w:tabs>
        <w:ind w:hanging="360" w:left="1440"/>
      </w:pPr>
      <w:rPr>
        <w:rFonts w:ascii="Symbol" w:hAnsi="Symbol"/>
        <w:sz w:val="20"/>
        <w:szCs w:val="20"/>
      </w:rPr>
    </w:lvl>
    <w:lvl w:ilvl="2">
      <w:numFmt w:val="bullet"/>
      <w:start w:val="1"/>
      <w:lvlText w:val=""/>
      <w:lvlJc w:val="left"/>
      <w:pPr>
        <w:tabs>
          <w:tab w:val="num" w:leader="none" w:pos="2160"/>
        </w:tabs>
        <w:ind w:hanging="360" w:left="2160"/>
      </w:pPr>
      <w:rPr>
        <w:rFonts w:ascii="Symbol" w:hAnsi="Symbol"/>
        <w:sz w:val="20"/>
        <w:szCs w:val="20"/>
      </w:rPr>
    </w:lvl>
    <w:lvl w:ilvl="3">
      <w:numFmt w:val="bullet"/>
      <w:start w:val="1"/>
      <w:lvlText w:val=""/>
      <w:lvlJc w:val="left"/>
      <w:pPr>
        <w:tabs>
          <w:tab w:val="num" w:leader="none" w:pos="2880"/>
        </w:tabs>
        <w:ind w:hanging="360" w:left="2880"/>
      </w:pPr>
      <w:rPr>
        <w:rFonts w:ascii="Symbol" w:hAnsi="Symbol"/>
        <w:sz w:val="20"/>
        <w:szCs w:val="20"/>
      </w:rPr>
    </w:lvl>
    <w:lvl w:ilvl="4">
      <w:numFmt w:val="bullet"/>
      <w:start w:val="1"/>
      <w:lvlText w:val=""/>
      <w:lvlJc w:val="left"/>
      <w:pPr>
        <w:tabs>
          <w:tab w:val="num" w:leader="none" w:pos="3600"/>
        </w:tabs>
        <w:ind w:hanging="360" w:left="3600"/>
      </w:pPr>
      <w:rPr>
        <w:rFonts w:ascii="Symbol" w:hAnsi="Symbol"/>
        <w:sz w:val="20"/>
        <w:szCs w:val="20"/>
      </w:rPr>
    </w:lvl>
    <w:lvl w:ilvl="5">
      <w:numFmt w:val="bullet"/>
      <w:start w:val="1"/>
      <w:lvlText w:val=""/>
      <w:lvlJc w:val="left"/>
      <w:pPr>
        <w:tabs>
          <w:tab w:val="num" w:leader="none" w:pos="4320"/>
        </w:tabs>
        <w:ind w:hanging="360" w:left="4320"/>
      </w:pPr>
      <w:rPr>
        <w:rFonts w:ascii="Symbol" w:hAnsi="Symbol"/>
        <w:sz w:val="20"/>
        <w:szCs w:val="20"/>
      </w:rPr>
    </w:lvl>
    <w:lvl w:ilvl="6">
      <w:numFmt w:val="bullet"/>
      <w:start w:val="1"/>
      <w:lvlText w:val=""/>
      <w:lvlJc w:val="left"/>
      <w:pPr>
        <w:tabs>
          <w:tab w:val="num" w:leader="none" w:pos="5040"/>
        </w:tabs>
        <w:ind w:hanging="360" w:left="5040"/>
      </w:pPr>
      <w:rPr>
        <w:rFonts w:ascii="Symbol" w:hAnsi="Symbol"/>
        <w:sz w:val="20"/>
        <w:szCs w:val="20"/>
      </w:rPr>
    </w:lvl>
    <w:lvl w:ilvl="7">
      <w:numFmt w:val="bullet"/>
      <w:start w:val="1"/>
      <w:lvlText w:val=""/>
      <w:lvlJc w:val="left"/>
      <w:pPr>
        <w:tabs>
          <w:tab w:val="num" w:leader="none" w:pos="5760"/>
        </w:tabs>
        <w:ind w:hanging="360" w:left="5760"/>
      </w:pPr>
      <w:rPr>
        <w:rFonts w:ascii="Symbol" w:hAnsi="Symbol"/>
        <w:sz w:val="20"/>
        <w:szCs w:val="20"/>
      </w:rPr>
    </w:lvl>
    <w:lvl w:ilvl="8">
      <w:numFmt w:val="bullet"/>
      <w:start w:val="1"/>
      <w:lvlText w:val=""/>
      <w:lvlJc w:val="left"/>
      <w:pPr>
        <w:tabs>
          <w:tab w:val="num" w:leader="none" w:pos="6480"/>
        </w:tabs>
        <w:ind w:hanging="360" w:left="6480"/>
      </w:pPr>
      <w:rPr>
        <w:rFonts w:ascii="Symbol" w:hAnsi="Symbol"/>
        <w:sz w:val="20"/>
        <w:szCs w:val="20"/>
      </w:rPr>
    </w:lvl>
  </w:abstractNum>
  <w:abstractNum w:abstractNumId="4">
    <w:styleLink w:val="ListStyle9"/>
    <w:multiLevelType w:val="hybridMultilevel"/>
    <w:name w:val="ListStyle9"/>
    <w:lvl w:ilvl="0">
      <w:numFmt w:val="decimal"/>
      <w:start w:val="1"/>
      <w:lvlText w:val="%1."/>
      <w:lvlJc w:val="left"/>
      <w:pPr>
        <w:ind w:hanging="360" w:left="720"/>
      </w:pPr>
      <w:rPr>
        <w:b w:val="1"/>
        <w:bCs w:val="1"/>
      </w:rPr>
    </w:lvl>
    <w:lvl w:ilvl="1">
      <w:numFmt w:val="lowerLetter"/>
      <w:start w:val="1"/>
      <w:lvlText w:val="%2."/>
      <w:lvlJc w:val="left"/>
      <w:pPr>
        <w:ind w:hanging="360" w:left="1440"/>
      </w:pPr>
      <w:rPr>
        <w:b w:val="0"/>
        <w:bCs w:val="0"/>
      </w:rPr>
    </w:lvl>
    <w:lvl w:ilvl="2">
      <w:numFmt w:val="lowerRoman"/>
      <w:start w:val="1"/>
      <w:lvlText w:val="%3."/>
      <w:lvlJc w:val="right"/>
      <w:pPr>
        <w:ind w:hanging="180" w:left="2160"/>
      </w:pPr>
    </w:lvl>
    <w:lvl w:ilvl="3">
      <w:numFmt w:val="bullet"/>
      <w:start w:val="1"/>
      <w:lvlText w:val=""/>
      <w:lvlJc w:val="left"/>
      <w:pPr>
        <w:ind w:hanging="360" w:left="2880"/>
      </w:pPr>
      <w:rPr>
        <w:rFonts w:ascii="Symbol" w:hAnsi="Symbol"/>
      </w:r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num w:numId="1">
    <w:abstractNumId w:val="0"/>
  </w:num>
  <w:num w:numId="2">
    <w:abstractNumId w:val="1"/>
  </w:num>
  <w:num w:numId="3">
    <w:abstractNumId w:val="2"/>
  </w:num>
  <w:num w:numId="4">
    <w:abstractNumId w:val="3"/>
  </w:num>
  <w:num w:numId="5">
    <w:abstractNumId w:val="4"/>
    <w:lvlOverride w:ilvl="1">
      <w:startOverride w:val="1"/>
    </w:lvlOverride>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List Paragraph Char">
    <w:name w:val="List Paragraph Char"/>
    <w:qFormat/>
    <w:basedOn w:val="Default Paragraph Font"/>
  </w:style>
  <w:style w:type="paragraph" w:styleId="Revision">
    <w:name w:val="Revision"/>
    <w:qFormat/>
    <w:pPr>
      <w:spacing w:after="0" w:lineRule="auto" w:line="240"/>
    </w:pPr>
    <w:rPr>
      <w:rFonts w:ascii="Arial" w:hAnsi="Arial"/>
    </w:rPr>
  </w:style>
  <w:style w:type="paragraph" w:styleId="Normal (Web)">
    <w:name w:val="Normal (Web)"/>
    <w:qFormat/>
    <w:basedOn w:val="Normal"/>
    <w:pPr>
      <w:spacing w:before="100" w:beforeAutospacing="1" w:after="100" w:afterAutospacing="1" w:lineRule="auto" w:line="240"/>
    </w:pPr>
    <w:rPr>
      <w:rFonts w:ascii="Calibri" w:hAnsi="Calibri" w:cs="Calibri" w:eastAsia="Arial"/>
    </w:rPr>
  </w:style>
  <w:style w:type="character" w:styleId="Unresolved Mention">
    <w:name w:val="Unresolved Mention"/>
    <w:qFormat/>
    <w:basedOn w:val="Default Paragraph Font"/>
    <w:rPr>
      <w:shd w:val="clear" w:fill="E1DFDD"/>
      <w:color w:val="605E5C"/>
    </w:rPr>
  </w:style>
  <w:style w:type="character" w:styleId="FollowedHyperlink">
    <w:name w:val="FollowedHyperlink"/>
    <w:qFormat/>
    <w:basedOn w:val="Default Paragraph Font"/>
    <w:rPr>
      <w:color w:val="D2232A"/>
      <w:u w:val="single"/>
    </w:rPr>
  </w:style>
  <w:style w:type="numbering" w:styleId="ListStyle11">
    <w:name w:val="ListStyle11"/>
    <w:qFormat/>
  </w:style>
  <w:style w:type="numbering" w:styleId="ListStyle7">
    <w:name w:val="ListStyle7"/>
    <w:qFormat/>
  </w:style>
  <w:style w:type="numbering" w:styleId="ListStyle6">
    <w:name w:val="ListStyle6"/>
    <w:qFormat/>
  </w:style>
  <w:style w:type="numbering" w:styleId="ListStyle21">
    <w:name w:val="ListStyle21"/>
    <w:qFormat/>
  </w:style>
  <w:style w:type="numbering" w:styleId="ListStyle9">
    <w:name w:val="ListStyle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achel.addison@xoserve.com" TargetMode="External" Id="Rbc86b5fd9eca47e3" /><Relationship Type="http://schemas.openxmlformats.org/officeDocument/2006/relationships/image" Target="media/rvykfa30.jpeg" Id="R28c6b59d92bd4848" /><Relationship Type="http://schemas.openxmlformats.org/officeDocument/2006/relationships/hyperlink" Target="https://www.gasgovernance.co.uk/0678" TargetMode="External" Id="R686a87dcdeb04cbc" /><Relationship Type="http://schemas.openxmlformats.org/officeDocument/2006/relationships/hyperlink" Target="https://umbraco.xoserve.com/media/40114/gemini-cp4376-eugbc-part-b-delivery.pdf" TargetMode="External" Id="R8c3a602d759d45ba" /><Relationship Type="http://schemas.openxmlformats.org/officeDocument/2006/relationships/hyperlink" Target="https://umbraco.xoserve.com/media/40115/xoserve_comprehensive_invoices_charge_master_-shipper-v51.pdf" TargetMode="External" Id="Rdd54cc7b5a534fbc" /><Relationship Type="http://schemas.openxmlformats.org/officeDocument/2006/relationships/hyperlink" Target="https://umbraco.xoserve.com/media/40116/xoserve_comprehensive_invoices_charge_transmission_v21.pdf" TargetMode="External" Id="Rf0272f2d54c74e99" /><Relationship Type="http://schemas.openxmlformats.org/officeDocument/2006/relationships/hyperlink" Target="https://umbraco.xoserve.com/media/40117/nxc-nts-exit-flat-capacity-invoice-file.pdf" TargetMode="External" Id="R4fde25e188fc4812" /><Relationship Type="http://schemas.openxmlformats.org/officeDocument/2006/relationships/hyperlink" Target="https://umbraco.xoserve.com/media/40118/nte-file-format.pdf" TargetMode="External" Id="R341f13def59c4038" /><Relationship Type="http://schemas.openxmlformats.org/officeDocument/2006/relationships/hyperlink" Target="https://umbraco.xoserve.com/media/40119/eco-file-format.pdf" TargetMode="External" Id="Rc4b4f003821c4fae" /><Relationship Type="http://schemas.openxmlformats.org/officeDocument/2006/relationships/hyperlink" Target="https://umbraco.xoserve.com/media/40120/ota-file-format.pdf" TargetMode="External" Id="R4f03aef0e4834848" /><Relationship Type="http://schemas.openxmlformats.org/officeDocument/2006/relationships/hyperlink" Target="https://umbraco.xoserve.com/media/40121/shipper-rejection-codes-v9fa.pdf" TargetMode="External" Id="R7c84aa53365540a0" /><Relationship Type="http://schemas.openxmlformats.org/officeDocument/2006/relationships/hyperlink" Target="mailto:uklink@xoserve.com" TargetMode="External" Id="R62bb3ab2fa414fb7" /><Relationship Type="http://schemas.openxmlformats.org/officeDocument/2006/relationships/hyperlink" Target="mailto:uklink@xoserve.com" TargetMode="External" Id="R2f5bec35bee6455b" /><Relationship Type="http://schemas.openxmlformats.org/officeDocument/2006/relationships/header" Target="header1.xml" Id="R6a3eb78a780544f5" /><Relationship Type="http://schemas.openxmlformats.org/officeDocument/2006/relationships/footer" Target="footer1.xml" Id="Rd7dc7f73c8bb4127" /><Relationship Type="http://schemas.openxmlformats.org/officeDocument/2006/relationships/customXml" Target="/customXml/item1.xml" Id="Rcbbfc1a4faba4d80" /><Relationship Type="http://schemas.openxmlformats.org/officeDocument/2006/relationships/customXml" Target="/customXml/item2.xml" Id="R9ac597bfe6a349e2" /><Relationship Type="http://schemas.openxmlformats.org/officeDocument/2006/relationships/customXml" Target="/customXml/item3.xml" Id="R872f1711871a47f9" /><Relationship Type="http://schemas.openxmlformats.org/officeDocument/2006/relationships/customXml" Target="/customXml/item4.xml" Id="R89e68151d1254f54" /><Relationship Type="http://schemas.openxmlformats.org/officeDocument/2006/relationships/styles" Target="styles.xml" Id="Re47e3e41282e444e" /><Relationship Type="http://schemas.openxmlformats.org/officeDocument/2006/relationships/fontTable" Target="fontTable.xml" Id="R41ea4791041342bb" /><Relationship Type="http://schemas.openxmlformats.org/officeDocument/2006/relationships/numbering" Target="numbering.xml" Id="R7447ec94a7de42ff" /><Relationship Type="http://schemas.openxmlformats.org/officeDocument/2006/relationships/settings" Target="settings.xml" Id="Rf425ae83055944a1" /><Relationship Type="http://schemas.openxmlformats.org/officeDocument/2006/relationships/webSettings" Target="webSettings.xml" Id="R2cac8d78355c44be" /></Relationships>
</file>

<file path=word/_rels/header1.xml.rels>&#65279;<?xml version="1.0" encoding="utf-8"?><Relationships xmlns="http://schemas.openxmlformats.org/package/2006/relationships"><Relationship Type="http://schemas.openxmlformats.org/officeDocument/2006/relationships/image" Target="media/ozr04rwn.png" Id="R975efb58c75b4cf0" /></Relationships>
</file>

<file path=customXml/_rels/item1.xml.rels>&#65279;<?xml version="1.0" encoding="utf-8"?><Relationships xmlns="http://schemas.openxmlformats.org/package/2006/relationships"><Relationship Type="http://schemas.openxmlformats.org/officeDocument/2006/relationships/customXmlProps" Target="itemProps1.xml" Id="R9431126c46654c9e" /></Relationships>
</file>

<file path=customXml/_rels/item2.xml.rels>&#65279;<?xml version="1.0" encoding="utf-8"?><Relationships xmlns="http://schemas.openxmlformats.org/package/2006/relationships"><Relationship Type="http://schemas.openxmlformats.org/officeDocument/2006/relationships/customXmlProps" Target="itemProps2.xml" Id="R3ff76a4a342b4641" /></Relationships>
</file>

<file path=customXml/_rels/item3.xml.rels>&#65279;<?xml version="1.0" encoding="utf-8"?><Relationships xmlns="http://schemas.openxmlformats.org/package/2006/relationships"><Relationship Type="http://schemas.openxmlformats.org/officeDocument/2006/relationships/customXmlProps" Target="itemProps3.xml" Id="R0ca54d4fc43d4cbd" /></Relationships>
</file>

<file path=customXml/_rels/item4.xml.rels>&#65279;<?xml version="1.0" encoding="utf-8"?><Relationships xmlns="http://schemas.openxmlformats.org/package/2006/relationships"><Relationship Type="http://schemas.openxmlformats.org/officeDocument/2006/relationships/customXmlProps" Target="itemProps4.xml" Id="Rf5101c0b2f92413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4CE7FB4461547ABBD26C8F40636DC" ma:contentTypeVersion="13" ma:contentTypeDescription="Create a new document." ma:contentTypeScope="" ma:versionID="8b6da742e02f3513b7dbfdc182dcec4f">
  <xsd:schema xmlns:xsd="http://www.w3.org/2001/XMLSchema" xmlns:xs="http://www.w3.org/2001/XMLSchema" xmlns:p="http://schemas.microsoft.com/office/2006/metadata/properties" xmlns:ns3="00bf09af-a290-4f87-9ba4-60e83074aeb2" xmlns:ns4="60c5b189-27e4-43da-a3da-95a59f3670c7" targetNamespace="http://schemas.microsoft.com/office/2006/metadata/properties" ma:root="true" ma:fieldsID="5995d7ed152dcb8027ed3af3c0ef73c3" ns3:_="" ns4:_="">
    <xsd:import namespace="00bf09af-a290-4f87-9ba4-60e83074aeb2"/>
    <xsd:import namespace="60c5b189-27e4-43da-a3da-95a59f3670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f09af-a290-4f87-9ba4-60e83074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5b189-27e4-43da-a3da-95a59f3670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7479F-0AD2-4A7D-9C26-AF324D1A7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f09af-a290-4f87-9ba4-60e83074aeb2"/>
    <ds:schemaRef ds:uri="60c5b189-27e4-43da-a3da-95a59f367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60c5b189-27e4-43da-a3da-95a59f3670c7"/>
    <ds:schemaRef ds:uri="00bf09af-a290-4f87-9ba4-60e83074aeb2"/>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8B50218-5ABC-4BC5-90B8-67A1F4ED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7</Pages>
  <Words>1552</Words>
  <Characters>8852</Characters>
  <CharactersWithSpaces>10384</CharactersWithSpaces>
  <Lines>73</Lin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Taggart, Rachel</cp:lastModifiedBy>
  <dcterms:created xsi:type="dcterms:W3CDTF">2020-06-05T10:27:00Z</dcterms:created>
  <dcterms:modified xsi:type="dcterms:W3CDTF">2020-06-12T12:50:00Z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0x0101005274CE7FB4461547ABBD26C8F40636DC</vt:lpwstr>
  </property>
</Properties>
</file>