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105a21962b3442a9" /><Relationship Type="http://schemas.openxmlformats.org/package/2006/relationships/metadata/core-properties" Target="/docProps/core.xml" Id="R0ad998bc138e4888" /><Relationship Type="http://schemas.openxmlformats.org/officeDocument/2006/relationships/extended-properties" Target="/docProps/app.xml" Id="R12141d723ee24427" /><Relationship Type="http://schemas.openxmlformats.org/officeDocument/2006/relationships/custom-properties" Target="/docProps/custom.xml" Id="Rcf2abb00fd004595"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2808.2 - MT - PO</w:t>
            </w:r>
            <w:bookmarkStart w:id="0" w:name="_GoBack"/>
            <w:bookmarkEnd w:id="0"/>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 xml:space="preserve">XRN4941 - </w:t>
            </w:r>
            <w:r>
              <w:rPr>
                <w:rFonts w:cs="Arial"/>
                <w:lang w:val="en-US"/>
              </w:rPr>
              <w:t xml:space="preserve">Auto Updates to Meter Read Frequency </w:t>
            </w:r>
            <w:r>
              <w:rPr>
                <w:rFonts w:cs="Arial"/>
                <w:lang w:val="en-US"/>
              </w:rPr>
              <w:t xml:space="preserve">(MOD0692) </w:t>
            </w:r>
            <w:r>
              <w:rPr>
                <w:rFonts w:cs="Arial"/>
                <w:lang w:val="en-US"/>
              </w:rPr>
              <w:t>- Detailed Design</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p>
            <w:pPr>
              <w:rPr>
                <w:rFonts w:cs="Arial"/>
              </w:rPr>
            </w:pPr>
            <w:r>
              <w:rPr>
                <w:rFonts w:cs="Arial"/>
              </w:rPr>
              <w:t>12/04/2021</w:t>
            </w:r>
          </w:p>
        </w:tc>
      </w:tr>
    </w:tbl>
    <w:p>
      <w:pPr/>
    </w:p>
    <w:p>
      <w:pPr>
        <w:rPr>
          <w:b w:val="1"/>
          <w:bCs w:val="1"/>
          <w:color w:val="3E5AA8"/>
          <w:sz w:val="28"/>
          <w:szCs w:val="28"/>
        </w:rPr>
        <w:spacing w:after="0"/>
      </w:pPr>
      <w:r>
        <w:rPr>
          <w:b w:val="1"/>
          <w:bCs w:val="1"/>
          <w:color w:val="3E5AA8"/>
          <w:sz w:val="28"/>
          <w:szCs w:val="28"/>
        </w:rPr>
        <w:t>G2: Change Representation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p>
            <w:pPr>
              <w:rPr>
                <w:rFonts w:cs="Arial"/>
              </w:rPr>
            </w:pPr>
            <w:r>
              <w:rPr>
                <w:rFonts w:cs="Arial"/>
              </w:rPr>
              <w:t>26/04/2021</w:t>
            </w:r>
          </w:p>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XRN4941</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 Processing</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jc w:val="both"/>
            </w:pPr>
            <w:r>
              <w:rPr>
                <w:rFonts w:cs="Arial"/>
              </w:rPr>
              <w:t>Shipper Class A; Shipper Class B; Shipper Class C</w:t>
            </w:r>
            <w:r>
              <w:rPr>
                <w:rFonts w:cs="Arial"/>
              </w:rPr>
              <w:t xml:space="preserve"> </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Simon Harris</w:t>
            </w:r>
          </w:p>
          <w:p>
            <w:pPr>
              <w:rPr>
                <w:rFonts w:cs="Arial"/>
              </w:rPr>
            </w:pPr>
            <w:r>
              <w:rPr>
                <w:rFonts w:cs="Arial"/>
              </w:rPr>
              <w:t>Customer Change Service Development Specialist</w:t>
            </w:r>
          </w:p>
          <w:p>
            <w:pPr>
              <w:rPr>
                <w:rFonts w:cs="Arial"/>
              </w:rPr>
            </w:pPr>
            <w:hyperlink r:id="Rc4f305d8bd0f4fc7">
              <w:r>
                <w:rPr>
                  <w:rStyle w:val="Hyperlink"/>
                  <w:rFonts w:cs="Arial"/>
                </w:rPr>
                <w:t>simon.harris@xoserve.com</w:t>
              </w:r>
            </w:hyperlink>
            <w:r>
              <w:rPr>
                <w:rFonts w:cs="Arial"/>
              </w:rPr>
              <w:t xml:space="preserve"> </w:t>
            </w:r>
          </w:p>
          <w:p>
            <w:pPr>
              <w:rPr>
                <w:rFonts w:cs="Arial"/>
              </w:rPr>
            </w:pPr>
            <w:r>
              <w:rPr>
                <w:rFonts w:cs="Arial"/>
              </w:rPr>
              <w:t>0121 229 2642</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sz w:val="10"/>
                <w:szCs w:val="10"/>
              </w:rPr>
            </w:pPr>
          </w:p>
          <w:p>
            <w:pPr/>
            <w:r>
              <w:t xml:space="preserve">Please note that </w:t>
            </w:r>
            <w:r>
              <w:t xml:space="preserve">a </w:t>
            </w:r>
            <w:r>
              <w:t xml:space="preserve">Detailed Design Change Pack </w:t>
            </w:r>
            <w:r>
              <w:t>was</w:t>
            </w:r>
            <w:r>
              <w:t xml:space="preserve"> issued </w:t>
            </w:r>
            <w:r>
              <w:t xml:space="preserve">out in </w:t>
            </w:r>
            <w:r>
              <w:t>April</w:t>
            </w:r>
            <w:r>
              <w:t xml:space="preserve"> </w:t>
            </w:r>
            <w:r>
              <w:t>2020 for the June</w:t>
            </w:r>
            <w:r>
              <w:t xml:space="preserve"> </w:t>
            </w:r>
            <w:r>
              <w:t>202</w:t>
            </w:r>
            <w:r>
              <w:t>1</w:t>
            </w:r>
            <w:r>
              <w:t xml:space="preserve"> release</w:t>
            </w:r>
            <w:r>
              <w:t xml:space="preserve">, it was then agreed that </w:t>
            </w:r>
            <w:r>
              <w:t>XRN4941 be moved out</w:t>
            </w:r>
            <w:r>
              <w:t xml:space="preserve"> of </w:t>
            </w:r>
            <w:r>
              <w:t>scope of June 2021</w:t>
            </w:r>
            <w:r>
              <w:t xml:space="preserve"> and into </w:t>
            </w:r>
            <w:r>
              <w:t xml:space="preserve">the </w:t>
            </w:r>
            <w:r>
              <w:t>scope of November</w:t>
            </w:r>
            <w:r>
              <w:t xml:space="preserve"> </w:t>
            </w:r>
            <w:r>
              <w:t>2021</w:t>
            </w:r>
            <w:r>
              <w:t xml:space="preserve"> release.</w:t>
            </w:r>
            <w:r>
              <w:t xml:space="preserve"> </w:t>
            </w:r>
          </w:p>
          <w:p>
            <w:pPr/>
          </w:p>
          <w:p>
            <w:pPr/>
            <w:r>
              <w:t xml:space="preserve">There </w:t>
            </w:r>
            <w:r>
              <w:t xml:space="preserve">is </w:t>
            </w:r>
            <w:r>
              <w:t xml:space="preserve">additional information </w:t>
            </w:r>
            <w:r>
              <w:t>contained within this Change Pack</w:t>
            </w:r>
            <w:r>
              <w:t xml:space="preserve"> </w:t>
            </w:r>
            <w:r>
              <w:t xml:space="preserve">to reflect changes made </w:t>
            </w:r>
            <w:r>
              <w:t xml:space="preserve">to the </w:t>
            </w:r>
            <w:r>
              <w:t>Detailed Design</w:t>
            </w:r>
            <w:r>
              <w:t xml:space="preserve"> since </w:t>
            </w:r>
            <w:r>
              <w:t>the Change Pack was last issued in April 2020</w:t>
            </w:r>
            <w:r>
              <w:t>.</w:t>
            </w:r>
          </w:p>
          <w:p>
            <w:pPr/>
          </w:p>
          <w:p>
            <w:pPr/>
            <w:r>
              <w:t xml:space="preserve">This change </w:t>
            </w:r>
            <w:r>
              <w:t>was</w:t>
            </w:r>
            <w:r>
              <w:t xml:space="preserve"> raised in line with the development of Modification 0692S (Automatic updates to Meter Read Frequency) which grant</w:t>
            </w:r>
            <w:r>
              <w:t>s</w:t>
            </w:r>
            <w:r>
              <w:t xml:space="preserve"> the CDSP permission to update the Meter Read Frequency (MRF) for Product Class 4 Supply Meter Point’s (SMP) under the following circumstances:</w:t>
            </w:r>
          </w:p>
          <w:p>
            <w:pPr/>
            <w:r>
              <w:t> </w:t>
            </w:r>
          </w:p>
          <w:p>
            <w:pPr>
              <w:numPr>
                <w:ilvl w:val="0"/>
                <w:numId w:val="1"/>
              </w:numPr>
            </w:pPr>
            <w:r>
              <w:t>Where a Supply Meter Point’s Annual Quantity value is amended to 293,000 kWh or above on the Supply Point Register and does not currently have a monthly Meter Read Frequency</w:t>
            </w:r>
          </w:p>
          <w:p>
            <w:pPr>
              <w:numPr>
                <w:ilvl w:val="0"/>
                <w:numId w:val="1"/>
              </w:numPr>
              <w:pStyle w:val="List Paragraph"/>
            </w:pPr>
            <w:r>
              <w:t>Where a Supply Meter Point has an</w:t>
            </w:r>
            <w:r>
              <w:t xml:space="preserve"> </w:t>
            </w:r>
            <w:r>
              <w:t>AMR</w:t>
            </w:r>
            <w:r>
              <w:t xml:space="preserve"> </w:t>
            </w:r>
            <w:r>
              <w:t xml:space="preserve">device </w:t>
            </w:r>
            <w:r>
              <w:t>installed on the Supply Point Register and does not currently have a monthly Meter Read Frequency</w:t>
            </w:r>
          </w:p>
          <w:p>
            <w:pPr>
              <w:numPr>
                <w:ilvl w:val="0"/>
                <w:numId w:val="1"/>
              </w:numPr>
              <w:pStyle w:val="List Paragraph"/>
            </w:pPr>
            <w:r>
              <w:t xml:space="preserve">Where a Supply Meter Point has an Operational Smart Meter </w:t>
            </w:r>
            <w:r>
              <w:t xml:space="preserve">installed/updated on the Supply Point Register </w:t>
            </w:r>
            <w:r>
              <w:t xml:space="preserve">and does not currently have a monthly Meter Read Frequency. </w:t>
            </w:r>
            <w:r>
              <w:t xml:space="preserve">How an </w:t>
            </w:r>
            <w:r>
              <w:t xml:space="preserve">Operational Smart Meter is determined </w:t>
            </w:r>
            <w:r>
              <w:t xml:space="preserve">is set out </w:t>
            </w:r>
            <w:r>
              <w:t>in section G5 Change Design Description.</w:t>
            </w:r>
          </w:p>
          <w:p>
            <w:pPr/>
          </w:p>
          <w:p>
            <w:pPr/>
            <w:r>
              <w:t xml:space="preserve">In the above circumstances, the Meter Read Frequency of the Product Class 4 Supply Meter Points </w:t>
            </w:r>
            <w:r>
              <w:t>will</w:t>
            </w:r>
            <w:r>
              <w:t xml:space="preserve"> be amended to monthly by the CDSP. </w:t>
            </w:r>
          </w:p>
          <w:p>
            <w:pPr/>
          </w:p>
          <w:p>
            <w:pPr/>
            <w:r>
              <w:t xml:space="preserve">Modification 0692S </w:t>
            </w:r>
            <w:r>
              <w:t xml:space="preserve">was approved </w:t>
            </w:r>
            <w:r>
              <w:t>in December</w:t>
            </w:r>
            <w:r>
              <w:t xml:space="preserve"> </w:t>
            </w:r>
            <w:r>
              <w:t xml:space="preserve">2019. An appeal was raised </w:t>
            </w:r>
            <w:r>
              <w:t>w</w:t>
            </w:r>
            <w:r>
              <w:t>hich Ofgem d</w:t>
            </w:r>
            <w:r>
              <w:t>etermined</w:t>
            </w:r>
            <w:r>
              <w:t>, in November</w:t>
            </w:r>
            <w:r>
              <w:t xml:space="preserve"> </w:t>
            </w:r>
            <w:r>
              <w:t>2020</w:t>
            </w:r>
            <w:r>
              <w:t>,</w:t>
            </w:r>
            <w:r>
              <w:t xml:space="preserve"> did not meet the criteria </w:t>
            </w:r>
            <w:r>
              <w:t xml:space="preserve">and the original decision to implement the modification </w:t>
            </w:r>
            <w:r>
              <w:t>will stand</w:t>
            </w:r>
            <w:r>
              <w:t>, however as a result a de</w:t>
            </w:r>
            <w:r>
              <w:t xml:space="preserve">pendence </w:t>
            </w:r>
            <w:r>
              <w:t xml:space="preserve">was agreed with </w:t>
            </w:r>
            <w:r>
              <w:t>XRN5142 (</w:t>
            </w:r>
            <w:r>
              <w:t>New Allowable Values for DCC Service Flag in DXI File From DCC</w:t>
            </w:r>
            <w:r>
              <w:t xml:space="preserve">), </w:t>
            </w:r>
            <w:r>
              <w:t xml:space="preserve">so that XRN4941is not implemented before </w:t>
            </w:r>
            <w:r>
              <w:t>XRN</w:t>
            </w:r>
            <w:r>
              <w:t xml:space="preserve">5142, more details </w:t>
            </w:r>
            <w:r>
              <w:t>below.</w:t>
            </w:r>
          </w:p>
          <w:p>
            <w:pPr>
              <w:rPr>
                <w:sz w:val="10"/>
                <w:szCs w:val="10"/>
              </w:rPr>
            </w:pPr>
          </w:p>
        </w:tc>
      </w:tr>
    </w:tbl>
    <w:p>
      <w:pPr>
        <w:pStyle w:val="heading 1"/>
      </w:pPr>
      <w:r>
        <w:t>G4: Change Impact Assessment Dashboard (UK Link)</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Supply Point Administration (SPA), RGMA</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None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shd w:val="clear" w:fill="FFFF00"/>
                <w:rFonts w:cs="Arial"/>
                <w:highlight w:val="yellow"/>
              </w:rPr>
            </w:pPr>
            <w:r>
              <w:rPr>
                <w:rFonts w:cs="Arial"/>
              </w:rPr>
              <w:t>SAP ISU</w:t>
            </w:r>
          </w:p>
        </w:tc>
      </w:tr>
      <w:tr>
        <w:trPr>
          <w:trHeight w:hRule="atLeast" w:val="403"/>
        </w:trPr>
        <w:tc>
          <w:tcPr>
            <w:shd w:val="clear" w:fill="B3EDFB"/>
            <w:tcW w:type="pct" w:w="1223"/>
            <w:vAlign w:val="center"/>
          </w:tcPr>
          <w:p>
            <w:pPr>
              <w:rPr>
                <w:rFonts w:cs="Arial"/>
              </w:rPr>
              <w:jc w:val="right"/>
            </w:pPr>
            <w:r>
              <w:rPr>
                <w:rFonts w:cs="Arial"/>
              </w:rPr>
              <w:t>User(s):</w:t>
            </w:r>
          </w:p>
        </w:tc>
        <w:tc>
          <w:tcPr>
            <w:shd w:val="clear" w:fill="FFFFFF"/>
            <w:tcW w:type="pct" w:w="3777"/>
            <w:vAlign w:val="center"/>
          </w:tcPr>
          <w:p>
            <w:pPr>
              <w:rPr>
                <w:shd w:val="clear" w:fill="FFFF00"/>
                <w:rFonts w:cs="Arial"/>
                <w:highlight w:val="yellow"/>
              </w:rPr>
            </w:pPr>
            <w:r>
              <w:rPr>
                <w:rFonts w:cs="Arial"/>
              </w:rPr>
              <w:t>Shipper</w:t>
            </w:r>
            <w:r>
              <w:rPr>
                <w:rFonts w:cs="Arial"/>
              </w:rPr>
              <w:t>s</w:t>
            </w:r>
            <w:r>
              <w:rPr>
                <w:rFonts w:cs="Arial"/>
              </w:rPr>
              <w:t>; GTs; IGTs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DSC Service Line Amendment</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None</w:t>
            </w:r>
          </w:p>
        </w:tc>
      </w:tr>
    </w:tbl>
    <w:p>
      <w:pPr>
        <w:spacing w:after="0"/>
      </w:pPr>
    </w:p>
    <w:tbl>
      <w:tblPr>
        <w:tblStyle w:val="Table Grid"/>
        <w:tblLayout w:type="fixed"/>
        <w:tblInd w:type="dxa" w:w="-34"/>
        <w:tblW w:type="pct" w:w="5018"/>
        <w:tblLook w:firstColumn="1" w:firstRow="1" w:lastColumn="0" w:lastRow="0" w:noHBand="0" w:noVBand="1"/>
      </w:tblPr>
      <w:tblGrid>
        <w:gridCol w:w="964"/>
        <w:gridCol w:w="1898"/>
        <w:gridCol w:w="1562"/>
        <w:gridCol w:w="2550"/>
        <w:gridCol w:w="2074"/>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3"/>
            <w:vAlign w:val="center"/>
          </w:tcPr>
          <w:p>
            <w:pPr>
              <w:rPr>
                <w:rFonts w:cs="Arial"/>
              </w:rPr>
              <w:jc w:val="center"/>
            </w:pPr>
            <w:r>
              <w:rPr>
                <w:rFonts w:cs="Arial"/>
              </w:rPr>
              <w:t>File</w:t>
            </w:r>
          </w:p>
        </w:tc>
        <w:tc>
          <w:tcPr>
            <w:shd w:val="clear" w:fill="B3EDFB"/>
            <w:tcW w:type="pct" w:w="1049"/>
            <w:vAlign w:val="center"/>
          </w:tcPr>
          <w:p>
            <w:pPr>
              <w:rPr>
                <w:rFonts w:cs="Arial"/>
              </w:rPr>
              <w:jc w:val="center"/>
            </w:pPr>
            <w:r>
              <w:rPr>
                <w:rFonts w:cs="Arial"/>
              </w:rPr>
              <w:t>Parent Record</w:t>
            </w:r>
          </w:p>
        </w:tc>
        <w:tc>
          <w:tcPr>
            <w:shd w:val="clear" w:fill="B3EDFB"/>
            <w:tcW w:type="pct" w:w="863"/>
            <w:vAlign w:val="center"/>
          </w:tcPr>
          <w:p>
            <w:pPr>
              <w:rPr>
                <w:rFonts w:cs="Arial"/>
              </w:rPr>
              <w:jc w:val="center"/>
            </w:pPr>
            <w:r>
              <w:rPr>
                <w:rFonts w:cs="Arial"/>
              </w:rPr>
              <w:t>Record</w:t>
            </w:r>
          </w:p>
        </w:tc>
        <w:tc>
          <w:tcPr>
            <w:shd w:val="clear" w:fill="B3EDFB"/>
            <w:tcW w:type="pct" w:w="1409"/>
            <w:vAlign w:val="center"/>
          </w:tcPr>
          <w:p>
            <w:pPr>
              <w:rPr>
                <w:rFonts w:cs="Arial"/>
              </w:rPr>
              <w:jc w:val="center"/>
            </w:pPr>
            <w:r>
              <w:rPr>
                <w:rFonts w:cs="Arial"/>
              </w:rPr>
              <w:t>Data Attribute</w:t>
            </w:r>
          </w:p>
        </w:tc>
        <w:tc>
          <w:tcPr>
            <w:shd w:val="clear" w:fill="B3EDFB"/>
            <w:tcW w:type="pct" w:w="1146"/>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3"/>
            <w:vAlign w:val="center"/>
          </w:tcPr>
          <w:p>
            <w:pPr>
              <w:rPr>
                <w:rFonts w:cs="Arial"/>
              </w:rPr>
              <w:jc w:val="center"/>
            </w:pPr>
            <w:r>
              <w:rPr>
                <w:rFonts w:cs="Arial"/>
              </w:rPr>
              <w:t>CNF</w:t>
            </w:r>
          </w:p>
        </w:tc>
        <w:tc>
          <w:tcPr>
            <w:shd w:val="clear" w:fill="FFFFFF"/>
            <w:tcW w:type="pct" w:w="1049"/>
            <w:vAlign w:val="center"/>
          </w:tcPr>
          <w:p>
            <w:pPr>
              <w:rPr>
                <w:rFonts w:cs="Arial"/>
              </w:rPr>
              <w:jc w:val="center"/>
            </w:pPr>
            <w:r>
              <w:rPr>
                <w:rFonts w:cs="Arial"/>
              </w:rPr>
              <w:t>N/A</w:t>
            </w:r>
          </w:p>
        </w:tc>
        <w:tc>
          <w:tcPr>
            <w:shd w:val="clear" w:fill="FFFFFF"/>
            <w:tcW w:type="pct" w:w="863"/>
            <w:vAlign w:val="center"/>
          </w:tcPr>
          <w:p>
            <w:pPr>
              <w:rPr>
                <w:rFonts w:cs="Arial"/>
              </w:rPr>
              <w:jc w:val="center"/>
            </w:pPr>
            <w:r>
              <w:rPr>
                <w:rFonts w:cs="Arial"/>
              </w:rPr>
              <w:t>S42</w:t>
            </w:r>
          </w:p>
        </w:tc>
        <w:tc>
          <w:tcPr>
            <w:shd w:val="clear" w:fill="FFFFFF"/>
            <w:tcW w:type="pct" w:w="1409"/>
            <w:vAlign w:val="center"/>
          </w:tcPr>
          <w:p>
            <w:pPr>
              <w:rPr>
                <w:rFonts w:cs="Arial"/>
              </w:rPr>
              <w:jc w:val="center"/>
            </w:pPr>
            <w:r>
              <w:rPr>
                <w:rFonts w:cs="Arial"/>
              </w:rPr>
              <w:t>MRF_TYPE_CODE</w:t>
            </w:r>
          </w:p>
        </w:tc>
        <w:tc>
          <w:tcPr>
            <w:shd w:val="clear" w:fill="FFFFFF"/>
            <w:tcW w:type="pct" w:w="1146"/>
            <w:vAlign w:val="center"/>
          </w:tcPr>
          <w:p>
            <w:pPr>
              <w:rPr>
                <w:rFonts w:cs="Arial"/>
              </w:rPr>
              <w:jc w:val="center"/>
            </w:pPr>
            <w:r>
              <w:rPr>
                <w:rFonts w:cs="Arial"/>
              </w:rPr>
              <w:t>Description updated</w:t>
            </w:r>
          </w:p>
        </w:tc>
      </w:tr>
      <w:tr>
        <w:trPr>
          <w:trHeight w:hRule="atLeast" w:val="403"/>
        </w:trPr>
        <w:tc>
          <w:tcPr>
            <w:shd w:val="clear" w:fill="FFFFFF"/>
            <w:tcW w:type="pct" w:w="533"/>
            <w:vAlign w:val="center"/>
          </w:tcPr>
          <w:p>
            <w:pPr>
              <w:rPr>
                <w:rFonts w:cs="Arial"/>
              </w:rPr>
              <w:jc w:val="center"/>
            </w:pPr>
            <w:r>
              <w:rPr>
                <w:rFonts w:cs="Arial"/>
              </w:rPr>
              <w:t>NOM</w:t>
            </w:r>
          </w:p>
        </w:tc>
        <w:tc>
          <w:tcPr>
            <w:shd w:val="clear" w:fill="FFFFFF"/>
            <w:tcW w:type="pct" w:w="1049"/>
            <w:vAlign w:val="center"/>
          </w:tcPr>
          <w:p>
            <w:pPr>
              <w:rPr>
                <w:rFonts w:cs="Arial"/>
              </w:rPr>
              <w:jc w:val="center"/>
            </w:pPr>
            <w:r>
              <w:rPr>
                <w:rFonts w:cs="Arial"/>
              </w:rPr>
              <w:t>S48</w:t>
            </w:r>
          </w:p>
        </w:tc>
        <w:tc>
          <w:tcPr>
            <w:shd w:val="clear" w:fill="FFFFFF"/>
            <w:tcW w:type="pct" w:w="863"/>
            <w:vAlign w:val="center"/>
          </w:tcPr>
          <w:p>
            <w:pPr>
              <w:rPr>
                <w:rFonts w:cs="Arial"/>
              </w:rPr>
              <w:jc w:val="center"/>
            </w:pPr>
            <w:r>
              <w:rPr>
                <w:rFonts w:cs="Arial"/>
              </w:rPr>
              <w:t>S48</w:t>
            </w:r>
          </w:p>
        </w:tc>
        <w:tc>
          <w:tcPr>
            <w:shd w:val="clear" w:fill="FFFFFF"/>
            <w:tcW w:type="pct" w:w="1409"/>
            <w:vAlign w:val="center"/>
          </w:tcPr>
          <w:p>
            <w:pPr>
              <w:rPr>
                <w:rFonts w:cs="Arial"/>
              </w:rPr>
              <w:jc w:val="center"/>
            </w:pPr>
            <w:r>
              <w:rPr>
                <w:rFonts w:cs="Arial"/>
              </w:rPr>
              <w:t>MRF_TYPE_CODE</w:t>
            </w:r>
          </w:p>
        </w:tc>
        <w:tc>
          <w:tcPr>
            <w:shd w:val="clear" w:fill="FFFFFF"/>
            <w:tcW w:type="pct" w:w="1146"/>
            <w:vAlign w:val="center"/>
          </w:tcPr>
          <w:p>
            <w:pPr>
              <w:rPr>
                <w:rFonts w:cs="Arial"/>
              </w:rPr>
              <w:jc w:val="center"/>
            </w:pPr>
            <w:r>
              <w:rPr>
                <w:rFonts w:cs="Arial"/>
              </w:rPr>
              <w:t>Description updated</w:t>
            </w:r>
          </w:p>
        </w:tc>
      </w:tr>
      <w:tr>
        <w:trPr>
          <w:trHeight w:hRule="atLeast" w:val="403"/>
        </w:trPr>
        <w:tc>
          <w:tcPr>
            <w:shd w:val="clear" w:fill="FFFFFF"/>
            <w:tcW w:type="pct" w:w="533"/>
            <w:vAlign w:val="center"/>
          </w:tcPr>
          <w:p>
            <w:pPr>
              <w:rPr>
                <w:rFonts w:cs="Arial"/>
              </w:rPr>
              <w:jc w:val="center"/>
            </w:pPr>
            <w:r>
              <w:rPr>
                <w:rFonts w:cs="Arial"/>
              </w:rPr>
              <w:t>SPC</w:t>
            </w:r>
          </w:p>
        </w:tc>
        <w:tc>
          <w:tcPr>
            <w:shd w:val="clear" w:fill="FFFFFF"/>
            <w:tcW w:type="pct" w:w="1049"/>
            <w:vAlign w:val="center"/>
          </w:tcPr>
          <w:p>
            <w:pPr>
              <w:rPr>
                <w:rFonts w:cs="Arial"/>
              </w:rPr>
              <w:jc w:val="center"/>
            </w:pPr>
            <w:r>
              <w:rPr>
                <w:rFonts w:cs="Arial"/>
              </w:rPr>
              <w:t>S34</w:t>
            </w:r>
          </w:p>
          <w:p>
            <w:pPr>
              <w:rPr>
                <w:rFonts w:cs="Arial"/>
              </w:rPr>
              <w:jc w:val="center"/>
            </w:pPr>
            <w:r>
              <w:rPr>
                <w:rFonts w:cs="Arial"/>
              </w:rPr>
              <w:t>C38</w:t>
            </w:r>
          </w:p>
        </w:tc>
        <w:tc>
          <w:tcPr>
            <w:shd w:val="clear" w:fill="FFFFFF"/>
            <w:tcW w:type="pct" w:w="863"/>
            <w:vAlign w:val="center"/>
          </w:tcPr>
          <w:p>
            <w:pPr>
              <w:rPr>
                <w:rFonts w:cs="Arial"/>
              </w:rPr>
              <w:jc w:val="center"/>
            </w:pPr>
            <w:r>
              <w:rPr>
                <w:rFonts w:cs="Arial"/>
              </w:rPr>
              <w:t>S34</w:t>
            </w:r>
          </w:p>
          <w:p>
            <w:pPr>
              <w:rPr>
                <w:rFonts w:cs="Arial"/>
              </w:rPr>
              <w:jc w:val="center"/>
            </w:pPr>
            <w:r>
              <w:rPr>
                <w:rFonts w:cs="Arial"/>
              </w:rPr>
              <w:t xml:space="preserve">C38 </w:t>
            </w:r>
          </w:p>
        </w:tc>
        <w:tc>
          <w:tcPr>
            <w:shd w:val="clear" w:fill="FFFFFF"/>
            <w:tcW w:type="pct" w:w="1409"/>
            <w:vAlign w:val="center"/>
          </w:tcPr>
          <w:p>
            <w:pPr>
              <w:rPr>
                <w:rFonts w:cs="Arial"/>
              </w:rPr>
              <w:jc w:val="center"/>
            </w:pPr>
            <w:r>
              <w:rPr>
                <w:rFonts w:cs="Arial"/>
              </w:rPr>
              <w:t>MRF_TYPE_CODE</w:t>
            </w:r>
          </w:p>
        </w:tc>
        <w:tc>
          <w:tcPr>
            <w:shd w:val="clear" w:fill="FFFFFF"/>
            <w:tcW w:type="pct" w:w="1146"/>
            <w:vAlign w:val="center"/>
          </w:tcPr>
          <w:p>
            <w:pPr>
              <w:rPr>
                <w:rFonts w:cs="Arial"/>
              </w:rPr>
              <w:jc w:val="center"/>
            </w:pPr>
            <w:r>
              <w:rPr>
                <w:rFonts w:cs="Arial"/>
              </w:rPr>
              <w:t>Description updated</w:t>
            </w:r>
          </w:p>
        </w:tc>
      </w:tr>
    </w:tbl>
    <w:p>
      <w:pPr>
        <w:pStyle w:val="heading 1"/>
      </w:pPr>
      <w:r>
        <w:t>G</w:t>
      </w:r>
      <w:r>
        <w:t>5: Change Design Description</w:t>
      </w:r>
    </w:p>
    <w:tbl>
      <w:tblPr>
        <w:tblStyle w:val="Table Grid"/>
        <w:tblLayout w:type="fixed"/>
        <w:tblInd w:type="dxa" w:w="-34"/>
        <w:tblW w:type="pct" w:w="4969"/>
        <w:tblLook w:firstColumn="1" w:firstRow="1" w:lastColumn="0" w:lastRow="0" w:noHBand="0" w:noVBand="1"/>
      </w:tblPr>
      <w:tblGrid>
        <w:gridCol w:w="8960"/>
      </w:tblGrid>
      <w:tr>
        <w:trPr>
          <w:trHeight w:hRule="atLeast" w:val="983"/>
        </w:trPr>
        <w:tc>
          <w:tcPr>
            <w:tcW w:type="pct" w:w="5000"/>
            <w:vAlign w:val="center"/>
          </w:tcPr>
          <w:p>
            <w:pPr>
              <w:rPr>
                <w:sz w:val="10"/>
                <w:szCs w:val="10"/>
              </w:rPr>
            </w:pPr>
          </w:p>
          <w:p>
            <w:pPr>
              <w:rPr>
                <w:b w:val="1"/>
                <w:bCs w:val="1"/>
                <w:u w:val="single"/>
              </w:rPr>
            </w:pPr>
            <w:r>
              <w:rPr>
                <w:b w:val="1"/>
                <w:bCs w:val="1"/>
                <w:u w:val="single"/>
              </w:rPr>
              <w:t>OVERVIEW</w:t>
            </w:r>
          </w:p>
          <w:p>
            <w:pPr/>
            <w:r>
              <w:t>Modification 0692S give</w:t>
            </w:r>
            <w:r>
              <w:t>s</w:t>
            </w:r>
            <w:r>
              <w:t xml:space="preserve"> the CDSP the ability to amend a Meter Read Frequency for Product Class 4 Supply Meter Points to monthly where the current Meter Read Frequency is classed as ‘non-compliant’.  A non-compliant Meter Read Frequency value for Product Class 4 Supply Meter Points is defined as having a non-monthly frequency AND has one or more of the following: </w:t>
            </w:r>
          </w:p>
          <w:p>
            <w:pPr>
              <w:numPr>
                <w:ilvl w:val="0"/>
                <w:numId w:val="2"/>
              </w:numPr>
            </w:pPr>
            <w:r>
              <w:t>An Annual Quantity value of 293,000 kWh or above</w:t>
            </w:r>
          </w:p>
          <w:p>
            <w:pPr>
              <w:numPr>
                <w:ilvl w:val="0"/>
                <w:numId w:val="2"/>
              </w:numPr>
              <w:pStyle w:val="List Paragraph"/>
            </w:pPr>
            <w:r>
              <w:t xml:space="preserve">An </w:t>
            </w:r>
            <w:r>
              <w:t>AMR device installed</w:t>
            </w:r>
            <w:r>
              <w:t xml:space="preserve">  </w:t>
            </w:r>
          </w:p>
          <w:p>
            <w:pPr>
              <w:numPr>
                <w:ilvl w:val="0"/>
                <w:numId w:val="2"/>
              </w:numPr>
              <w:pStyle w:val="List Paragraph"/>
            </w:pPr>
            <w:r>
              <w:t xml:space="preserve">An Operational Smart Meter installed </w:t>
            </w:r>
          </w:p>
          <w:p>
            <w:pPr>
              <w:pStyle w:val="List Paragraph"/>
            </w:pPr>
          </w:p>
          <w:p>
            <w:pPr/>
            <w:r>
              <w:t>It is expected that a DSC Service Line will be introduced following the implementation of this change to detail this obligation.</w:t>
            </w:r>
            <w:r>
              <w:t xml:space="preserve"> This will be discussed and presented at a future CoMC in accordance with DSC procedures. </w:t>
            </w:r>
          </w:p>
          <w:p>
            <w:pPr/>
          </w:p>
          <w:p>
            <w:pPr>
              <w:rPr>
                <w:b w:val="1"/>
                <w:bCs w:val="1"/>
              </w:rPr>
            </w:pPr>
            <w:r>
              <w:rPr>
                <w:b w:val="1"/>
                <w:bCs w:val="1"/>
              </w:rPr>
              <w:t xml:space="preserve">Determination of an Operational SMART Meter Device </w:t>
            </w:r>
          </w:p>
          <w:p>
            <w:pPr/>
            <w:r>
              <w:t xml:space="preserve">Operational Smart Meter means where a Meter Reading is capable of being able to be retrieved from the asset and made available to the Registered Supplier.  For the avoidance of doubt the CDSP shall determine the Smart Meter as being Operational where: </w:t>
            </w:r>
          </w:p>
          <w:p>
            <w:pPr/>
            <w:r>
              <w:t xml:space="preserve"> </w:t>
            </w:r>
          </w:p>
          <w:p>
            <w:pPr>
              <w:numPr>
                <w:ilvl w:val="0"/>
                <w:numId w:val="3"/>
              </w:numPr>
              <w:pStyle w:val="List Paragraph"/>
            </w:pPr>
            <w:r>
              <w:t xml:space="preserve">The DCC Flag recorded </w:t>
            </w:r>
            <w:r>
              <w:t xml:space="preserve">is ‘A’ </w:t>
            </w:r>
            <w:r>
              <w:t>–</w:t>
            </w:r>
            <w:r>
              <w:t xml:space="preserve"> </w:t>
            </w:r>
            <w:r>
              <w:t>active</w:t>
            </w:r>
            <w:r>
              <w:t xml:space="preserve"> with</w:t>
            </w:r>
            <w:r>
              <w:t>in</w:t>
            </w:r>
            <w:r>
              <w:t xml:space="preserve"> the Supply Point Register</w:t>
            </w:r>
          </w:p>
          <w:p>
            <w:pPr>
              <w:pStyle w:val="List Paragraph"/>
            </w:pPr>
          </w:p>
          <w:p>
            <w:pPr/>
            <w:r>
              <w:t>Following discussion at DSG, on the 22</w:t>
            </w:r>
            <w:r>
              <w:rPr>
                <w:vertAlign w:val="superscript"/>
              </w:rPr>
              <w:t>nd</w:t>
            </w:r>
            <w:r>
              <w:t xml:space="preserve"> February 2021</w:t>
            </w:r>
            <w:r>
              <w:t xml:space="preserve"> (meeting papers can be found </w:t>
            </w:r>
            <w:hyperlink r:id="R3848ef7315444e9e">
              <w:r>
                <w:rPr>
                  <w:rStyle w:val="Hyperlink"/>
                </w:rPr>
                <w:t>here</w:t>
              </w:r>
            </w:hyperlink>
            <w:r>
              <w:t>)</w:t>
            </w:r>
            <w:r>
              <w:t>, the CDSP will only consider a DCC Service Flag of ‘A’ – active to determine an Operational Smart Meter</w:t>
            </w:r>
            <w:r>
              <w:t>. This is</w:t>
            </w:r>
            <w:r>
              <w:t xml:space="preserve"> </w:t>
            </w:r>
            <w:r>
              <w:t xml:space="preserve">to </w:t>
            </w:r>
            <w:r>
              <w:t xml:space="preserve">reduce the risk of the CDSP amending </w:t>
            </w:r>
            <w:r>
              <w:t xml:space="preserve">a </w:t>
            </w:r>
            <w:r>
              <w:t xml:space="preserve">Supply Meter Point </w:t>
            </w:r>
            <w:r>
              <w:t>M</w:t>
            </w:r>
            <w:r>
              <w:t xml:space="preserve">eter </w:t>
            </w:r>
            <w:r>
              <w:t>R</w:t>
            </w:r>
            <w:r>
              <w:t xml:space="preserve">ead </w:t>
            </w:r>
            <w:r>
              <w:t>F</w:t>
            </w:r>
            <w:r>
              <w:t>requenc</w:t>
            </w:r>
            <w:r>
              <w:t>y</w:t>
            </w:r>
            <w:r>
              <w:t xml:space="preserve"> </w:t>
            </w:r>
            <w:r>
              <w:t xml:space="preserve">to </w:t>
            </w:r>
            <w:r>
              <w:t>m</w:t>
            </w:r>
            <w:r>
              <w:t xml:space="preserve">onthly </w:t>
            </w:r>
            <w:r>
              <w:t>where the Shipper is unable to carry out its obligation</w:t>
            </w:r>
            <w:r>
              <w:t>s</w:t>
            </w:r>
            <w:r>
              <w:t xml:space="preserve"> effectivel</w:t>
            </w:r>
            <w:r>
              <w:t>y</w:t>
            </w:r>
            <w:r>
              <w:t xml:space="preserve"> due to the </w:t>
            </w:r>
            <w:r>
              <w:t>d</w:t>
            </w:r>
            <w:r>
              <w:t>evice</w:t>
            </w:r>
            <w:r>
              <w:t xml:space="preserve">, for </w:t>
            </w:r>
            <w:r>
              <w:t>a number of</w:t>
            </w:r>
            <w:r>
              <w:t xml:space="preserve"> reasons,</w:t>
            </w:r>
            <w:r>
              <w:t xml:space="preserve"> not being </w:t>
            </w:r>
            <w:r>
              <w:t>able to communicate</w:t>
            </w:r>
            <w:r>
              <w:t xml:space="preserve"> effectively</w:t>
            </w:r>
            <w:r>
              <w:t>.</w:t>
            </w:r>
          </w:p>
          <w:p>
            <w:pPr/>
          </w:p>
          <w:p>
            <w:pPr>
              <w:rPr>
                <w:b w:val="1"/>
                <w:bCs w:val="1"/>
              </w:rPr>
            </w:pPr>
            <w:r>
              <w:rPr>
                <w:b w:val="1"/>
                <w:bCs w:val="1"/>
              </w:rPr>
              <w:t>Notification of Meter Read Frequency Amendments</w:t>
            </w:r>
          </w:p>
          <w:p>
            <w:pPr/>
            <w:r>
              <w:t xml:space="preserve">Please note that within Modification 0692S there </w:t>
            </w:r>
            <w:r>
              <w:t>is</w:t>
            </w:r>
            <w:r>
              <w:t xml:space="preserve"> </w:t>
            </w:r>
            <w:r>
              <w:rPr>
                <w:b w:val="1"/>
                <w:bCs w:val="1"/>
                <w:u w:val="single"/>
              </w:rPr>
              <w:t>no</w:t>
            </w:r>
            <w:r>
              <w:t xml:space="preserve"> obligation for the CDSP to</w:t>
            </w:r>
            <w:r>
              <w:t>:</w:t>
            </w:r>
          </w:p>
          <w:p>
            <w:pPr>
              <w:numPr>
                <w:ilvl w:val="0"/>
                <w:numId w:val="4"/>
              </w:numPr>
              <w:pStyle w:val="List Paragraph"/>
            </w:pPr>
            <w:r>
              <w:t>inform the Registered Shipper of a non-compliant Meter Read Frequency</w:t>
            </w:r>
            <w:r>
              <w:t>; or</w:t>
            </w:r>
          </w:p>
          <w:p>
            <w:pPr>
              <w:numPr>
                <w:ilvl w:val="0"/>
                <w:numId w:val="4"/>
              </w:numPr>
              <w:pStyle w:val="List Paragraph"/>
            </w:pPr>
            <w:r>
              <w:t xml:space="preserve">provide </w:t>
            </w:r>
            <w:r>
              <w:t>the</w:t>
            </w:r>
            <w:r>
              <w:t xml:space="preserve"> Registered Shipper time to amend the Meter Read Frequency before the CDSP intervenes</w:t>
            </w:r>
            <w:r>
              <w:t>;</w:t>
            </w:r>
            <w:r>
              <w:t xml:space="preserve"> or </w:t>
            </w:r>
          </w:p>
          <w:p>
            <w:pPr>
              <w:numPr>
                <w:ilvl w:val="0"/>
                <w:numId w:val="4"/>
              </w:numPr>
              <w:pStyle w:val="List Paragraph"/>
            </w:pPr>
            <w:r>
              <w:t>inform the Registered Shipper of the CDSP having taken any action with regards to the Meter Read Frequency update.</w:t>
            </w:r>
          </w:p>
          <w:p>
            <w:pPr/>
          </w:p>
          <w:p>
            <w:pPr/>
            <w:r>
              <w:t>However, f</w:t>
            </w:r>
            <w:r>
              <w:t xml:space="preserve">ollowing </w:t>
            </w:r>
            <w:r>
              <w:t xml:space="preserve">a </w:t>
            </w:r>
            <w:r>
              <w:t>discuss</w:t>
            </w:r>
            <w:r>
              <w:t>ion</w:t>
            </w:r>
            <w:r>
              <w:t xml:space="preserve"> at DSG</w:t>
            </w:r>
            <w:r>
              <w:t>,</w:t>
            </w:r>
            <w:r>
              <w:t xml:space="preserve"> on the 4</w:t>
            </w:r>
            <w:r>
              <w:rPr>
                <w:vertAlign w:val="superscript"/>
              </w:rPr>
              <w:t>th</w:t>
            </w:r>
            <w:r>
              <w:t xml:space="preserve"> November 2019</w:t>
            </w:r>
            <w:r>
              <w:t xml:space="preserve"> (meeting papers can be found </w:t>
            </w:r>
            <w:hyperlink r:id="Rad5c7660e6ac4d37">
              <w:r>
                <w:rPr>
                  <w:rStyle w:val="Hyperlink"/>
                </w:rPr>
                <w:t>here</w:t>
              </w:r>
            </w:hyperlink>
            <w:r>
              <w:t>)</w:t>
            </w:r>
            <w:r>
              <w:t xml:space="preserve">, </w:t>
            </w:r>
            <w:r>
              <w:t xml:space="preserve">it was agreed that </w:t>
            </w:r>
            <w:r>
              <w:t xml:space="preserve">the CDSP </w:t>
            </w:r>
            <w:r>
              <w:t xml:space="preserve">will </w:t>
            </w:r>
            <w:r>
              <w:t xml:space="preserve">inform the Registered Shipper of any action taken by the CDSP </w:t>
            </w:r>
            <w:r>
              <w:t xml:space="preserve">to amend </w:t>
            </w:r>
            <w:r>
              <w:t>a Supply Meter Points’</w:t>
            </w:r>
            <w:r>
              <w:t xml:space="preserve"> Meter Read Frequency</w:t>
            </w:r>
            <w:r>
              <w:t>. This is</w:t>
            </w:r>
            <w:r>
              <w:t xml:space="preserve"> </w:t>
            </w:r>
            <w:r>
              <w:t xml:space="preserve">so </w:t>
            </w:r>
            <w:r>
              <w:t xml:space="preserve">Shippers are aware of their revised obligations regarding read submission and billing rates for CFI charges (Customer Fixed Charge for Capacity billing). This notification </w:t>
            </w:r>
            <w:r>
              <w:t>will</w:t>
            </w:r>
            <w:r>
              <w:t xml:space="preserve"> be issued out to the Registered Shipper </w:t>
            </w:r>
            <w:r>
              <w:t>via</w:t>
            </w:r>
            <w:r>
              <w:t xml:space="preserve"> an unsolicited</w:t>
            </w:r>
            <w:r>
              <w:t xml:space="preserve"> </w:t>
            </w:r>
            <w:r>
              <w:t xml:space="preserve">S03 record within </w:t>
            </w:r>
            <w:r>
              <w:t>your</w:t>
            </w:r>
            <w:r>
              <w:t xml:space="preserve"> </w:t>
            </w:r>
            <w:r>
              <w:t xml:space="preserve"> .</w:t>
            </w:r>
            <w:r>
              <w:t>SCR (Supply Meter Point Amendments Response) file</w:t>
            </w:r>
            <w:r>
              <w:t xml:space="preserve"> (please note that if you have not sent any </w:t>
            </w:r>
            <w:r>
              <w:t>.</w:t>
            </w:r>
            <w:r>
              <w:t>SPC (Supply Meter Point Amendment Request) file</w:t>
            </w:r>
            <w:r>
              <w:t xml:space="preserve">s for that day then the </w:t>
            </w:r>
            <w:r>
              <w:t xml:space="preserve">whole .SCR file will be unsolicited and </w:t>
            </w:r>
            <w:r>
              <w:t xml:space="preserve">will </w:t>
            </w:r>
            <w:r>
              <w:t xml:space="preserve">only contain </w:t>
            </w:r>
            <w:r>
              <w:t>S03 records pertaining to</w:t>
            </w:r>
            <w:r>
              <w:t xml:space="preserve"> </w:t>
            </w:r>
            <w:r>
              <w:t xml:space="preserve">MRF amendments). </w:t>
            </w:r>
            <w:r>
              <w:t xml:space="preserve">Further </w:t>
            </w:r>
            <w:r>
              <w:t xml:space="preserve">details </w:t>
            </w:r>
            <w:r>
              <w:t xml:space="preserve">can </w:t>
            </w:r>
            <w:r>
              <w:t>be found later in this Change Pack.</w:t>
            </w:r>
          </w:p>
          <w:p>
            <w:pPr/>
          </w:p>
          <w:p>
            <w:pPr>
              <w:rPr>
                <w:b w:val="1"/>
                <w:bCs w:val="1"/>
              </w:rPr>
            </w:pPr>
            <w:r>
              <w:rPr>
                <w:b w:val="1"/>
                <w:bCs w:val="1"/>
              </w:rPr>
              <w:t>Reversal of CDSP Meter Read Frequency Amendments</w:t>
            </w:r>
          </w:p>
          <w:p>
            <w:pPr/>
            <w:r>
              <w:t xml:space="preserve">Modification 0692S explicitly states that if a Product Class 4 Supply Meter Point has its Meter Read Frequency amended to monthly by the CDSP, and a future activity occurs where it no longer requires the Meter Read Frequency to be set as monthly, the CDSP will </w:t>
            </w:r>
            <w:r>
              <w:rPr>
                <w:b w:val="1"/>
                <w:bCs w:val="1"/>
                <w:u w:val="single"/>
              </w:rPr>
              <w:t>not</w:t>
            </w:r>
            <w:r>
              <w:t xml:space="preserve"> amend a Supply Meter Points Meter Read Frequency away from monthly. </w:t>
            </w:r>
            <w:r>
              <w:t>T</w:t>
            </w:r>
            <w:r>
              <w:t xml:space="preserve">he Shipper </w:t>
            </w:r>
            <w:r>
              <w:t xml:space="preserve">will be </w:t>
            </w:r>
            <w:r>
              <w:t>require</w:t>
            </w:r>
            <w:r>
              <w:t>d to amend the value</w:t>
            </w:r>
            <w:r>
              <w:t xml:space="preserve">, via standard SPA transactions, should they </w:t>
            </w:r>
            <w:r>
              <w:t xml:space="preserve">want the Meter Read Frequency amended. </w:t>
            </w:r>
            <w:r>
              <w:t xml:space="preserve"> </w:t>
            </w:r>
          </w:p>
          <w:p>
            <w:pPr/>
          </w:p>
          <w:p>
            <w:pPr>
              <w:rPr>
                <w:b w:val="1"/>
                <w:bCs w:val="1"/>
                <w:rFonts w:cs="Arial"/>
                <w:lang w:val="en-US"/>
              </w:rPr>
            </w:pPr>
            <w:r>
              <w:rPr>
                <w:b w:val="1"/>
                <w:bCs w:val="1"/>
              </w:rPr>
              <w:t xml:space="preserve">XRN5142 </w:t>
            </w:r>
            <w:r>
              <w:rPr>
                <w:b w:val="1"/>
                <w:bCs w:val="1"/>
                <w:rFonts w:cs="Arial"/>
                <w:lang w:val="en-US"/>
              </w:rPr>
              <w:t>New Allowable Values for DCC Service Flag in DXI File From DCC</w:t>
            </w:r>
          </w:p>
          <w:p>
            <w:pPr/>
            <w:r>
              <w:t>XRN5142</w:t>
            </w:r>
            <w:r>
              <w:t xml:space="preserve"> has been raised to update the </w:t>
            </w:r>
            <w:r>
              <w:t xml:space="preserve">allowable values </w:t>
            </w:r>
            <w:r>
              <w:t xml:space="preserve">of </w:t>
            </w:r>
            <w:r>
              <w:t xml:space="preserve">the </w:t>
            </w:r>
            <w:r>
              <w:t>DCC Service Flag</w:t>
            </w:r>
            <w:r>
              <w:t xml:space="preserve"> to help provide more accurate </w:t>
            </w:r>
            <w:r>
              <w:t>information in relation to the DCC flag and an assets ability to be communicating</w:t>
            </w:r>
            <w:r>
              <w:t xml:space="preserve">. </w:t>
            </w:r>
            <w:r>
              <w:t>As part of</w:t>
            </w:r>
            <w:r>
              <w:t xml:space="preserve"> </w:t>
            </w:r>
            <w:r>
              <w:t>XRN</w:t>
            </w:r>
            <w:r>
              <w:t>5142</w:t>
            </w:r>
            <w:r>
              <w:t>, t</w:t>
            </w:r>
            <w:r>
              <w:t>he</w:t>
            </w:r>
            <w:r>
              <w:t xml:space="preserve"> DCC will </w:t>
            </w:r>
            <w:r>
              <w:t xml:space="preserve">also </w:t>
            </w:r>
            <w:r>
              <w:t>be assessing their portfolio and updating any Service Flags currently set</w:t>
            </w:r>
            <w:r>
              <w:t xml:space="preserve"> within the Supply Point Register</w:t>
            </w:r>
            <w:r>
              <w:t xml:space="preserve"> </w:t>
            </w:r>
            <w:r>
              <w:t>(</w:t>
            </w:r>
            <w:r>
              <w:t>‘</w:t>
            </w:r>
            <w:r>
              <w:t xml:space="preserve">A’ - </w:t>
            </w:r>
            <w:r>
              <w:t>Active, ‘</w:t>
            </w:r>
            <w:r>
              <w:t xml:space="preserve">S’ - </w:t>
            </w:r>
            <w:r>
              <w:t>Suspended or ‘</w:t>
            </w:r>
            <w:r>
              <w:t xml:space="preserve">W’ </w:t>
            </w:r>
            <w:r>
              <w:t>–</w:t>
            </w:r>
            <w:r>
              <w:t xml:space="preserve"> </w:t>
            </w:r>
            <w:r>
              <w:t>Withdrawn</w:t>
            </w:r>
            <w:r>
              <w:t xml:space="preserve">) </w:t>
            </w:r>
            <w:r>
              <w:t xml:space="preserve">to the new </w:t>
            </w:r>
            <w:r>
              <w:t>value’s</w:t>
            </w:r>
            <w:r>
              <w:t xml:space="preserve"> </w:t>
            </w:r>
            <w:r>
              <w:t xml:space="preserve">‘A’ - </w:t>
            </w:r>
            <w:r>
              <w:t xml:space="preserve">Active, </w:t>
            </w:r>
            <w:r>
              <w:t>‘</w:t>
            </w:r>
            <w:r>
              <w:t xml:space="preserve">I’ - </w:t>
            </w:r>
            <w:r>
              <w:t>Installed Not Commissioned or ‘</w:t>
            </w:r>
            <w:r>
              <w:t xml:space="preserve">N’ - </w:t>
            </w:r>
            <w:r>
              <w:t>Non-active</w:t>
            </w:r>
            <w:r>
              <w:t>,</w:t>
            </w:r>
            <w:r>
              <w:t xml:space="preserve"> </w:t>
            </w:r>
            <w:r>
              <w:t>where appropriate</w:t>
            </w:r>
            <w:r>
              <w:t xml:space="preserve">. </w:t>
            </w:r>
          </w:p>
          <w:p>
            <w:pPr/>
          </w:p>
          <w:p>
            <w:pPr/>
            <w:r>
              <w:t xml:space="preserve">To prevent the CDSP </w:t>
            </w:r>
            <w:r>
              <w:t xml:space="preserve">updating any </w:t>
            </w:r>
            <w:r>
              <w:t>Supply Meter Point M</w:t>
            </w:r>
            <w:r>
              <w:t xml:space="preserve">eter </w:t>
            </w:r>
            <w:r>
              <w:t>R</w:t>
            </w:r>
            <w:r>
              <w:t xml:space="preserve">ead </w:t>
            </w:r>
            <w:r>
              <w:t>F</w:t>
            </w:r>
            <w:r>
              <w:t>r</w:t>
            </w:r>
            <w:r>
              <w:t>e</w:t>
            </w:r>
            <w:r>
              <w:t>quenc</w:t>
            </w:r>
            <w:r>
              <w:t>y</w:t>
            </w:r>
            <w:r>
              <w:t xml:space="preserve"> to monthly based on the </w:t>
            </w:r>
            <w:r>
              <w:t xml:space="preserve">current </w:t>
            </w:r>
            <w:r>
              <w:t xml:space="preserve">logic of </w:t>
            </w:r>
            <w:r>
              <w:t xml:space="preserve">DCC </w:t>
            </w:r>
            <w:r>
              <w:t xml:space="preserve">Service </w:t>
            </w:r>
            <w:r>
              <w:t>F</w:t>
            </w:r>
            <w:r>
              <w:t>lag</w:t>
            </w:r>
            <w:r>
              <w:t xml:space="preserve"> of </w:t>
            </w:r>
            <w:r>
              <w:t>‘Active’</w:t>
            </w:r>
            <w:r>
              <w:t xml:space="preserve">, </w:t>
            </w:r>
            <w:r>
              <w:t xml:space="preserve">which could </w:t>
            </w:r>
            <w:r>
              <w:t xml:space="preserve">later </w:t>
            </w:r>
            <w:r>
              <w:t xml:space="preserve">be </w:t>
            </w:r>
            <w:r>
              <w:t>updated</w:t>
            </w:r>
            <w:r>
              <w:t xml:space="preserve"> to ‘</w:t>
            </w:r>
            <w:r>
              <w:t xml:space="preserve">I’ </w:t>
            </w:r>
            <w:r>
              <w:t>Installed Not Commission</w:t>
            </w:r>
            <w:r>
              <w:t>ed</w:t>
            </w:r>
            <w:r>
              <w:t xml:space="preserve"> or </w:t>
            </w:r>
            <w:r>
              <w:t>‘N’</w:t>
            </w:r>
            <w:r>
              <w:t xml:space="preserve"> </w:t>
            </w:r>
            <w:r>
              <w:t>Non-active</w:t>
            </w:r>
            <w:r>
              <w:t>,</w:t>
            </w:r>
            <w:r>
              <w:t xml:space="preserve"> </w:t>
            </w:r>
            <w:r>
              <w:t>XRN4941</w:t>
            </w:r>
            <w:r>
              <w:t xml:space="preserve"> </w:t>
            </w:r>
            <w:r>
              <w:t>will be</w:t>
            </w:r>
            <w:r>
              <w:t xml:space="preserve"> not be </w:t>
            </w:r>
            <w:r>
              <w:t xml:space="preserve">implemented </w:t>
            </w:r>
            <w:r>
              <w:t xml:space="preserve">prior to </w:t>
            </w:r>
            <w:r>
              <w:t>XRN5142</w:t>
            </w:r>
            <w:r>
              <w:t xml:space="preserve"> (including the updates to the </w:t>
            </w:r>
            <w:r>
              <w:t xml:space="preserve">DCC </w:t>
            </w:r>
            <w:r>
              <w:t xml:space="preserve">current </w:t>
            </w:r>
            <w:r>
              <w:t>portfolio)</w:t>
            </w:r>
            <w:r>
              <w:t>.</w:t>
            </w:r>
          </w:p>
          <w:p>
            <w:pPr/>
          </w:p>
          <w:p>
            <w:pPr/>
            <w:r>
              <w:t>XRN5142</w:t>
            </w:r>
            <w:r>
              <w:t xml:space="preserve"> </w:t>
            </w:r>
            <w:r>
              <w:t>is also in scope of the November 21 Major Release</w:t>
            </w:r>
            <w:r>
              <w:t>, d</w:t>
            </w:r>
            <w:r>
              <w:t xml:space="preserve">etails </w:t>
            </w:r>
            <w:r>
              <w:t xml:space="preserve">of which </w:t>
            </w:r>
            <w:r>
              <w:t xml:space="preserve">can be found </w:t>
            </w:r>
            <w:hyperlink r:id="R8e2cd856609a4b74">
              <w:r>
                <w:rPr>
                  <w:rStyle w:val="Hyperlink"/>
                </w:rPr>
                <w:t>here</w:t>
              </w:r>
            </w:hyperlink>
            <w:r>
              <w:t>.</w:t>
            </w:r>
            <w:r>
              <w:t xml:space="preserve"> For clarification, if XRN5142, and the associated </w:t>
            </w:r>
            <w:r>
              <w:t xml:space="preserve">SEC change (MP077) </w:t>
            </w:r>
            <w:r>
              <w:t>is to be delayed, then XRN4941 will also be delayed</w:t>
            </w:r>
            <w:r>
              <w:t xml:space="preserve"> as a result</w:t>
            </w:r>
            <w:r>
              <w:t>.</w:t>
            </w:r>
          </w:p>
          <w:p>
            <w:pPr/>
          </w:p>
          <w:p>
            <w:pPr>
              <w:rPr>
                <w:b w:val="1"/>
                <w:bCs w:val="1"/>
                <w:u w:val="single"/>
              </w:rPr>
            </w:pPr>
            <w:r>
              <w:rPr>
                <w:b w:val="1"/>
                <w:bCs w:val="1"/>
                <w:u w:val="single"/>
              </w:rPr>
              <w:t>ENDURING PROCESS</w:t>
            </w:r>
          </w:p>
          <w:p>
            <w:pPr/>
            <w:r>
              <w:t xml:space="preserve">This change </w:t>
            </w:r>
            <w:r>
              <w:t>will</w:t>
            </w:r>
            <w:r>
              <w:t xml:space="preserve"> introduce triggers within CDSP systems from </w:t>
            </w:r>
            <w:r>
              <w:t>several</w:t>
            </w:r>
            <w:r>
              <w:t xml:space="preserve"> processes for Product Class 4 Supply Meter Points to review and subsequently update the Meter Read Frequency to monthly.  These triggers are internal to the CDSP Systems and will be generated where one of the following occurs on a Product Class 4 Supply Meter Point:</w:t>
            </w:r>
          </w:p>
          <w:p>
            <w:pPr>
              <w:numPr>
                <w:ilvl w:val="0"/>
                <w:numId w:val="5"/>
              </w:numPr>
              <w:pStyle w:val="List Paragraph"/>
            </w:pPr>
            <w:r>
              <w:t>Annual Quantity value is revised (via Rolling AQ</w:t>
            </w:r>
            <w:r>
              <w:t xml:space="preserve">, </w:t>
            </w:r>
            <w:r>
              <w:t>AQ Correction</w:t>
            </w:r>
            <w:r>
              <w:t xml:space="preserve"> or </w:t>
            </w:r>
            <w:r>
              <w:t xml:space="preserve">Seasonal Normal Review </w:t>
            </w:r>
            <w:r>
              <w:t>processes) to 293,000 kWh or higher</w:t>
            </w:r>
          </w:p>
          <w:p>
            <w:pPr>
              <w:numPr>
                <w:ilvl w:val="0"/>
                <w:numId w:val="5"/>
              </w:numPr>
              <w:pStyle w:val="List Paragraph"/>
            </w:pPr>
            <w:r>
              <w:t>An AMR device is installed</w:t>
            </w:r>
          </w:p>
          <w:p>
            <w:pPr>
              <w:numPr>
                <w:ilvl w:val="0"/>
                <w:numId w:val="5"/>
              </w:numPr>
              <w:pStyle w:val="List Paragraph"/>
            </w:pPr>
            <w:r>
              <w:t>A</w:t>
            </w:r>
            <w:r>
              <w:t xml:space="preserve">n Operational Smart Meter </w:t>
            </w:r>
            <w:r>
              <w:t xml:space="preserve">is </w:t>
            </w:r>
            <w:r>
              <w:t>installed</w:t>
            </w:r>
            <w:r>
              <w:t>/updated</w:t>
            </w:r>
            <w:r>
              <w:t xml:space="preserve"> </w:t>
            </w:r>
            <w:r>
              <w:t>(</w:t>
            </w:r>
            <w:r>
              <w:t>t</w:t>
            </w:r>
            <w:r>
              <w:t xml:space="preserve">he DCC Service flag </w:t>
            </w:r>
            <w:r>
              <w:t>is</w:t>
            </w:r>
            <w:r>
              <w:t xml:space="preserve"> set/updated as ‘</w:t>
            </w:r>
            <w:r>
              <w:t>A’ – A</w:t>
            </w:r>
            <w:r>
              <w:t>ctive</w:t>
            </w:r>
            <w:r>
              <w:t>)</w:t>
            </w:r>
          </w:p>
          <w:p>
            <w:pPr/>
          </w:p>
          <w:p>
            <w:pPr/>
            <w:r>
              <w:rPr>
                <w:b w:val="1"/>
                <w:bCs w:val="1"/>
              </w:rPr>
              <w:t>Annual Quantity</w:t>
            </w:r>
          </w:p>
          <w:p>
            <w:pPr/>
            <w:r>
              <w:t>When an AQ value is revised</w:t>
            </w:r>
            <w:r>
              <w:t xml:space="preserve"> within the Supply Point Register</w:t>
            </w:r>
            <w:r>
              <w:t>, through the Rolling AQ</w:t>
            </w:r>
            <w:r>
              <w:t xml:space="preserve">, </w:t>
            </w:r>
            <w:r>
              <w:t xml:space="preserve">AQ Correction process/tool </w:t>
            </w:r>
            <w:r>
              <w:t>or the Seasonal Normal Review</w:t>
            </w:r>
            <w:r>
              <w:t xml:space="preserve"> process</w:t>
            </w:r>
            <w:r>
              <w:t>,</w:t>
            </w:r>
            <w:r>
              <w:t xml:space="preserve"> </w:t>
            </w:r>
            <w:r>
              <w:t>a check will be made if the revised AQ of the site is equal to or greater than 293,000 kWh.  If so</w:t>
            </w:r>
            <w:r>
              <w:t>,</w:t>
            </w:r>
            <w:r>
              <w:t xml:space="preserve"> and the Supply Meter Point is a Product Class 4 and has a non-monthly Meter Read Frequency, the CDSP will update the Meter Read Frequency value to monthly </w:t>
            </w:r>
            <w:r>
              <w:t xml:space="preserve">as soon as possible following the </w:t>
            </w:r>
            <w:r>
              <w:t>Effective Date of the revised AQ</w:t>
            </w:r>
            <w:r>
              <w:t>.</w:t>
            </w:r>
          </w:p>
          <w:p>
            <w:pPr/>
          </w:p>
          <w:p>
            <w:pPr>
              <w:rPr>
                <w:b w:val="1"/>
                <w:bCs w:val="1"/>
              </w:rPr>
            </w:pPr>
            <w:r>
              <w:rPr>
                <w:b w:val="1"/>
                <w:bCs w:val="1"/>
              </w:rPr>
              <w:t>RGMA Transactions</w:t>
            </w:r>
          </w:p>
          <w:p>
            <w:pPr/>
            <w:r>
              <w:t>Where an RGMA transaction is successfully processed in the Supply Point Register for the installation</w:t>
            </w:r>
            <w:r>
              <w:t xml:space="preserve"> of an</w:t>
            </w:r>
            <w:r>
              <w:t xml:space="preserve"> AMR Device, </w:t>
            </w:r>
            <w:r>
              <w:t xml:space="preserve">and </w:t>
            </w:r>
            <w:r>
              <w:t xml:space="preserve">the Supply Meter Point is within Product Class 4 and has a non-compliant Meter Read Frequency then the CDSP will update the Meter Read Frequency value to monthly </w:t>
            </w:r>
            <w:r>
              <w:t>immediately</w:t>
            </w:r>
            <w:r>
              <w:t xml:space="preserve"> (i.e. the day the RGMA transaction was processed, </w:t>
            </w:r>
            <w:r>
              <w:rPr>
                <w:u w:val="single"/>
              </w:rPr>
              <w:t>not</w:t>
            </w:r>
            <w:r>
              <w:t xml:space="preserve"> the Device Update Effective Date</w:t>
            </w:r>
            <w:r>
              <w:t>,</w:t>
            </w:r>
            <w:r>
              <w:t xml:space="preserve"> as this can be an historical date).</w:t>
            </w:r>
          </w:p>
          <w:p>
            <w:pPr>
              <w:ind w:left="360"/>
            </w:pPr>
          </w:p>
          <w:p>
            <w:pPr>
              <w:rPr>
                <w:b w:val="1"/>
                <w:bCs w:val="1"/>
              </w:rPr>
            </w:pPr>
            <w:r>
              <w:rPr>
                <w:b w:val="1"/>
                <w:bCs w:val="1"/>
              </w:rPr>
              <w:t xml:space="preserve">DCC </w:t>
            </w:r>
            <w:r>
              <w:rPr>
                <w:b w:val="1"/>
                <w:bCs w:val="1"/>
              </w:rPr>
              <w:t xml:space="preserve">Service </w:t>
            </w:r>
            <w:r>
              <w:rPr>
                <w:b w:val="1"/>
                <w:bCs w:val="1"/>
              </w:rPr>
              <w:t>Flag</w:t>
            </w:r>
          </w:p>
          <w:p>
            <w:pPr/>
            <w:r>
              <w:t xml:space="preserve">Where the DCC </w:t>
            </w:r>
            <w:r>
              <w:t xml:space="preserve">Service </w:t>
            </w:r>
            <w:r>
              <w:t>Flag is successfully set or updated to ‘</w:t>
            </w:r>
            <w:r>
              <w:t>A’ - A</w:t>
            </w:r>
            <w:r>
              <w:t>ctive via the .DXI (DCC Status Update) file</w:t>
            </w:r>
            <w:r>
              <w:t xml:space="preserve">, received from the DCC, </w:t>
            </w:r>
            <w:r>
              <w:t xml:space="preserve">in the Supply Point Register on any Product Class 4 Supply Meter Point </w:t>
            </w:r>
            <w:r>
              <w:t>that</w:t>
            </w:r>
            <w:r>
              <w:t xml:space="preserve"> has a non-compliant Meter Read Frequency then the CDSP </w:t>
            </w:r>
            <w:r>
              <w:t>will</w:t>
            </w:r>
            <w:r>
              <w:t xml:space="preserve"> update the Meter Read Frequency value to monthly </w:t>
            </w:r>
            <w:r>
              <w:t xml:space="preserve">as soon as possible </w:t>
            </w:r>
            <w:r>
              <w:t>following the processing of the successful DXI update</w:t>
            </w:r>
            <w:r>
              <w:t>.</w:t>
            </w:r>
            <w:r>
              <w:t xml:space="preserve"> </w:t>
            </w:r>
          </w:p>
          <w:p>
            <w:pPr/>
            <w:r>
              <w:t xml:space="preserve">For the avoidance of doubt, the DCC identifies which Service Flag is applicable to each Supply Meter Point. The CDSP does not apply any validation logic (except to validate that the allowable value </w:t>
            </w:r>
            <w:r>
              <w:t>in line with the file format</w:t>
            </w:r>
            <w:r>
              <w:t>) to the Service Flag</w:t>
            </w:r>
            <w:r>
              <w:t>.</w:t>
            </w:r>
            <w:r>
              <w:t xml:space="preserve"> </w:t>
            </w:r>
          </w:p>
          <w:p>
            <w:pPr/>
          </w:p>
          <w:p>
            <w:pPr>
              <w:rPr>
                <w:b w:val="1"/>
                <w:bCs w:val="1"/>
              </w:rPr>
            </w:pPr>
            <w:r>
              <w:rPr>
                <w:b w:val="1"/>
                <w:bCs w:val="1"/>
              </w:rPr>
              <w:t>Unsolicited SCR</w:t>
            </w:r>
            <w:r>
              <w:rPr>
                <w:b w:val="1"/>
                <w:bCs w:val="1"/>
              </w:rPr>
              <w:t xml:space="preserve"> </w:t>
            </w:r>
            <w:r>
              <w:rPr>
                <w:b w:val="1"/>
                <w:bCs w:val="1"/>
              </w:rPr>
              <w:t>(</w:t>
            </w:r>
            <w:r>
              <w:rPr>
                <w:b w:val="1"/>
                <w:bCs w:val="1"/>
              </w:rPr>
              <w:t>Supply Meter Point Amendments Response</w:t>
            </w:r>
            <w:r>
              <w:rPr>
                <w:b w:val="1"/>
                <w:bCs w:val="1"/>
              </w:rPr>
              <w:t>)</w:t>
            </w:r>
            <w:r>
              <w:rPr>
                <w:b w:val="1"/>
                <w:bCs w:val="1"/>
              </w:rPr>
              <w:t xml:space="preserve"> </w:t>
            </w:r>
            <w:r>
              <w:rPr>
                <w:b w:val="1"/>
                <w:bCs w:val="1"/>
              </w:rPr>
              <w:t>File</w:t>
            </w:r>
            <w:r>
              <w:rPr>
                <w:b w:val="1"/>
                <w:bCs w:val="1"/>
              </w:rPr>
              <w:t xml:space="preserve"> / unsolicited record within the SCR file</w:t>
            </w:r>
          </w:p>
          <w:p>
            <w:pPr/>
            <w:r>
              <w:t xml:space="preserve">An </w:t>
            </w:r>
            <w:r>
              <w:t xml:space="preserve">unsolicited .SCR file or where </w:t>
            </w:r>
            <w:r>
              <w:t>a file is already being issued for BAU processes</w:t>
            </w:r>
            <w:r>
              <w:t>,</w:t>
            </w:r>
            <w:r>
              <w:t xml:space="preserve"> an unsolicited record within the </w:t>
            </w:r>
            <w:r>
              <w:t xml:space="preserve">.SCR file </w:t>
            </w:r>
            <w:r>
              <w:t>will be issued to the Registered Shipper</w:t>
            </w:r>
            <w:r>
              <w:t xml:space="preserve"> informing them of a CDSP amendment to the Meter Read Frequency</w:t>
            </w:r>
            <w:r>
              <w:t xml:space="preserve">. </w:t>
            </w:r>
          </w:p>
          <w:p>
            <w:pPr>
              <w:rPr>
                <w:rFonts w:cs="Arial"/>
              </w:rPr>
            </w:pPr>
            <w:r>
              <w:t xml:space="preserve">Where </w:t>
            </w:r>
            <w:r>
              <w:t xml:space="preserve">an unsolicited </w:t>
            </w:r>
            <w:r>
              <w:t>.SCR file</w:t>
            </w:r>
            <w:r>
              <w:t xml:space="preserve"> is issued</w:t>
            </w:r>
            <w:r>
              <w:t>,</w:t>
            </w:r>
            <w:r>
              <w:t xml:space="preserve"> it</w:t>
            </w:r>
            <w:r>
              <w:t xml:space="preserve"> </w:t>
            </w:r>
            <w:r>
              <w:t xml:space="preserve">will conform to the standard population for BAU </w:t>
            </w:r>
            <w:r>
              <w:t>.</w:t>
            </w:r>
            <w:r>
              <w:t xml:space="preserve">SCR file </w:t>
            </w:r>
            <w:r>
              <w:rPr>
                <w:rFonts w:cs="Arial"/>
              </w:rPr>
              <w:t xml:space="preserve">containing the S03 segment (file will also include standard A00 and Z99 segments). The mandatory data item [OUTCOME_CODE] will be defaulted to ‘AC’ value and the </w:t>
            </w:r>
            <w:r>
              <w:rPr>
                <w:rFonts w:cs="Arial"/>
              </w:rPr>
              <w:t>o</w:t>
            </w:r>
            <w:r>
              <w:rPr>
                <w:rFonts w:cs="Arial"/>
              </w:rPr>
              <w:t xml:space="preserve">ptional [NOMINATION_SHIPPER_REFERENCE] will be BLANK as no inbound </w:t>
            </w:r>
            <w:r>
              <w:rPr>
                <w:rFonts w:cs="Arial"/>
              </w:rPr>
              <w:t>file will</w:t>
            </w:r>
            <w:r>
              <w:rPr>
                <w:rFonts w:cs="Arial"/>
              </w:rPr>
              <w:t xml:space="preserve"> have</w:t>
            </w:r>
            <w:r>
              <w:rPr>
                <w:rFonts w:cs="Arial"/>
              </w:rPr>
              <w:t xml:space="preserve"> be</w:t>
            </w:r>
            <w:r>
              <w:rPr>
                <w:rFonts w:cs="Arial"/>
              </w:rPr>
              <w:t>en</w:t>
            </w:r>
            <w:r>
              <w:rPr>
                <w:rFonts w:cs="Arial"/>
              </w:rPr>
              <w:t xml:space="preserve"> provided to draw the data from</w:t>
            </w:r>
            <w:r>
              <w:rPr>
                <w:rFonts w:cs="Arial"/>
              </w:rPr>
              <w:t>. A</w:t>
            </w:r>
            <w:r>
              <w:rPr>
                <w:rFonts w:cs="Arial"/>
              </w:rPr>
              <w:t>ll other data items shall be populated where available.</w:t>
            </w:r>
            <w:r>
              <w:rPr>
                <w:rFonts w:cs="Arial"/>
              </w:rPr>
              <w:t xml:space="preserve"> </w:t>
            </w:r>
          </w:p>
          <w:p>
            <w:pPr>
              <w:rPr>
                <w:rFonts w:cs="Arial"/>
              </w:rPr>
            </w:pPr>
          </w:p>
          <w:p>
            <w:pPr>
              <w:rPr>
                <w:b w:val="1"/>
                <w:bCs w:val="1"/>
              </w:rPr>
            </w:pPr>
            <w:r>
              <w:rPr>
                <w:b w:val="1"/>
                <w:bCs w:val="1"/>
              </w:rPr>
              <w:t>Shipper Transfer Scenario</w:t>
            </w:r>
          </w:p>
          <w:p>
            <w:pPr>
              <w:rPr>
                <w:b w:val="1"/>
                <w:bCs w:val="1"/>
              </w:rPr>
            </w:pPr>
            <w:r>
              <w:t xml:space="preserve">Please be aware that if a Shipper Transfer/Re-Confirmation is due to go live on D (D being the Confirmation Effective Date) and the CDSP is to update the Supply Meter Point’s Meter Read Frequency to Monthly at either D-2, D-1 or D, the .TRF (Transfer of Ownership) file issued at D-2 to the Incoming Shipper will not contain </w:t>
            </w:r>
            <w:r>
              <w:t>the</w:t>
            </w:r>
            <w:r>
              <w:t xml:space="preserve"> revised Meter Read Frequency value and therefor</w:t>
            </w:r>
            <w:r>
              <w:t>e</w:t>
            </w:r>
            <w:r>
              <w:t xml:space="preserve"> the value live on the Supply Meter Point</w:t>
            </w:r>
            <w:r>
              <w:t xml:space="preserve"> will</w:t>
            </w:r>
            <w:r>
              <w:t xml:space="preserve"> not</w:t>
            </w:r>
            <w:r>
              <w:t xml:space="preserve"> be</w:t>
            </w:r>
            <w:r>
              <w:t xml:space="preserve"> as expected. However, as part of the Confirmation Process the CDSP will notify the Incoming Shipper of the revised Meter Read Frequency value that has been updated by the CDSP on D. This is again done via either an unsolicited S03 record within your standard .SCR (Supply Meter Point Amendments Response) file, or in an unsolicited .SCR file if no .SPC (Supply Meter Point Amendment Request) files have been sent by the Incoming Shipper on the processing day.</w:t>
            </w:r>
            <w:r>
              <w:rPr>
                <w:b w:val="1"/>
                <w:bCs w:val="1"/>
              </w:rPr>
              <w:t xml:space="preserve"> </w:t>
            </w:r>
          </w:p>
          <w:p>
            <w:pPr/>
          </w:p>
          <w:p>
            <w:pPr>
              <w:rPr>
                <w:b w:val="1"/>
                <w:bCs w:val="1"/>
                <w:rFonts w:cs="Arial"/>
              </w:rPr>
            </w:pPr>
            <w:r>
              <w:rPr>
                <w:b w:val="1"/>
                <w:bCs w:val="1"/>
                <w:rFonts w:cs="Arial"/>
              </w:rPr>
              <w:t>Must Read Process</w:t>
            </w:r>
          </w:p>
          <w:p>
            <w:pPr/>
            <w:r>
              <w:t xml:space="preserve">For the avoidance of doubt, any Product Class 4 Supply Meter Points that have their Meter Read Frequency updated to monthly by the CDSP and have not had a Valid Read </w:t>
            </w:r>
            <w:r>
              <w:t>accepted</w:t>
            </w:r>
            <w:r>
              <w:t xml:space="preserve"> </w:t>
            </w:r>
            <w:r>
              <w:t xml:space="preserve">with a Read Date within the preceding 4 months </w:t>
            </w:r>
            <w:r>
              <w:t xml:space="preserve">falls into </w:t>
            </w:r>
            <w:r>
              <w:t xml:space="preserve">the </w:t>
            </w:r>
            <w:r>
              <w:t>Must Read</w:t>
            </w:r>
            <w:r>
              <w:t xml:space="preserve"> process. </w:t>
            </w:r>
            <w:r>
              <w:t>However, f</w:t>
            </w:r>
            <w:r>
              <w:t xml:space="preserve">ollowing the implementation of XRN5036 - Updates to must read process </w:t>
            </w:r>
            <w:r>
              <w:t>(</w:t>
            </w:r>
            <w:r>
              <w:t>details of</w:t>
            </w:r>
            <w:r>
              <w:t xml:space="preserve"> </w:t>
            </w:r>
            <w:r>
              <w:t>the change</w:t>
            </w:r>
            <w:r>
              <w:t xml:space="preserve"> </w:t>
            </w:r>
            <w:r>
              <w:t>can be found</w:t>
            </w:r>
            <w:r>
              <w:t xml:space="preserve"> </w:t>
            </w:r>
            <w:hyperlink r:id="Rc14ce8e0a67041d7">
              <w:r>
                <w:rPr>
                  <w:rStyle w:val="Hyperlink"/>
                </w:rPr>
                <w:t>here</w:t>
              </w:r>
            </w:hyperlink>
            <w:r>
              <w:t>),</w:t>
            </w:r>
            <w:r>
              <w:t xml:space="preserve"> Must Read Contacts, in CMS, are not generated for DN’s where the site meets one of the following criteria</w:t>
            </w:r>
          </w:p>
          <w:p>
            <w:pPr>
              <w:numPr>
                <w:ilvl w:val="0"/>
                <w:numId w:val="6"/>
              </w:numPr>
              <w:pStyle w:val="List Paragraph"/>
            </w:pPr>
            <w:r>
              <w:t>A mechanism code of NS, S1 or S2</w:t>
            </w:r>
          </w:p>
          <w:p>
            <w:pPr>
              <w:numPr>
                <w:ilvl w:val="0"/>
                <w:numId w:val="6"/>
              </w:numPr>
              <w:pStyle w:val="List Paragraph"/>
            </w:pPr>
            <w:r>
              <w:t>An AMR device indicator</w:t>
            </w:r>
          </w:p>
          <w:p>
            <w:pPr>
              <w:numPr>
                <w:ilvl w:val="0"/>
                <w:numId w:val="6"/>
              </w:numPr>
              <w:pStyle w:val="List Paragraph"/>
            </w:pPr>
            <w:r>
              <w:t xml:space="preserve">An DCC Service Flag of ‘active’ </w:t>
            </w:r>
          </w:p>
          <w:p>
            <w:pPr/>
            <w:r>
              <w:t>Pre notes</w:t>
            </w:r>
            <w:r>
              <w:t xml:space="preserve"> remain unchanged and are still issued to Shippers when the </w:t>
            </w:r>
            <w:r>
              <w:t>P</w:t>
            </w:r>
            <w:r>
              <w:t xml:space="preserve">roduct Class 4 Supply Meter Points meets the </w:t>
            </w:r>
            <w:r>
              <w:t xml:space="preserve">Must Read </w:t>
            </w:r>
            <w:r>
              <w:t xml:space="preserve">criteria.  </w:t>
            </w:r>
          </w:p>
          <w:p>
            <w:pPr/>
            <w:r>
              <w:t xml:space="preserve">IGT’s were not included in the change (XRN5036) and therefore </w:t>
            </w:r>
            <w:r>
              <w:t>Must Read</w:t>
            </w:r>
            <w:r>
              <w:t xml:space="preserve"> Contacts, in CMS, will be generated for all sites where there has not been a Valid Read submitted within the preceding 4 months</w:t>
            </w:r>
            <w:r>
              <w:t xml:space="preserve"> on </w:t>
            </w:r>
            <w:r>
              <w:t>Supply Meter Points with a monthly MRF</w:t>
            </w:r>
            <w:r>
              <w:t>.</w:t>
            </w:r>
          </w:p>
          <w:p>
            <w:pPr>
              <w:rPr>
                <w:rFonts w:cs="Arial"/>
              </w:rPr>
            </w:pPr>
          </w:p>
          <w:p>
            <w:pPr>
              <w:rPr>
                <w:color w:val="3E5AA8"/>
                <w:u w:val="single"/>
              </w:rPr>
            </w:pPr>
          </w:p>
          <w:p>
            <w:pPr>
              <w:rPr>
                <w:b w:val="1"/>
                <w:bCs w:val="1"/>
                <w:color w:val="3E5AA8"/>
                <w:u w:val="single"/>
              </w:rPr>
            </w:pPr>
            <w:r>
              <w:rPr>
                <w:b w:val="1"/>
                <w:bCs w:val="1"/>
                <w:u w:val="single"/>
              </w:rPr>
              <w:t>UPDATE OF EXISTING NON-COMPLIANT SUPPLY METER POINTS</w:t>
            </w:r>
          </w:p>
          <w:p>
            <w:pPr/>
            <w:r>
              <w:t xml:space="preserve">As the code changes needed for the enduring solution to allow the CDSP to enforce the </w:t>
            </w:r>
            <w:r>
              <w:t xml:space="preserve">Modification rules will be </w:t>
            </w:r>
            <w:r>
              <w:t>applicable</w:t>
            </w:r>
            <w:r>
              <w:t xml:space="preserve"> only post implementation, there will be existing Product Class 4 Supply Meter Points where the Meter Read Frequency will remain non-compliant</w:t>
            </w:r>
            <w:r>
              <w:t xml:space="preserve">. </w:t>
            </w:r>
            <w:r>
              <w:t>A</w:t>
            </w:r>
            <w:r>
              <w:t xml:space="preserve"> cut-over activity will be carried out to identify all current Product Class 4 Supply Meter Points that are non-compliant (at the point of deployment) and update the Meter Read Frequency to monthly. </w:t>
            </w:r>
          </w:p>
          <w:p>
            <w:pPr/>
          </w:p>
          <w:p>
            <w:pPr/>
            <w:r>
              <w:t xml:space="preserve">The Product Class 4 Supply Meter Points to be considered for an amendment to the Meter Read Frequency will be ones that </w:t>
            </w:r>
            <w:r>
              <w:t>meet</w:t>
            </w:r>
            <w:r>
              <w:t xml:space="preserve"> any of the following criteria and has a non-monthly Meter Read Frequency:</w:t>
            </w:r>
          </w:p>
          <w:p>
            <w:pPr>
              <w:numPr>
                <w:ilvl w:val="0"/>
                <w:numId w:val="7"/>
              </w:numPr>
              <w:pStyle w:val="List Paragraph"/>
            </w:pPr>
            <w:r>
              <w:t>Where a Supply Meter Point’s Annual Quantity value is 293,000 kWh or above</w:t>
            </w:r>
          </w:p>
          <w:p>
            <w:pPr>
              <w:numPr>
                <w:ilvl w:val="0"/>
                <w:numId w:val="7"/>
              </w:numPr>
              <w:pStyle w:val="List Paragraph"/>
            </w:pPr>
            <w:r>
              <w:t xml:space="preserve">Where a Supply Meter Point has an </w:t>
            </w:r>
            <w:r>
              <w:t>AMR</w:t>
            </w:r>
            <w:r>
              <w:t xml:space="preserve"> </w:t>
            </w:r>
            <w:r>
              <w:t>device</w:t>
            </w:r>
            <w:r>
              <w:t xml:space="preserve"> installed</w:t>
            </w:r>
          </w:p>
          <w:p>
            <w:pPr>
              <w:numPr>
                <w:ilvl w:val="0"/>
                <w:numId w:val="7"/>
              </w:numPr>
              <w:pStyle w:val="List Paragraph"/>
            </w:pPr>
            <w:r>
              <w:t>Where a Supply Meter Point has an Operational Smart Meter</w:t>
            </w:r>
            <w:r>
              <w:t xml:space="preserve"> </w:t>
            </w:r>
            <w:r>
              <w:t>installed (the DCC Service Flag is ‘A’ – Active)</w:t>
            </w:r>
          </w:p>
          <w:p>
            <w:pPr/>
          </w:p>
          <w:p>
            <w:pPr>
              <w:rPr>
                <w:b w:val="1"/>
                <w:bCs w:val="1"/>
              </w:rPr>
            </w:pPr>
            <w:r>
              <w:t xml:space="preserve">Where the CDSP has made an amendment to the Meter Read Frequency for the above Product Class 4 Supply Meter Points, as with the enduring solution, </w:t>
            </w:r>
            <w:r>
              <w:t xml:space="preserve">the CDSP will notify the Incoming Shipper of the revised Meter Read Frequency via either </w:t>
            </w:r>
            <w:r>
              <w:t xml:space="preserve">an unsolicited </w:t>
            </w:r>
            <w:r>
              <w:t xml:space="preserve">S03 </w:t>
            </w:r>
            <w:r>
              <w:t xml:space="preserve">record within </w:t>
            </w:r>
            <w:r>
              <w:t>your standard</w:t>
            </w:r>
            <w:r>
              <w:t xml:space="preserve"> </w:t>
            </w:r>
            <w:r>
              <w:t>.SCR (Supply Meter Point Amendments Response) file</w:t>
            </w:r>
            <w:r>
              <w:t>, or in</w:t>
            </w:r>
            <w:r>
              <w:t xml:space="preserve"> an unsolic</w:t>
            </w:r>
            <w:r>
              <w:t>ited</w:t>
            </w:r>
            <w:r>
              <w:t xml:space="preserve"> .SCR file</w:t>
            </w:r>
            <w:r>
              <w:t xml:space="preserve"> </w:t>
            </w:r>
            <w:r>
              <w:t>if no .SPC (Supply Meter Point Amendment Request) files have been sent by the Incoming Shipper on the processing day.</w:t>
            </w:r>
            <w:r>
              <w:rPr>
                <w:b w:val="1"/>
                <w:bCs w:val="1"/>
              </w:rPr>
              <w:t xml:space="preserve"> </w:t>
            </w:r>
          </w:p>
          <w:p>
            <w:pPr/>
          </w:p>
          <w:p>
            <w:pPr/>
            <w:r>
              <w:t xml:space="preserve">For the avoidance of doubt, any Product Class 4 Supply Meter Points that have their Meter Read Frequency updated to monthly by the CDSP </w:t>
            </w:r>
            <w:r>
              <w:t xml:space="preserve">as part of this </w:t>
            </w:r>
            <w:r>
              <w:t>activity and</w:t>
            </w:r>
            <w:r>
              <w:t xml:space="preserve"> have not had a Valid Read </w:t>
            </w:r>
            <w:r>
              <w:t>accepted</w:t>
            </w:r>
            <w:r>
              <w:t xml:space="preserve"> </w:t>
            </w:r>
            <w:r>
              <w:t xml:space="preserve">with a Read Date within the preceding 4 months will immediately </w:t>
            </w:r>
            <w:r>
              <w:t>fail into the</w:t>
            </w:r>
            <w:r>
              <w:t xml:space="preserve"> </w:t>
            </w:r>
            <w:r>
              <w:t>Must Read</w:t>
            </w:r>
            <w:r>
              <w:t xml:space="preserve"> process</w:t>
            </w:r>
            <w:r>
              <w:t xml:space="preserve"> as </w:t>
            </w:r>
            <w:r>
              <w:t>outlined above.</w:t>
            </w:r>
            <w:r>
              <w:t xml:space="preserve"> </w:t>
            </w:r>
          </w:p>
          <w:p>
            <w:pPr/>
          </w:p>
          <w:p>
            <w:pPr>
              <w:rPr>
                <w:b w:val="1"/>
                <w:bCs w:val="1"/>
              </w:rPr>
            </w:pPr>
            <w:r>
              <w:rPr>
                <w:b w:val="1"/>
                <w:bCs w:val="1"/>
              </w:rPr>
              <w:t>Shipper Transfer Scenario</w:t>
            </w:r>
          </w:p>
          <w:p>
            <w:pPr/>
            <w:r>
              <w:t xml:space="preserve">If </w:t>
            </w:r>
            <w:r>
              <w:t>a Shipper Transfer/Re-Confirmation</w:t>
            </w:r>
            <w:r>
              <w:t xml:space="preserve"> </w:t>
            </w:r>
            <w:r>
              <w:t xml:space="preserve">has </w:t>
            </w:r>
            <w:r>
              <w:t xml:space="preserve">been accepted </w:t>
            </w:r>
            <w:r>
              <w:t xml:space="preserve">with a confirmation effective date after this </w:t>
            </w:r>
            <w:r>
              <w:t xml:space="preserve">cut-over activity </w:t>
            </w:r>
            <w:r>
              <w:t>has taken place</w:t>
            </w:r>
            <w:r>
              <w:t xml:space="preserve"> </w:t>
            </w:r>
            <w:r>
              <w:t>and has a n</w:t>
            </w:r>
            <w:r>
              <w:t>on-monthly Meter Read Frequency</w:t>
            </w:r>
            <w:r>
              <w:t xml:space="preserve"> </w:t>
            </w:r>
            <w:r>
              <w:t xml:space="preserve">the CDSP will </w:t>
            </w:r>
            <w:r>
              <w:t xml:space="preserve">not amend the Meter Read Frequency until the </w:t>
            </w:r>
            <w:r>
              <w:t>Transfer/Re-confirmation has</w:t>
            </w:r>
            <w:r>
              <w:t xml:space="preserve"> gone live</w:t>
            </w:r>
            <w:r>
              <w:t>,</w:t>
            </w:r>
            <w:r>
              <w:t xml:space="preserve"> as s</w:t>
            </w:r>
            <w:r>
              <w:t xml:space="preserve">et out </w:t>
            </w:r>
            <w:r>
              <w:t xml:space="preserve">in the enduring process. </w:t>
            </w:r>
          </w:p>
          <w:p>
            <w:pPr/>
          </w:p>
          <w:p>
            <w:pPr/>
          </w:p>
          <w:p>
            <w:pPr>
              <w:rPr>
                <w:b w:val="1"/>
                <w:bCs w:val="1"/>
                <w:u w:val="single"/>
              </w:rPr>
            </w:pPr>
            <w:r>
              <w:rPr>
                <w:b w:val="1"/>
                <w:bCs w:val="1"/>
                <w:u w:val="single"/>
              </w:rPr>
              <w:t>NEW VALIDATIONS FOR SUPPLY POINT ADMINISTRATION</w:t>
            </w:r>
          </w:p>
          <w:p>
            <w:pPr>
              <w:rPr>
                <w:color w:val="3E5AA8"/>
              </w:rPr>
            </w:pPr>
          </w:p>
          <w:p>
            <w:pPr>
              <w:rPr>
                <w:b w:val="1"/>
                <w:bCs w:val="1"/>
              </w:rPr>
            </w:pPr>
            <w:r>
              <w:rPr>
                <w:b w:val="1"/>
                <w:bCs w:val="1"/>
              </w:rPr>
              <w:t>Existing Process:</w:t>
            </w:r>
          </w:p>
          <w:p>
            <w:pPr/>
            <w:r>
              <w:t xml:space="preserve">Currently, if a Shipper (via SPA transactions SPC, NOM &amp; CNF) attempts to update the Meter Read Frequency on Product Class 4 Supply Meter Points to non-monthly and the Annual Quantity is equal to or greater than 293,000 kWh, then the transaction will be rejected back to the submitting Shipper with rejection code of MRF00013 </w:t>
            </w:r>
            <w:r>
              <w:rPr>
                <w:i w:val="1"/>
                <w:iCs w:val="1"/>
              </w:rPr>
              <w:t>(Requested Meter Reading Frequency is below minimum acceptable for the AQ of the Supply Point)</w:t>
            </w:r>
            <w:r>
              <w:t xml:space="preserve"> as it’s Meter Read Frequency is required to be monthly.  This validation aligns to part of the rules being introduced as part of Modification 0692S however does not cover them all.</w:t>
            </w:r>
          </w:p>
          <w:p>
            <w:pPr/>
          </w:p>
          <w:p>
            <w:pPr>
              <w:rPr>
                <w:b w:val="1"/>
                <w:bCs w:val="1"/>
              </w:rPr>
            </w:pPr>
            <w:r>
              <w:rPr>
                <w:b w:val="1"/>
                <w:bCs w:val="1"/>
              </w:rPr>
              <w:t>Amended Process:</w:t>
            </w:r>
          </w:p>
          <w:p>
            <w:pPr/>
            <w:r>
              <w:t>As discussed, and recommended in DSG on the 4</w:t>
            </w:r>
            <w:r>
              <w:rPr>
                <w:vertAlign w:val="superscript"/>
              </w:rPr>
              <w:t>th</w:t>
            </w:r>
            <w:r>
              <w:t xml:space="preserve"> November 2019</w:t>
            </w:r>
            <w:r>
              <w:t xml:space="preserve"> (meeting papers can be found </w:t>
            </w:r>
            <w:hyperlink r:id="R3201521275a44152">
              <w:r>
                <w:rPr>
                  <w:rStyle w:val="Hyperlink"/>
                </w:rPr>
                <w:t>here</w:t>
              </w:r>
            </w:hyperlink>
            <w:r>
              <w:t>)</w:t>
            </w:r>
            <w:r>
              <w:t>, new validations are to be introduced as part of this change to</w:t>
            </w:r>
            <w:r>
              <w:t xml:space="preserve"> the following</w:t>
            </w:r>
            <w:r>
              <w:t xml:space="preserve"> Supply Point Administration processes</w:t>
            </w:r>
            <w:r>
              <w:t>:</w:t>
            </w:r>
            <w:r>
              <w:t xml:space="preserve"> SPC</w:t>
            </w:r>
            <w:r>
              <w:t xml:space="preserve"> (Supply Meter Point Amendment)</w:t>
            </w:r>
            <w:r>
              <w:t>, NOM</w:t>
            </w:r>
            <w:r>
              <w:t xml:space="preserve"> (Nomination Request) </w:t>
            </w:r>
            <w:r>
              <w:t>&amp; CNF</w:t>
            </w:r>
            <w:r>
              <w:t xml:space="preserve"> (Confirmation Request)</w:t>
            </w:r>
            <w:r>
              <w:t>. These changes will</w:t>
            </w:r>
            <w:r>
              <w:t xml:space="preserve"> </w:t>
            </w:r>
            <w:r>
              <w:t xml:space="preserve">check if the requested Meter Read Frequency is compliant with all the rules set out </w:t>
            </w:r>
            <w:r>
              <w:t>as part of the Modification</w:t>
            </w:r>
            <w:r>
              <w:t xml:space="preserve"> and if not, reject this back to the submitting Shipper</w:t>
            </w:r>
            <w:r>
              <w:t xml:space="preserve">. </w:t>
            </w:r>
            <w:r>
              <w:t>Please note that t</w:t>
            </w:r>
            <w:r>
              <w:t>hese</w:t>
            </w:r>
            <w:r>
              <w:t xml:space="preserve"> additional </w:t>
            </w:r>
            <w:r>
              <w:t>validations</w:t>
            </w:r>
            <w:r>
              <w:t xml:space="preserve"> will subsidise the existing validation in relation to AQ values outlined above</w:t>
            </w:r>
            <w:r>
              <w:t xml:space="preserve"> (</w:t>
            </w:r>
            <w:r>
              <w:t>Existing Process</w:t>
            </w:r>
            <w:r>
              <w:t>)</w:t>
            </w:r>
            <w:r>
              <w:t>.</w:t>
            </w:r>
          </w:p>
          <w:p>
            <w:pPr/>
          </w:p>
          <w:p>
            <w:pPr/>
            <w:r>
              <w:t>As a result, if the Shipper attempts to update the Meter Read Frequency to non-monthly for a Product Class 4 Supply Meter Points where there is either an Operational S</w:t>
            </w:r>
            <w:r>
              <w:t>mart</w:t>
            </w:r>
            <w:r>
              <w:t xml:space="preserve"> Meter</w:t>
            </w:r>
            <w:r>
              <w:t xml:space="preserve"> present</w:t>
            </w:r>
            <w:r>
              <w:t xml:space="preserve"> or an AMR device </w:t>
            </w:r>
            <w:r>
              <w:t>present</w:t>
            </w:r>
            <w:r>
              <w:t>,</w:t>
            </w:r>
            <w:r>
              <w:t xml:space="preserve"> the non-compliant transaction will be rejected back to the submitting Shipper</w:t>
            </w:r>
            <w:r>
              <w:t xml:space="preserve"> </w:t>
            </w:r>
            <w:r>
              <w:t>utilising the existing rejection code</w:t>
            </w:r>
            <w:r>
              <w:t xml:space="preserve"> of</w:t>
            </w:r>
            <w:r>
              <w:t xml:space="preserve"> MRF00012 (Meter Reading Frequency is not acceptable for the Meter Point).</w:t>
            </w:r>
          </w:p>
          <w:p>
            <w:pPr/>
          </w:p>
          <w:p>
            <w:pPr/>
            <w:r>
              <w:t>For completeness, the following highlights the approach taken for all effected SPA transactions.</w:t>
            </w:r>
          </w:p>
          <w:p>
            <w:pPr/>
          </w:p>
          <w:p>
            <w:pPr>
              <w:ind w:left="720"/>
            </w:pPr>
            <w:r>
              <w:rPr>
                <w:b w:val="1"/>
                <w:bCs w:val="1"/>
                <w:u w:val="single"/>
              </w:rPr>
              <w:t>SPC:</w:t>
            </w:r>
            <w:r>
              <w:t xml:space="preserve"> Any inbound .SPC files will be subject to validation checks to ensure that the requested Meter Read Frequency contained within either the S34 (M</w:t>
            </w:r>
            <w:r>
              <w:t xml:space="preserve">eter </w:t>
            </w:r>
            <w:r>
              <w:t>R</w:t>
            </w:r>
            <w:r>
              <w:t xml:space="preserve">ead </w:t>
            </w:r>
            <w:r>
              <w:t>F</w:t>
            </w:r>
            <w:r>
              <w:t>requency</w:t>
            </w:r>
            <w:r>
              <w:t xml:space="preserve"> and Batch Frequency Change Request) or C38 (Class Change) record segments conform to the new rules, and if not,</w:t>
            </w:r>
            <w:r>
              <w:t xml:space="preserve"> the CDSP will</w:t>
            </w:r>
            <w:r>
              <w:t xml:space="preserve"> reject the record </w:t>
            </w:r>
            <w:r>
              <w:t>using</w:t>
            </w:r>
            <w:r>
              <w:t xml:space="preserve"> </w:t>
            </w:r>
            <w:r>
              <w:t>the</w:t>
            </w:r>
            <w:r>
              <w:t xml:space="preserve"> existing rejection code MRF00012 (</w:t>
            </w:r>
            <w:r>
              <w:rPr>
                <w:i w:val="1"/>
                <w:iCs w:val="1"/>
              </w:rPr>
              <w:t>Meter Reading Frequency is not acceptable for the Meter Point)</w:t>
            </w:r>
            <w:r>
              <w:t xml:space="preserve">. </w:t>
            </w:r>
          </w:p>
          <w:p>
            <w:pPr>
              <w:ind w:left="720"/>
            </w:pPr>
          </w:p>
          <w:p>
            <w:pPr>
              <w:ind w:left="720"/>
            </w:pPr>
            <w:r>
              <w:rPr>
                <w:b w:val="1"/>
                <w:bCs w:val="1"/>
                <w:u w:val="single"/>
              </w:rPr>
              <w:t>NOM:</w:t>
            </w:r>
            <w:r>
              <w:t xml:space="preserve"> Any inbound .NOM files will be subject to validation checks to ensure that the requested Meter Read Frequency contained within the S48 (SMP Nomination Request) record segment conform to the new rules, and if not, </w:t>
            </w:r>
            <w:r>
              <w:t xml:space="preserve">the CDSP will </w:t>
            </w:r>
            <w:r>
              <w:t xml:space="preserve">reject the record </w:t>
            </w:r>
            <w:r>
              <w:t>using</w:t>
            </w:r>
            <w:r>
              <w:t xml:space="preserve"> </w:t>
            </w:r>
            <w:r>
              <w:t>the</w:t>
            </w:r>
            <w:r>
              <w:t xml:space="preserve"> existing rejection code of MRF00012 (</w:t>
            </w:r>
            <w:r>
              <w:rPr>
                <w:i w:val="1"/>
                <w:iCs w:val="1"/>
              </w:rPr>
              <w:t>Meter Reading Frequency is not acceptable for the Meter Point</w:t>
            </w:r>
            <w:r>
              <w:t xml:space="preserve">). </w:t>
            </w:r>
          </w:p>
          <w:p>
            <w:pPr>
              <w:rPr>
                <w:b w:val="1"/>
                <w:bCs w:val="1"/>
                <w:u w:val="single"/>
              </w:rPr>
              <w:ind w:left="4320"/>
            </w:pPr>
          </w:p>
          <w:p>
            <w:pPr>
              <w:ind w:left="720"/>
            </w:pPr>
            <w:r>
              <w:rPr>
                <w:b w:val="1"/>
                <w:bCs w:val="1"/>
                <w:u w:val="single"/>
              </w:rPr>
              <w:t>CNF:</w:t>
            </w:r>
            <w:r>
              <w:t xml:space="preserve"> Any inbound .CNF files will be subject to validation checks to ensure that the requested Meter Read Frequency contained within</w:t>
            </w:r>
            <w:r>
              <w:t xml:space="preserve"> either</w:t>
            </w:r>
            <w:r>
              <w:t xml:space="preserve"> the S42 (SSP Confirmation) </w:t>
            </w:r>
            <w:r>
              <w:t>or</w:t>
            </w:r>
            <w:r>
              <w:t xml:space="preserve"> S38 (LSP Confirmation) record segment</w:t>
            </w:r>
            <w:r>
              <w:t>s</w:t>
            </w:r>
            <w:r>
              <w:t xml:space="preserve"> conform to the new rules, and if not, </w:t>
            </w:r>
            <w:r>
              <w:t xml:space="preserve">the CDSP will </w:t>
            </w:r>
            <w:r>
              <w:t xml:space="preserve">reject the record </w:t>
            </w:r>
            <w:r>
              <w:t>using</w:t>
            </w:r>
            <w:r>
              <w:t xml:space="preserve"> </w:t>
            </w:r>
            <w:r>
              <w:t>the</w:t>
            </w:r>
            <w:r>
              <w:t xml:space="preserve"> existing rejection code of MRF00012 (</w:t>
            </w:r>
            <w:r>
              <w:rPr>
                <w:i w:val="1"/>
                <w:iCs w:val="1"/>
              </w:rPr>
              <w:t>Meter Reading Frequency is not acceptable for the Meter Point</w:t>
            </w:r>
            <w:r>
              <w:t xml:space="preserve">). </w:t>
            </w:r>
          </w:p>
          <w:p>
            <w:pPr>
              <w:ind w:left="720"/>
            </w:pPr>
            <w:r>
              <w:t>Please note that for LSP Confirmations, the Meter Read Frequency value is provided in the Nomination Request</w:t>
            </w:r>
            <w:r>
              <w:t xml:space="preserve"> (S48</w:t>
            </w:r>
            <w:r>
              <w:t xml:space="preserve"> record)</w:t>
            </w:r>
            <w:r>
              <w:t xml:space="preserve">, so if any changes occur between </w:t>
            </w:r>
            <w:r>
              <w:t xml:space="preserve">the </w:t>
            </w:r>
            <w:r>
              <w:t>.</w:t>
            </w:r>
            <w:r>
              <w:t>NOM</w:t>
            </w:r>
            <w:r>
              <w:t xml:space="preserve"> </w:t>
            </w:r>
            <w:r>
              <w:t xml:space="preserve">being processed </w:t>
            </w:r>
            <w:r>
              <w:t xml:space="preserve">and </w:t>
            </w:r>
            <w:r>
              <w:t xml:space="preserve">the </w:t>
            </w:r>
            <w:r>
              <w:t>.</w:t>
            </w:r>
            <w:r>
              <w:t xml:space="preserve">CNF </w:t>
            </w:r>
            <w:r>
              <w:t xml:space="preserve">being </w:t>
            </w:r>
            <w:r>
              <w:t>process</w:t>
            </w:r>
            <w:r>
              <w:t>ed</w:t>
            </w:r>
            <w:r>
              <w:t xml:space="preserve">, the </w:t>
            </w:r>
            <w:r>
              <w:t>.</w:t>
            </w:r>
            <w:r>
              <w:t>CNF may be rejected if the requested Meter Read Frequency is subsequently deemed as non-compliant</w:t>
            </w:r>
            <w:r>
              <w:t xml:space="preserve"> post the progression of the .NOM</w:t>
            </w:r>
            <w:r>
              <w:t xml:space="preserve"> request</w:t>
            </w:r>
            <w:r>
              <w:t xml:space="preserve">. </w:t>
            </w:r>
          </w:p>
          <w:p>
            <w:pPr>
              <w:ind w:left="720"/>
            </w:pPr>
          </w:p>
          <w:p>
            <w:pPr/>
            <w:r>
              <w:t>For the avoidance of doubt, no</w:t>
            </w:r>
            <w:r>
              <w:t xml:space="preserve"> structural</w:t>
            </w:r>
            <w:r>
              <w:t>/functional</w:t>
            </w:r>
            <w:r>
              <w:t xml:space="preserve"> changes are being made to the inbound or outbound file formats</w:t>
            </w:r>
            <w:r>
              <w:t xml:space="preserve"> in</w:t>
            </w:r>
            <w:r>
              <w:t xml:space="preserve"> relating to the above validation amendments due to the utilisation of </w:t>
            </w:r>
            <w:r>
              <w:t xml:space="preserve">an </w:t>
            </w:r>
            <w:r>
              <w:t>existing rejection code and reason.</w:t>
            </w:r>
          </w:p>
          <w:p>
            <w:pPr/>
          </w:p>
          <w:p>
            <w:pPr>
              <w:rPr>
                <w:b w:val="1"/>
                <w:bCs w:val="1"/>
              </w:rPr>
            </w:pPr>
            <w:r>
              <w:rPr>
                <w:b w:val="1"/>
                <w:bCs w:val="1"/>
              </w:rPr>
              <w:t xml:space="preserve">Updated </w:t>
            </w:r>
            <w:r>
              <w:rPr>
                <w:b w:val="1"/>
                <w:bCs w:val="1"/>
              </w:rPr>
              <w:t xml:space="preserve">Context </w:t>
            </w:r>
            <w:r>
              <w:rPr>
                <w:b w:val="1"/>
                <w:bCs w:val="1"/>
              </w:rPr>
              <w:t xml:space="preserve">for </w:t>
            </w:r>
            <w:r>
              <w:rPr>
                <w:b w:val="1"/>
                <w:bCs w:val="1"/>
              </w:rPr>
              <w:t>record</w:t>
            </w:r>
            <w:r>
              <w:rPr>
                <w:b w:val="1"/>
                <w:bCs w:val="1"/>
              </w:rPr>
              <w:t>s</w:t>
            </w:r>
            <w:r>
              <w:rPr>
                <w:b w:val="1"/>
                <w:bCs w:val="1"/>
              </w:rPr>
              <w:t xml:space="preserve"> containing </w:t>
            </w:r>
            <w:r>
              <w:rPr>
                <w:b w:val="1"/>
                <w:bCs w:val="1"/>
              </w:rPr>
              <w:t xml:space="preserve">the </w:t>
            </w:r>
            <w:r>
              <w:rPr>
                <w:b w:val="1"/>
                <w:bCs w:val="1"/>
              </w:rPr>
              <w:t xml:space="preserve">Meter Read Frequency </w:t>
            </w:r>
            <w:r>
              <w:rPr>
                <w:b w:val="1"/>
                <w:bCs w:val="1"/>
              </w:rPr>
              <w:t>field</w:t>
            </w:r>
            <w:r>
              <w:rPr>
                <w:b w:val="1"/>
                <w:bCs w:val="1"/>
              </w:rPr>
              <w:t xml:space="preserve"> </w:t>
            </w:r>
          </w:p>
          <w:p>
            <w:pPr/>
            <w:r>
              <w:t xml:space="preserve">The </w:t>
            </w:r>
            <w:r>
              <w:t>context</w:t>
            </w:r>
            <w:r>
              <w:t>,</w:t>
            </w:r>
            <w:r>
              <w:t xml:space="preserve"> within the </w:t>
            </w:r>
            <w:r>
              <w:t>description</w:t>
            </w:r>
            <w:r>
              <w:t xml:space="preserve"> column</w:t>
            </w:r>
            <w:r>
              <w:t xml:space="preserve">s, contained within the </w:t>
            </w:r>
            <w:r>
              <w:t>C38, S34, S4</w:t>
            </w:r>
            <w:r>
              <w:t>2</w:t>
            </w:r>
            <w:r>
              <w:t xml:space="preserve"> and</w:t>
            </w:r>
            <w:r>
              <w:t xml:space="preserve"> S48 </w:t>
            </w:r>
            <w:r>
              <w:t>records</w:t>
            </w:r>
            <w:r>
              <w:t xml:space="preserve">, </w:t>
            </w:r>
            <w:r>
              <w:t>will be</w:t>
            </w:r>
            <w:r>
              <w:t>, as part of this change,</w:t>
            </w:r>
            <w:r>
              <w:t xml:space="preserve"> updated to provide additional </w:t>
            </w:r>
            <w:r>
              <w:t xml:space="preserve">guidance </w:t>
            </w:r>
            <w:r>
              <w:t xml:space="preserve">for when a Meter Read Frequency </w:t>
            </w:r>
            <w:r>
              <w:t xml:space="preserve">for Product Class 4 Supply Meter Points </w:t>
            </w:r>
            <w:r>
              <w:t>should be set as monthly</w:t>
            </w:r>
            <w:r>
              <w:t xml:space="preserve">, in line with the details </w:t>
            </w:r>
            <w:r>
              <w:t xml:space="preserve">set out </w:t>
            </w:r>
            <w:r>
              <w:t>within this change pack</w:t>
            </w:r>
            <w:r>
              <w:t xml:space="preserve">. </w:t>
            </w:r>
          </w:p>
          <w:p>
            <w:pPr/>
          </w:p>
          <w:p>
            <w:pPr/>
            <w:r>
              <w:t xml:space="preserve">The </w:t>
            </w:r>
            <w:r>
              <w:t xml:space="preserve">proposed </w:t>
            </w:r>
            <w:r>
              <w:t>amended record</w:t>
            </w:r>
            <w:r>
              <w:t xml:space="preserve"> file formats</w:t>
            </w:r>
            <w:r>
              <w:t xml:space="preserve"> have been attached for </w:t>
            </w:r>
            <w:r>
              <w:t xml:space="preserve">review </w:t>
            </w:r>
            <w:r>
              <w:t xml:space="preserve">and </w:t>
            </w:r>
            <w:r>
              <w:t>we will b</w:t>
            </w:r>
            <w:r>
              <w:t>e seeking approval of theses accordingly</w:t>
            </w:r>
            <w:r>
              <w:t>.</w:t>
            </w:r>
            <w:r>
              <w:t xml:space="preserve"> The File Formats, once approved, will be set to live in accordance with the implementation date of XRN4941.</w:t>
            </w:r>
          </w:p>
          <w:p>
            <w:pPr/>
          </w:p>
          <w:p>
            <w:pPr>
              <w:rPr>
                <w:b w:val="1"/>
                <w:bCs w:val="1"/>
              </w:rPr>
              <w:numPr>
                <w:ilvl w:val="0"/>
                <w:numId w:val="3"/>
              </w:numPr>
              <w:pStyle w:val="List Paragraph"/>
            </w:pPr>
            <w:hyperlink r:id="R07a7c1c3b1234d4d">
              <w:r>
                <w:rPr>
                  <w:rStyle w:val="Hyperlink"/>
                  <w:b w:val="1"/>
                  <w:bCs w:val="1"/>
                </w:rPr>
                <w:t>C38 CLASS CHANGE V3FA</w:t>
              </w:r>
            </w:hyperlink>
          </w:p>
          <w:p>
            <w:pPr>
              <w:rPr>
                <w:b w:val="1"/>
                <w:bCs w:val="1"/>
              </w:rPr>
              <w:numPr>
                <w:ilvl w:val="0"/>
                <w:numId w:val="3"/>
              </w:numPr>
              <w:pStyle w:val="List Paragraph"/>
            </w:pPr>
            <w:hyperlink r:id="R33121ece5c454335">
              <w:r>
                <w:rPr>
                  <w:rStyle w:val="Hyperlink"/>
                  <w:b w:val="1"/>
                  <w:bCs w:val="1"/>
                </w:rPr>
                <w:t>S34 MRF AND BATCH FREQ CHANGE</w:t>
              </w:r>
              <w:r>
                <w:rPr>
                  <w:rStyle w:val="Hyperlink"/>
                  <w:b w:val="1"/>
                  <w:bCs w:val="1"/>
                </w:rPr>
                <w:t xml:space="preserve"> REQUEST V5FA</w:t>
              </w:r>
            </w:hyperlink>
          </w:p>
          <w:p>
            <w:pPr>
              <w:rPr>
                <w:b w:val="1"/>
                <w:bCs w:val="1"/>
              </w:rPr>
              <w:numPr>
                <w:ilvl w:val="0"/>
                <w:numId w:val="3"/>
              </w:numPr>
              <w:pStyle w:val="List Paragraph"/>
            </w:pPr>
            <w:hyperlink r:id="R13726dd133c745c1">
              <w:r>
                <w:rPr>
                  <w:rStyle w:val="Hyperlink"/>
                  <w:b w:val="1"/>
                  <w:bCs w:val="1"/>
                </w:rPr>
                <w:t>S42 SSP CONFIRMATION V6FA</w:t>
              </w:r>
            </w:hyperlink>
          </w:p>
          <w:p>
            <w:pPr>
              <w:rPr>
                <w:b w:val="1"/>
                <w:bCs w:val="1"/>
              </w:rPr>
              <w:numPr>
                <w:ilvl w:val="0"/>
                <w:numId w:val="3"/>
              </w:numPr>
              <w:pStyle w:val="List Paragraph"/>
            </w:pPr>
            <w:hyperlink r:id="R46565dc091784d7a">
              <w:r>
                <w:rPr>
                  <w:rStyle w:val="Hyperlink"/>
                  <w:b w:val="1"/>
                  <w:bCs w:val="1"/>
                </w:rPr>
                <w:t>S48 SMP CONFIRMATION</w:t>
              </w:r>
              <w:r>
                <w:rPr>
                  <w:rStyle w:val="Hyperlink"/>
                  <w:b w:val="1"/>
                  <w:bCs w:val="1"/>
                </w:rPr>
                <w:t xml:space="preserve"> REQ V5FA</w:t>
              </w:r>
            </w:hyperlink>
          </w:p>
          <w:p>
            <w:pPr/>
          </w:p>
          <w:p>
            <w:pPr>
              <w:rPr>
                <w:rFonts w:cs="Arial"/>
              </w:rPr>
              <w:pStyle w:val="List Paragraph"/>
              <w:ind w:left="0"/>
              <w:spacing w:after="200"/>
            </w:pPr>
          </w:p>
          <w:p>
            <w:pPr>
              <w:rPr>
                <w:b w:val="1"/>
                <w:bCs w:val="1"/>
                <w:rFonts w:cs="Arial"/>
                <w:u w:val="single"/>
              </w:rPr>
              <w:pStyle w:val="List Paragraph"/>
              <w:ind w:left="0"/>
              <w:spacing w:after="200"/>
            </w:pPr>
            <w:r>
              <w:rPr>
                <w:b w:val="1"/>
                <w:bCs w:val="1"/>
                <w:rFonts w:cs="Arial"/>
                <w:u w:val="single"/>
              </w:rPr>
              <w:t>ADDITIONAL INFORMATION</w:t>
            </w:r>
          </w:p>
          <w:p>
            <w:pPr>
              <w:rPr>
                <w:b w:val="1"/>
                <w:bCs w:val="1"/>
              </w:rPr>
            </w:pPr>
            <w:r>
              <w:rPr>
                <w:b w:val="1"/>
                <w:bCs w:val="1"/>
              </w:rPr>
              <w:t>.NRL</w:t>
            </w:r>
            <w:r>
              <w:rPr>
                <w:b w:val="1"/>
                <w:bCs w:val="1"/>
              </w:rPr>
              <w:t xml:space="preserve"> File (</w:t>
            </w:r>
            <w:r>
              <w:rPr>
                <w:b w:val="1"/>
                <w:bCs w:val="1"/>
                <w:rFonts w:cs="Arial"/>
              </w:rPr>
              <w:t>MRF_NON_COMPLIANCE):</w:t>
            </w:r>
          </w:p>
          <w:p>
            <w:pPr/>
            <w:r>
              <w:t xml:space="preserve">For the avoidance of doubt, no changes are being made to the population of the </w:t>
            </w:r>
            <w:r>
              <w:rPr>
                <w:rFonts w:cs="Arial"/>
              </w:rPr>
              <w:t xml:space="preserve">MRF_NON_COMPLIANCE </w:t>
            </w:r>
            <w:r>
              <w:t>data item within the .NRL file that is issued out to Shippers</w:t>
            </w:r>
            <w:r>
              <w:t>. The .NRL file is issued</w:t>
            </w:r>
            <w:r>
              <w:t xml:space="preserve"> informing </w:t>
            </w:r>
            <w:r>
              <w:t xml:space="preserve">Shippers </w:t>
            </w:r>
            <w:r>
              <w:t>of AQ value changes and this will remain BAU following implementation of this change. This is because the Annual Quantity trigger is not the only way a Meter Read Frequency can become non-compliant in accordance with the Modification</w:t>
            </w:r>
            <w:r>
              <w:t>,</w:t>
            </w:r>
            <w:r>
              <w:t xml:space="preserve"> and the .NRL file solely relates to the Annual Quantity process and should not be sent for other system processes</w:t>
            </w:r>
            <w:r>
              <w:t xml:space="preserve"> that require </w:t>
            </w:r>
            <w:r>
              <w:t>a</w:t>
            </w:r>
            <w:r>
              <w:t xml:space="preserve"> MRF amendment</w:t>
            </w:r>
            <w:r>
              <w:t xml:space="preserve"> (RGMA</w:t>
            </w:r>
            <w:r>
              <w:t>, SPA</w:t>
            </w:r>
            <w:r>
              <w:t xml:space="preserve"> etc).</w:t>
            </w:r>
          </w:p>
          <w:p>
            <w:pPr>
              <w:rPr>
                <w:b w:val="1"/>
                <w:bCs w:val="1"/>
                <w:rFonts w:cs="Arial"/>
              </w:rPr>
            </w:pPr>
          </w:p>
          <w:p>
            <w:pPr>
              <w:rPr>
                <w:b w:val="1"/>
                <w:bCs w:val="1"/>
                <w:rFonts w:cs="Arial"/>
              </w:rPr>
            </w:pPr>
            <w:r>
              <w:rPr>
                <w:b w:val="1"/>
                <w:bCs w:val="1"/>
                <w:rFonts w:cs="Arial"/>
              </w:rPr>
              <w:t xml:space="preserve">Potential disparity within </w:t>
            </w:r>
            <w:r>
              <w:rPr>
                <w:b w:val="1"/>
                <w:bCs w:val="1"/>
                <w:rFonts w:cs="Arial"/>
              </w:rPr>
              <w:t>the .NRL</w:t>
            </w:r>
            <w:r>
              <w:rPr>
                <w:b w:val="1"/>
                <w:bCs w:val="1"/>
                <w:rFonts w:cs="Arial"/>
              </w:rPr>
              <w:t xml:space="preserve"> File:</w:t>
            </w:r>
          </w:p>
          <w:p>
            <w:pPr>
              <w:rPr>
                <w:rFonts w:cs="Arial"/>
              </w:rPr>
            </w:pPr>
            <w:r>
              <w:rPr>
                <w:rFonts w:cs="Arial"/>
              </w:rPr>
              <w:t>For clarification, the MRF_NON_COMPLIANCE data item is set</w:t>
            </w:r>
            <w:r>
              <w:rPr>
                <w:rFonts w:cs="Arial"/>
              </w:rPr>
              <w:t>/populated</w:t>
            </w:r>
            <w:r>
              <w:rPr>
                <w:rFonts w:cs="Arial"/>
              </w:rPr>
              <w:t xml:space="preserve"> within UK Link when the AQ is calculated (12th of the month).  This data item is then sent within the .NRL file (T97</w:t>
            </w:r>
            <w:r>
              <w:rPr>
                <w:rFonts w:cs="Arial"/>
              </w:rPr>
              <w:t xml:space="preserve"> record</w:t>
            </w:r>
            <w:r>
              <w:rPr>
                <w:rFonts w:cs="Arial"/>
              </w:rPr>
              <w:t xml:space="preserve">) to the </w:t>
            </w:r>
            <w:r>
              <w:rPr>
                <w:rFonts w:cs="Arial"/>
              </w:rPr>
              <w:t>Registered</w:t>
            </w:r>
            <w:r>
              <w:rPr>
                <w:rFonts w:cs="Arial"/>
              </w:rPr>
              <w:t xml:space="preserve"> Shipper at M-7.  If the Meter Read Frequency </w:t>
            </w:r>
            <w:r>
              <w:rPr>
                <w:rFonts w:cs="Arial"/>
              </w:rPr>
              <w:t>has been</w:t>
            </w:r>
            <w:r>
              <w:rPr>
                <w:rFonts w:cs="Arial"/>
              </w:rPr>
              <w:t xml:space="preserve"> amended after the population of the MRF_NON_COMPLIANCE data item but before the .NRL file is issued, then the MRF_TYPE_CODE </w:t>
            </w:r>
            <w:r>
              <w:rPr>
                <w:rFonts w:cs="Arial"/>
              </w:rPr>
              <w:t>(</w:t>
            </w:r>
            <w:r>
              <w:rPr>
                <w:rFonts w:cs="Arial"/>
              </w:rPr>
              <w:t>referenced within the T04 Record</w:t>
            </w:r>
            <w:r>
              <w:rPr>
                <w:rFonts w:cs="Arial"/>
              </w:rPr>
              <w:t>/.NRL</w:t>
            </w:r>
            <w:r>
              <w:rPr>
                <w:rFonts w:cs="Arial"/>
              </w:rPr>
              <w:t xml:space="preserve"> File</w:t>
            </w:r>
            <w:r>
              <w:rPr>
                <w:rFonts w:cs="Arial"/>
              </w:rPr>
              <w:t>) will be the newly updated Meter Read Frequency</w:t>
            </w:r>
            <w:r>
              <w:rPr>
                <w:rFonts w:cs="Arial"/>
              </w:rPr>
              <w:t>, not the one that determined the population of the MRF_NON_COMPLIANCE data item</w:t>
            </w:r>
            <w:r>
              <w:rPr>
                <w:rFonts w:cs="Arial"/>
              </w:rPr>
              <w:t xml:space="preserve">.  </w:t>
            </w:r>
            <w:r>
              <w:rPr>
                <w:rFonts w:cs="Arial"/>
              </w:rPr>
              <w:t>This means</w:t>
            </w:r>
            <w:r>
              <w:rPr>
                <w:rFonts w:cs="Arial"/>
              </w:rPr>
              <w:t xml:space="preserve"> there may be a disparity between the MRF_NON_COMPLIANCE data item (within the T97 record) and the MRF_TYPE_CODE (within the T04 record) referenced in the .NRL file</w:t>
            </w:r>
            <w:r>
              <w:rPr>
                <w:rFonts w:cs="Arial"/>
              </w:rPr>
              <w:t xml:space="preserve">, leading to the </w:t>
            </w:r>
            <w:r>
              <w:rPr>
                <w:rFonts w:cs="Arial"/>
              </w:rPr>
              <w:t xml:space="preserve">MRF_NON_COMPLIANCE data item </w:t>
            </w:r>
            <w:r>
              <w:rPr>
                <w:rFonts w:cs="Arial"/>
              </w:rPr>
              <w:t>not being relevant</w:t>
            </w:r>
            <w:r>
              <w:rPr>
                <w:rFonts w:cs="Arial"/>
              </w:rPr>
              <w:t xml:space="preserve"> for that Supply </w:t>
            </w:r>
            <w:r>
              <w:rPr>
                <w:rFonts w:cs="Arial"/>
              </w:rPr>
              <w:t>Meter Point</w:t>
            </w:r>
            <w:r>
              <w:rPr>
                <w:rFonts w:cs="Arial"/>
              </w:rPr>
              <w:t xml:space="preserve">. This has </w:t>
            </w:r>
            <w:r>
              <w:rPr>
                <w:rFonts w:cs="Arial"/>
              </w:rPr>
              <w:t xml:space="preserve">been highlighted for awareness as this </w:t>
            </w:r>
            <w:r>
              <w:rPr>
                <w:rFonts w:cs="Arial"/>
              </w:rPr>
              <w:t>is current functionality</w:t>
            </w:r>
            <w:r>
              <w:rPr>
                <w:rFonts w:cs="Arial"/>
              </w:rPr>
              <w:t xml:space="preserve"> and will not be amended as part of this change</w:t>
            </w:r>
            <w:r>
              <w:rPr>
                <w:rFonts w:cs="Arial"/>
              </w:rPr>
              <w:t>.</w:t>
            </w:r>
          </w:p>
        </w:tc>
      </w:tr>
    </w:tbl>
    <w:p>
      <w:pPr>
        <w:pStyle w:val="heading 1"/>
      </w:pPr>
      <w:r>
        <w:t>G6: Associated Changes</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 xml:space="preserve">XRN5142 - </w:t>
            </w:r>
            <w:r>
              <w:rPr>
                <w:rFonts w:cs="Arial"/>
                <w:lang w:val="en-US"/>
              </w:rPr>
              <w:t>New Allowable Values for DCC Service Flag in DXI File From DCC</w:t>
            </w:r>
          </w:p>
        </w:tc>
      </w:tr>
    </w:tbl>
    <w:p>
      <w:pPr>
        <w:pStyle w:val="heading 1"/>
      </w:pPr>
      <w:r>
        <w:t>G7: DSG</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p>
            <w:pPr>
              <w:rPr>
                <w:rFonts w:cs="Arial"/>
              </w:rPr>
            </w:pPr>
            <w:r>
              <w:rPr>
                <w:rFonts w:cs="Arial"/>
              </w:rPr>
              <w:t>26</w:t>
            </w:r>
            <w:r>
              <w:rPr>
                <w:rFonts w:cs="Arial"/>
                <w:vertAlign w:val="superscript"/>
              </w:rPr>
              <w:t>th</w:t>
            </w:r>
            <w:r>
              <w:rPr>
                <w:rFonts w:cs="Arial"/>
              </w:rPr>
              <w:t xml:space="preserve"> April 2021</w:t>
            </w:r>
          </w:p>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 xml:space="preserve">To discuss any comments </w:t>
            </w:r>
            <w:r>
              <w:rPr>
                <w:rFonts w:cs="Arial"/>
              </w:rPr>
              <w:t>provided from the Detailed Design C</w:t>
            </w:r>
            <w:r>
              <w:rPr>
                <w:rFonts w:cs="Arial"/>
              </w:rPr>
              <w:t xml:space="preserve">hange </w:t>
            </w:r>
            <w:r>
              <w:rPr>
                <w:rFonts w:cs="Arial"/>
              </w:rPr>
              <w:t>P</w:t>
            </w:r>
            <w:r>
              <w:rPr>
                <w:rFonts w:cs="Arial"/>
              </w:rPr>
              <w:t>ack rep</w:t>
            </w:r>
            <w:r>
              <w:rPr>
                <w:rFonts w:cs="Arial"/>
              </w:rPr>
              <w:t>resentations</w:t>
            </w:r>
          </w:p>
        </w:tc>
      </w:tr>
    </w:tbl>
    <w:p>
      <w:pPr>
        <w:pStyle w:val="heading 1"/>
      </w:pPr>
      <w:r>
        <w:t>G8: Implementation</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November</w:t>
            </w:r>
            <w:r>
              <w:rPr>
                <w:rFonts w:cs="Arial"/>
              </w:rPr>
              <w:t xml:space="preserve"> </w:t>
            </w:r>
            <w:r>
              <w:rPr>
                <w:rFonts w:cs="Arial"/>
              </w:rPr>
              <w:t>202</w:t>
            </w:r>
            <w:r>
              <w:rPr>
                <w:rFonts w:cs="Arial"/>
              </w:rPr>
              <w:t>1</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Approved</w:t>
            </w:r>
          </w:p>
        </w:tc>
      </w:tr>
    </w:tbl>
    <w:p>
      <w:pPr/>
    </w:p>
    <w:p>
      <w:pPr/>
      <w:r>
        <w:t xml:space="preserve">Please see the following page for representation comments template; responses to </w:t>
      </w:r>
      <w:hyperlink r:id="Rb6b0e2ac7f934f39">
        <w:r>
          <w:rPr>
            <w:rStyle w:val="Hyperlink"/>
          </w:rPr>
          <w:t>uklink@xoserve.com</w:t>
        </w:r>
      </w:hyperlink>
      <w:r>
        <w:t xml:space="preserve"> </w:t>
      </w:r>
    </w:p>
    <w:p>
      <w:pPr/>
      <w:r>
        <w:br w:type="page"/>
      </w:r>
    </w:p>
    <w:p>
      <w:pPr>
        <w:pStyle w:val="Title"/>
      </w:pPr>
      <w:r>
        <w:t>Section H: Representation Response</w:t>
      </w:r>
    </w:p>
    <w:p>
      <w:pPr/>
      <w:r>
        <w:br w:type="textWrapping"/>
      </w:r>
      <w:r>
        <w:br w:type="textWrapping"/>
      </w:r>
      <w:r>
        <w:rPr>
          <w:rStyle w:val="Heading 1 Char"/>
        </w:rPr>
        <w:t>H1: Change Representation</w:t>
      </w:r>
      <w:r>
        <w:t xml:space="preserve"> </w:t>
      </w:r>
    </w:p>
    <w:p>
      <w:pPr/>
      <w:r>
        <w:t>(To be completed by User and returned for response)</w:t>
      </w: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EDF</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Eleanor Laurence</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Eleanor.Laurence@edfenergy.com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07875117771</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N/A</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Publish</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Comments: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If we are gaining the supply as monthly MRF and the previous supplier has MRF of M – if the site has not been read for 4 months, will this site fall straight into the Must Read pot for us or will the clock reset at COS?</w:t>
            </w:r>
            <w:r>
              <w:rPr>
                <w:rFonts w:cs="Arial"/>
              </w:rPr>
              <w:br w:type="textWrapping"/>
            </w:r>
            <w:r>
              <w:rPr>
                <w:rFonts w:cs="Arial"/>
              </w:rPr>
              <w:t>We disagree with the principal of rejecting a change of supplier request due to ‘Meter Reading Frequency is not acceptable for the Meter Point’ – where we are unable to validate whether a DCC flag if A is set at the outset of the confirmation and we are not obligated to use API calls pre sending the CNF. We therefore believe that validation at change of shipper should be removed in it’s entirety as any rejections caused by this could result in a delay to customer switching.</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N/A</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response to the Detail Design Change Pack for XRN4941, your representation has been noted and will be presented at the Extraordinary ChMC on the 5th May 2021. We have reviewed your detailed points and have provided individual responses accordingly.</w:t>
            </w:r>
            <w:r>
              <w:rPr>
                <w:rFonts w:cs="Arial"/>
              </w:rPr>
              <w:br w:type="textWrapping"/>
            </w:r>
            <w:r>
              <w:rPr>
                <w:rFonts w:cs="Arial"/>
              </w:rPr>
              <w:br w:type="textWrapping"/>
            </w:r>
            <w:r>
              <w:rPr>
                <w:rFonts w:cs="Arial"/>
              </w:rPr>
              <w:t>For clarification, if a Shipper is gaining a Supply Meter Point with a Monthly MRF and the MRF doesn’t change as part of the CoS event (Monthly going forward) then this will move into the Must-Read process as is, the clock does not get re-set as the Must-Read process will look to the last actual read and current MRF.</w:t>
            </w:r>
            <w:r>
              <w:rPr>
                <w:rFonts w:cs="Arial"/>
              </w:rPr>
              <w:br w:type="textWrapping"/>
            </w:r>
            <w:r>
              <w:rPr>
                <w:rFonts w:cs="Arial"/>
              </w:rPr>
              <w:br w:type="textWrapping"/>
            </w:r>
            <w:r>
              <w:rPr>
                <w:rFonts w:cs="Arial"/>
              </w:rPr>
              <w:t>As per the Detail Design Change Pack, SPA processes are being proposed to be amended to include validation for the presence of AMR and/or Operationally SMART meters (these SPA processes already include AQ threshold validation), and if present, and the requested MRF is not Monthly (for Class 4 SMPs) then the SPA transaction will be rejected back to the proposing Shipper. Processes covered are Nominations (NOM), Confirmations (CNF) and Supply Point Amendments (SPC).  Looking at the nomination file (NOM), if a Shipper submits an Supply Meter Point Enquiry Request (S47) and it was successful then, the response file (NMR) would contain an S59 (ACCEPT_SMP_ENQUIRY) record that in turn would have within it an S75 (Meter Point Details) record containing AMR_INDICATOR and a S98 (SMART_DATA) record containing DCC_SERVICE_FLAG. These details can then be used to move forward with either a formal Nomination Request (S69) via the NOM file or an LSP (S38) / SSP (S42) Confirmation Request via the CNF file.  However, direct LSP (S38) / SSP (S42) Confirmation Request via the CNF file without a NOM first would not provide the SMART or DCC data, so it is correct that the required MRF may not be known to the proposed Shipper. The SPC (Supply Meter Point Amendment) Request can only be carried out by the incumbent Shipper, so details of AMR and/or Operationally SMART meters should already be known prior to a request for MRF change.</w:t>
            </w:r>
          </w:p>
        </w:tc>
      </w:tr>
    </w:tbl>
    <w:p>
      <w:pPr/>
    </w:p>
    <w:p>
      <w:pPr/>
      <w:r>
        <w:t xml:space="preserve">Please send the completed representation response to </w:t>
      </w:r>
      <w:hyperlink r:id="Ra78ebf3a46364232">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(To be completed by User and returned for response)</w:t>
      </w:r>
    </w:p>
    <w:tbl>
      <w:tblPr>
        <w:tblStyle w:val="Table Grid"/>
        <w:tblInd w:type="dxa" w:w="-34"/>
        <w:tblW w:type="pct" w:w="5000"/>
        <w:tblLook w:firstColumn="1" w:firstRow="1" w:lastColumn="0" w:lastRow="0" w:noHBand="0" w:noVBand="1"/>
      </w:tblPr>
      <w:tblGrid>
        <w:gridCol w:w="2205"/>
        <w:gridCol w:w="1654"/>
        <w:gridCol w:w="965"/>
        <w:gridCol w:w="4192"/>
      </w:tblGrid>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vMerge w:val="restart"/>
          </w:tcPr>
          <w:p>
            <w:pPr>
              <w:rPr>
                <w:rFonts w:cs="Arial"/>
              </w:rPr>
              <w:jc w:val="right"/>
            </w:pPr>
            <w:r>
              <w:rPr>
                <w:rFonts w:cs="Arial"/>
              </w:rPr>
              <w:t>User Contact Details:</w:t>
            </w: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Organisation:</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Scottish Power</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Name: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Helen Bevan</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Email:</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Helen.Bevan@scottishpower.com</w:t>
            </w:r>
          </w:p>
        </w:tc>
      </w:tr>
      <w:tr>
        <w:trPr>
          <w:trHeight w:hRule="atLeast" w:val="403"/>
        </w:trPr>
        <w:tc>
          <w:tcPr>
            <w:tcW w:type="auto" w:w="0"/>
            <w:vAlign w:val="center"/>
            <w:tcBorders>
              <w:left w:val="single" w:sz="4" w:space="0" w:color="auto"/>
              <w:top w:val="single" w:sz="4" w:space="0" w:color="auto"/>
              <w:right w:val="single" w:sz="4" w:space="0" w:color="auto"/>
              <w:bottom w:val="single" w:sz="4" w:space="0" w:color="auto"/>
            </w:tcBorders>
            <w:vMerge w:val="continue"/>
          </w:tcPr>
          <w:p/>
        </w:tc>
        <w:tc>
          <w:tcPr>
            <w:shd w:val="clear" w:fill="BDD7EE"/>
            <w:tcW w:type="pct" w:w="917"/>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Telephone:</w:t>
            </w:r>
          </w:p>
        </w:tc>
        <w:tc>
          <w:tcPr>
            <w:tcW w:type="pct" w:w="2860"/>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01416145517</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Status:</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Approve</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Representation Publication:</w:t>
            </w:r>
          </w:p>
        </w:tc>
        <w:tc>
          <w:tcPr>
            <w:tcW w:type="pct" w:w="3777"/>
            <w:vAlign w:val="center"/>
            <w:tcBorders>
              <w:left w:val="single" w:sz="4" w:space="0" w:color="auto"/>
              <w:top w:val="single" w:sz="4" w:space="0" w:color="auto"/>
              <w:right w:val="single" w:sz="4" w:space="0" w:color="auto"/>
              <w:bottom w:val="single" w:sz="4" w:space="0" w:color="auto"/>
            </w:tcBorders>
            <w:gridSpan w:val="3"/>
          </w:tcPr>
          <w:p>
            <w:pPr>
              <w:rPr>
                <w:rFonts w:cs="Arial"/>
              </w:rPr>
            </w:pPr>
            <w:r>
              <w:rPr>
                <w:rFonts w:cs="Arial"/>
              </w:rPr>
              <w:t>Publish</w:t>
            </w:r>
          </w:p>
        </w:tc>
      </w:tr>
      <w:tr>
        <w:trPr>
          <w:trHeight w:hRule="atLeast" w:val="40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Confirm Target Release Date?</w:t>
            </w:r>
          </w:p>
        </w:tc>
        <w:tc>
          <w:tcPr>
            <w:tcW w:type="pct" w:w="1452"/>
            <w:vAlign w:val="center"/>
            <w:tcBorders>
              <w:left w:val="single" w:sz="4" w:space="0" w:color="auto"/>
              <w:top w:val="single" w:sz="4" w:space="0" w:color="auto"/>
              <w:right w:val="single" w:sz="4" w:space="0" w:color="auto"/>
              <w:bottom w:val="single" w:sz="4" w:space="0" w:color="auto"/>
            </w:tcBorders>
            <w:gridSpan w:val="2"/>
          </w:tcPr>
          <w:p>
            <w:pPr>
              <w:rPr>
                <w:rFonts w:cs="Arial"/>
              </w:rPr>
            </w:pPr>
            <w:r>
              <w:rPr>
                <w:rFonts w:cs="Arial"/>
              </w:rPr>
              <w:t>Approve</w:t>
            </w:r>
          </w:p>
        </w:tc>
        <w:tc>
          <w:tcPr>
            <w:tcW w:type="pct" w:w="2325"/>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 xml:space="preserve">H1: Xoserve’ s Response </w:t>
      </w:r>
    </w:p>
    <w:tbl>
      <w:tblPr>
        <w:tblStyle w:val="Table Grid"/>
        <w:tblInd w:type="dxa" w:w="-34"/>
        <w:tblW w:type="pct" w:w="5000"/>
        <w:tblLook w:firstColumn="1" w:firstRow="1" w:lastColumn="0" w:lastRow="0" w:noHBand="0" w:noVBand="1"/>
      </w:tblPr>
      <w:tblGrid>
        <w:gridCol w:w="2205"/>
        <w:gridCol w:w="6811"/>
      </w:tblGrid>
      <w:tr>
        <w:trPr>
          <w:trHeight w:hRule="atLeast" w:val="663"/>
        </w:trPr>
        <w:tc>
          <w:tcPr>
            <w:shd w:val="clear" w:fill="BDD7EE"/>
            <w:tcW w:type="pct" w:w="1223"/>
            <w:vAlign w:val="center"/>
            <w:tcBorders>
              <w:left w:val="single" w:sz="4" w:space="0" w:color="auto"/>
              <w:top w:val="single" w:sz="4" w:space="0" w:color="auto"/>
              <w:right w:val="single" w:sz="4" w:space="0" w:color="auto"/>
              <w:bottom w:val="single" w:sz="4" w:space="0" w:color="auto"/>
            </w:tcBorders>
          </w:tcPr>
          <w:p>
            <w:pPr>
              <w:rPr>
                <w:rFonts w:cs="Arial"/>
              </w:rPr>
              <w:jc w:val="right"/>
            </w:pPr>
            <w:r>
              <w:rPr>
                <w:rFonts w:cs="Arial"/>
              </w:rPr>
              <w:t>Xoserve Response to Organisations Comments:</w:t>
            </w:r>
          </w:p>
        </w:tc>
        <w:tc>
          <w:tcPr>
            <w:tcW w:type="pct" w:w="3777"/>
            <w:vAlign w:val="center"/>
            <w:tcBorders>
              <w:left w:val="single" w:sz="4" w:space="0" w:color="auto"/>
              <w:top w:val="single" w:sz="4" w:space="0" w:color="auto"/>
              <w:right w:val="single" w:sz="4" w:space="0" w:color="auto"/>
              <w:bottom w:val="single" w:sz="4" w:space="0" w:color="auto"/>
            </w:tcBorders>
          </w:tcPr>
          <w:p>
            <w:pPr>
              <w:rPr>
                <w:rFonts w:cs="Arial"/>
              </w:rPr>
            </w:pPr>
            <w:r>
              <w:rPr>
                <w:rFonts w:cs="Arial"/>
              </w:rPr>
              <w:t>Thank you for your representation, we will feed this into ChMC for a final decision.</w:t>
            </w:r>
          </w:p>
        </w:tc>
      </w:tr>
    </w:tbl>
    <w:p>
      <w:pPr/>
    </w:p>
    <w:p>
      <w:pPr/>
      <w:r>
        <w:t xml:space="preserve">Please send the completed representation response to </w:t>
      </w:r>
      <w:hyperlink r:id="Rb9df380323d1433b">
        <w:r>
          <w:rPr>
            <w:rStyle w:val="Hyperlink"/>
          </w:rPr>
          <w:t>uklink@xoserve.com</w:t>
        </w:r>
      </w:hyperlink>
      <w:r>
        <w:t xml:space="preserve"> </w:t>
      </w:r>
    </w:p>
    <w:p>
      <w:pPr/>
    </w:p>
    <w:p>
      <w:pP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even" r:id="Rf489ceb456e146a1"/>
      <w:headerReference w:type="default" r:id="R1516c50dacb842a7"/>
      <w:footerReference w:type="even" r:id="Re338f486731e486e"/>
      <w:footerReference w:type="default" r:id="R68c8602c37c14d1b"/>
      <w:headerReference w:type="first" r:id="R8e008fb5f2394245"/>
      <w:footerReference w:type="first" r:id="Rca1001e72bf948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footer2.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w:t>
    </w: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footer3.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header2.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fc2d10fc7aa444ab"/>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header3.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Style40"/>
    <w:multiLevelType w:val="hybridMultilevel"/>
    <w:name w:val="Style40"/>
    <w:lvl w:ilvl="0">
      <w:numFmt w:val="decimal"/>
      <w:start w:val="1"/>
      <w:lvlText w:val="%1)"/>
      <w:lvlJc w:val="left"/>
      <w:pPr>
        <w:tabs>
          <w:tab w:val="num" w:leader="none" w:pos="720"/>
        </w:tabs>
        <w:ind w:hanging="360" w:left="720"/>
      </w:pPr>
    </w:lvl>
    <w:lvl w:ilvl="1">
      <w:numFmt w:val="decimal"/>
      <w:start w:val="1"/>
      <w:lvlText w:val="%2)"/>
      <w:lvlJc w:val="left"/>
      <w:pPr>
        <w:tabs>
          <w:tab w:val="num" w:leader="none" w:pos="1440"/>
        </w:tabs>
        <w:ind w:hanging="360" w:left="1440"/>
      </w:pPr>
    </w:lvl>
    <w:lvl w:ilvl="2">
      <w:numFmt w:val="decimal"/>
      <w:start w:val="1"/>
      <w:lvlText w:val="%3)"/>
      <w:lvlJc w:val="left"/>
      <w:pPr>
        <w:tabs>
          <w:tab w:val="num" w:leader="none" w:pos="2160"/>
        </w:tabs>
        <w:ind w:hanging="360" w:left="2160"/>
      </w:pPr>
    </w:lvl>
    <w:lvl w:ilvl="3">
      <w:numFmt w:val="decimal"/>
      <w:start w:val="1"/>
      <w:lvlText w:val="%4)"/>
      <w:lvlJc w:val="left"/>
      <w:pPr>
        <w:tabs>
          <w:tab w:val="num" w:leader="none" w:pos="2880"/>
        </w:tabs>
        <w:ind w:hanging="360" w:left="2880"/>
      </w:pPr>
    </w:lvl>
    <w:lvl w:ilvl="4">
      <w:numFmt w:val="decimal"/>
      <w:start w:val="1"/>
      <w:lvlText w:val="%5)"/>
      <w:lvlJc w:val="left"/>
      <w:pPr>
        <w:tabs>
          <w:tab w:val="num" w:leader="none" w:pos="3600"/>
        </w:tabs>
        <w:ind w:hanging="360" w:left="3600"/>
      </w:pPr>
    </w:lvl>
    <w:lvl w:ilvl="5">
      <w:numFmt w:val="decimal"/>
      <w:start w:val="1"/>
      <w:lvlText w:val="%6)"/>
      <w:lvlJc w:val="left"/>
      <w:pPr>
        <w:tabs>
          <w:tab w:val="num" w:leader="none" w:pos="4320"/>
        </w:tabs>
        <w:ind w:hanging="360" w:left="4320"/>
      </w:pPr>
    </w:lvl>
    <w:lvl w:ilvl="6">
      <w:numFmt w:val="decimal"/>
      <w:start w:val="1"/>
      <w:lvlText w:val="%7)"/>
      <w:lvlJc w:val="left"/>
      <w:pPr>
        <w:tabs>
          <w:tab w:val="num" w:leader="none" w:pos="5040"/>
        </w:tabs>
        <w:ind w:hanging="360" w:left="5040"/>
      </w:pPr>
    </w:lvl>
    <w:lvl w:ilvl="7">
      <w:numFmt w:val="decimal"/>
      <w:start w:val="1"/>
      <w:lvlText w:val="%8)"/>
      <w:lvlJc w:val="left"/>
      <w:pPr>
        <w:tabs>
          <w:tab w:val="num" w:leader="none" w:pos="5760"/>
        </w:tabs>
        <w:ind w:hanging="360" w:left="5760"/>
      </w:pPr>
    </w:lvl>
    <w:lvl w:ilvl="8">
      <w:numFmt w:val="decimal"/>
      <w:start w:val="1"/>
      <w:lvlText w:val="%9)"/>
      <w:lvlJc w:val="left"/>
      <w:pPr>
        <w:tabs>
          <w:tab w:val="num" w:leader="none" w:pos="6480"/>
        </w:tabs>
        <w:ind w:hanging="360" w:left="6480"/>
      </w:pPr>
    </w:lvl>
  </w:abstractNum>
  <w:abstractNum w:abstractNumId="1">
    <w:styleLink w:val="ListStyle10"/>
    <w:multiLevelType w:val="hybridMultilevel"/>
    <w:name w:val="ListStyle10"/>
    <w:lvl w:ilvl="0">
      <w:numFmt w:val="decimal"/>
      <w:start w:val="1"/>
      <w:lvlText w:val="%1."/>
      <w:lvlJc w:val="left"/>
      <w:pPr>
        <w:tabs>
          <w:tab w:val="num" w:leader="none" w:pos="720"/>
        </w:tabs>
        <w:ind w:hanging="720" w:left="720"/>
      </w:pPr>
    </w:lvl>
    <w:lvl w:ilvl="1">
      <w:numFmt w:val="decimal"/>
      <w:start w:val="1"/>
      <w:lvlText w:val="%2."/>
      <w:lvlJc w:val="left"/>
      <w:pPr>
        <w:tabs>
          <w:tab w:val="num" w:leader="none" w:pos="1440"/>
        </w:tabs>
        <w:ind w:hanging="720" w:left="1440"/>
      </w:pPr>
    </w:lvl>
    <w:lvl w:ilvl="2">
      <w:numFmt w:val="decimal"/>
      <w:start w:val="1"/>
      <w:lvlText w:val="%3."/>
      <w:lvlJc w:val="left"/>
      <w:pPr>
        <w:tabs>
          <w:tab w:val="num" w:leader="none" w:pos="2160"/>
        </w:tabs>
        <w:ind w:hanging="720" w:left="2160"/>
      </w:pPr>
    </w:lvl>
    <w:lvl w:ilvl="3">
      <w:numFmt w:val="decimal"/>
      <w:start w:val="1"/>
      <w:lvlText w:val="%4."/>
      <w:lvlJc w:val="left"/>
      <w:pPr>
        <w:tabs>
          <w:tab w:val="num" w:leader="none" w:pos="2880"/>
        </w:tabs>
        <w:ind w:hanging="720" w:left="2880"/>
      </w:pPr>
    </w:lvl>
    <w:lvl w:ilvl="4">
      <w:numFmt w:val="decimal"/>
      <w:start w:val="1"/>
      <w:lvlText w:val="%5."/>
      <w:lvlJc w:val="left"/>
      <w:pPr>
        <w:tabs>
          <w:tab w:val="num" w:leader="none" w:pos="3600"/>
        </w:tabs>
        <w:ind w:hanging="720" w:left="3600"/>
      </w:pPr>
    </w:lvl>
    <w:lvl w:ilvl="5">
      <w:numFmt w:val="decimal"/>
      <w:start w:val="1"/>
      <w:lvlText w:val="%6."/>
      <w:lvlJc w:val="left"/>
      <w:pPr>
        <w:tabs>
          <w:tab w:val="num" w:leader="none" w:pos="4320"/>
        </w:tabs>
        <w:ind w:hanging="720" w:left="4320"/>
      </w:pPr>
    </w:lvl>
    <w:lvl w:ilvl="6">
      <w:numFmt w:val="decimal"/>
      <w:start w:val="1"/>
      <w:lvlText w:val="%7."/>
      <w:lvlJc w:val="left"/>
      <w:pPr>
        <w:tabs>
          <w:tab w:val="num" w:leader="none" w:pos="5040"/>
        </w:tabs>
        <w:ind w:hanging="720" w:left="5040"/>
      </w:pPr>
    </w:lvl>
    <w:lvl w:ilvl="7">
      <w:numFmt w:val="decimal"/>
      <w:start w:val="1"/>
      <w:lvlText w:val="%8."/>
      <w:lvlJc w:val="left"/>
      <w:pPr>
        <w:tabs>
          <w:tab w:val="num" w:leader="none" w:pos="5760"/>
        </w:tabs>
        <w:ind w:hanging="720" w:left="5760"/>
      </w:pPr>
    </w:lvl>
    <w:lvl w:ilvl="8">
      <w:numFmt w:val="decimal"/>
      <w:start w:val="1"/>
      <w:lvlText w:val="%9."/>
      <w:lvlJc w:val="left"/>
      <w:pPr>
        <w:tabs>
          <w:tab w:val="num" w:leader="none" w:pos="6480"/>
        </w:tabs>
        <w:ind w:hanging="720" w:left="6480"/>
      </w:pPr>
    </w:lvl>
  </w:abstractNum>
  <w:abstractNum w:abstractNumId="2">
    <w:styleLink w:val="ListStyle1"/>
    <w:multiLevelType w:val="hybridMultilevel"/>
    <w:name w:val="ListStyle1"/>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3">
    <w:styleLink w:val="ListStyle12"/>
    <w:multiLevelType w:val="hybridMultilevel"/>
    <w:name w:val="ListStyle12"/>
    <w:lvl w:ilvl="0">
      <w:numFmt w:val="lowerLetter"/>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abstractNum w:abstractNumId="4">
    <w:styleLink w:val="ListStyle15"/>
    <w:multiLevelType w:val="hybridMultilevel"/>
    <w:name w:val="ListStyle15"/>
    <w:lvl w:ilvl="0">
      <w:numFmt w:val="decimal"/>
      <w:start w:val="1"/>
      <w:lvlText w:val="%1)"/>
      <w:lvlJc w:val="left"/>
      <w:pPr>
        <w:ind w:hanging="360" w:left="1080"/>
      </w:pPr>
    </w:lvl>
    <w:lvl w:ilvl="1">
      <w:numFmt w:val="lowerLetter"/>
      <w:start w:val="1"/>
      <w:lvlText w:val="%2."/>
      <w:lvlJc w:val="left"/>
      <w:pPr>
        <w:ind w:hanging="360" w:left="1800"/>
      </w:pPr>
    </w:lvl>
    <w:lvl w:ilvl="2">
      <w:numFmt w:val="lowerRoman"/>
      <w:start w:val="1"/>
      <w:lvlText w:val="%3."/>
      <w:lvlJc w:val="right"/>
      <w:pPr>
        <w:ind w:hanging="180" w:left="2520"/>
      </w:pPr>
    </w:lvl>
    <w:lvl w:ilvl="3">
      <w:numFmt w:val="decimal"/>
      <w:start w:val="1"/>
      <w:lvlText w:val="%4."/>
      <w:lvlJc w:val="left"/>
      <w:pPr>
        <w:ind w:hanging="360" w:left="3240"/>
      </w:pPr>
    </w:lvl>
    <w:lvl w:ilvl="4">
      <w:numFmt w:val="lowerLetter"/>
      <w:start w:val="1"/>
      <w:lvlText w:val="%5."/>
      <w:lvlJc w:val="left"/>
      <w:pPr>
        <w:ind w:hanging="360" w:left="3960"/>
      </w:pPr>
    </w:lvl>
    <w:lvl w:ilvl="5">
      <w:numFmt w:val="lowerRoman"/>
      <w:start w:val="1"/>
      <w:lvlText w:val="%6."/>
      <w:lvlJc w:val="right"/>
      <w:pPr>
        <w:ind w:hanging="180" w:left="4680"/>
      </w:pPr>
    </w:lvl>
    <w:lvl w:ilvl="6">
      <w:numFmt w:val="decimal"/>
      <w:start w:val="1"/>
      <w:lvlText w:val="%7."/>
      <w:lvlJc w:val="left"/>
      <w:pPr>
        <w:ind w:hanging="360" w:left="5400"/>
      </w:pPr>
    </w:lvl>
    <w:lvl w:ilvl="7">
      <w:numFmt w:val="lowerLetter"/>
      <w:start w:val="1"/>
      <w:lvlText w:val="%8."/>
      <w:lvlJc w:val="left"/>
      <w:pPr>
        <w:ind w:hanging="360" w:left="6120"/>
      </w:pPr>
    </w:lvl>
    <w:lvl w:ilvl="8">
      <w:numFmt w:val="lowerRoman"/>
      <w:start w:val="1"/>
      <w:lvlText w:val="%9."/>
      <w:lvlJc w:val="right"/>
      <w:pPr>
        <w:ind w:hanging="180" w:left="6840"/>
      </w:pPr>
    </w:lvl>
  </w:abstractNum>
  <w:abstractNum w:abstractNumId="5">
    <w:styleLink w:val="ListStyle11"/>
    <w:multiLevelType w:val="hybridMultilevel"/>
    <w:name w:val="ListStyle11"/>
    <w:lvl w:ilvl="0">
      <w:numFmt w:val="decimal"/>
      <w:start w:val="1"/>
      <w:lvlText w:val="%1)"/>
      <w:lvlJc w:val="left"/>
      <w:pPr>
        <w:tabs>
          <w:tab w:val="num" w:leader="none" w:pos="1440"/>
        </w:tabs>
        <w:ind w:hanging="720" w:left="1440"/>
      </w:pPr>
    </w:lvl>
    <w:lvl w:ilvl="1">
      <w:numFmt w:val="decimal"/>
      <w:start w:val="1"/>
      <w:lvlText w:val="%2."/>
      <w:lvlJc w:val="left"/>
      <w:pPr>
        <w:tabs>
          <w:tab w:val="num" w:leader="none" w:pos="2160"/>
        </w:tabs>
        <w:ind w:hanging="720" w:left="2160"/>
      </w:pPr>
    </w:lvl>
    <w:lvl w:ilvl="2">
      <w:numFmt w:val="decimal"/>
      <w:start w:val="1"/>
      <w:lvlText w:val="%3."/>
      <w:lvlJc w:val="left"/>
      <w:pPr>
        <w:tabs>
          <w:tab w:val="num" w:leader="none" w:pos="2880"/>
        </w:tabs>
        <w:ind w:hanging="720" w:left="2880"/>
      </w:pPr>
    </w:lvl>
    <w:lvl w:ilvl="3">
      <w:numFmt w:val="decimal"/>
      <w:start w:val="1"/>
      <w:lvlText w:val="%4."/>
      <w:lvlJc w:val="left"/>
      <w:pPr>
        <w:tabs>
          <w:tab w:val="num" w:leader="none" w:pos="3600"/>
        </w:tabs>
        <w:ind w:hanging="720" w:left="3600"/>
      </w:pPr>
    </w:lvl>
    <w:lvl w:ilvl="4">
      <w:numFmt w:val="decimal"/>
      <w:start w:val="1"/>
      <w:lvlText w:val="%5."/>
      <w:lvlJc w:val="left"/>
      <w:pPr>
        <w:tabs>
          <w:tab w:val="num" w:leader="none" w:pos="4320"/>
        </w:tabs>
        <w:ind w:hanging="720" w:left="4320"/>
      </w:pPr>
    </w:lvl>
    <w:lvl w:ilvl="5">
      <w:numFmt w:val="decimal"/>
      <w:start w:val="1"/>
      <w:lvlText w:val="%6."/>
      <w:lvlJc w:val="left"/>
      <w:pPr>
        <w:tabs>
          <w:tab w:val="num" w:leader="none" w:pos="5040"/>
        </w:tabs>
        <w:ind w:hanging="720" w:left="5040"/>
      </w:pPr>
    </w:lvl>
    <w:lvl w:ilvl="6">
      <w:numFmt w:val="decimal"/>
      <w:start w:val="1"/>
      <w:lvlText w:val="%7."/>
      <w:lvlJc w:val="left"/>
      <w:pPr>
        <w:tabs>
          <w:tab w:val="num" w:leader="none" w:pos="5760"/>
        </w:tabs>
        <w:ind w:hanging="720" w:left="5760"/>
      </w:pPr>
    </w:lvl>
    <w:lvl w:ilvl="7">
      <w:numFmt w:val="decimal"/>
      <w:start w:val="1"/>
      <w:lvlText w:val="%8."/>
      <w:lvlJc w:val="left"/>
      <w:pPr>
        <w:tabs>
          <w:tab w:val="num" w:leader="none" w:pos="6480"/>
        </w:tabs>
        <w:ind w:hanging="720" w:left="6480"/>
      </w:pPr>
    </w:lvl>
    <w:lvl w:ilvl="8">
      <w:numFmt w:val="decimal"/>
      <w:start w:val="1"/>
      <w:lvlText w:val="%9."/>
      <w:lvlJc w:val="left"/>
      <w:pPr>
        <w:tabs>
          <w:tab w:val="num" w:leader="none" w:pos="7200"/>
        </w:tabs>
        <w:ind w:hanging="720" w:left="7200"/>
      </w:pPr>
    </w:lvl>
  </w:abstractNum>
  <w:abstractNum w:abstractNumId="6">
    <w:styleLink w:val="ListStyle14"/>
    <w:multiLevelType w:val="hybridMultilevel"/>
    <w:name w:val="ListStyle14"/>
    <w:lvl w:ilvl="0">
      <w:numFmt w:val="decimal"/>
      <w:start w:val="1"/>
      <w:lvlText w:val="%1)"/>
      <w:lvlJc w:val="left"/>
      <w:pPr>
        <w:ind w:hanging="360" w:left="720"/>
      </w:pPr>
    </w:lvl>
    <w:lvl w:ilvl="1">
      <w:numFmt w:val="lowerLetter"/>
      <w:start w:val="1"/>
      <w:lvlText w:val="%2."/>
      <w:lvlJc w:val="left"/>
      <w:pPr>
        <w:ind w:hanging="360" w:left="1440"/>
      </w:pPr>
    </w:lvl>
    <w:lvl w:ilvl="2">
      <w:numFmt w:val="lowerRoman"/>
      <w:start w:val="1"/>
      <w:lvlText w:val="%3."/>
      <w:lvlJc w:val="right"/>
      <w:pPr>
        <w:ind w:hanging="180" w:left="2160"/>
      </w:pPr>
    </w:lvl>
    <w:lvl w:ilvl="3">
      <w:numFmt w:val="decimal"/>
      <w:start w:val="1"/>
      <w:lvlText w:val="%4."/>
      <w:lvlJc w:val="left"/>
      <w:pPr>
        <w:ind w:hanging="360" w:left="2880"/>
      </w:pPr>
    </w:lvl>
    <w:lvl w:ilvl="4">
      <w:numFmt w:val="lowerLetter"/>
      <w:start w:val="1"/>
      <w:lvlText w:val="%5."/>
      <w:lvlJc w:val="left"/>
      <w:pPr>
        <w:ind w:hanging="360" w:left="3600"/>
      </w:pPr>
    </w:lvl>
    <w:lvl w:ilvl="5">
      <w:numFmt w:val="lowerRoman"/>
      <w:start w:val="1"/>
      <w:lvlText w:val="%6."/>
      <w:lvlJc w:val="right"/>
      <w:pPr>
        <w:ind w:hanging="180" w:left="4320"/>
      </w:pPr>
    </w:lvl>
    <w:lvl w:ilvl="6">
      <w:numFmt w:val="decimal"/>
      <w:start w:val="1"/>
      <w:lvlText w:val="%7."/>
      <w:lvlJc w:val="left"/>
      <w:pPr>
        <w:ind w:hanging="360" w:left="5040"/>
      </w:pPr>
    </w:lvl>
    <w:lvl w:ilvl="7">
      <w:numFmt w:val="lowerLetter"/>
      <w:start w:val="1"/>
      <w:lvlText w:val="%8."/>
      <w:lvlJc w:val="left"/>
      <w:pPr>
        <w:ind w:hanging="360" w:left="5760"/>
      </w:pPr>
    </w:lvl>
    <w:lvl w:ilvl="8">
      <w:numFmt w:val="lowerRoman"/>
      <w:start w:val="1"/>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8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Times New Roman" w:eastAsia="Times New Roman"/>
        <w:lang w:val="en-GB"/>
        <w:sz w:val="22"/>
        <w:szCs w:val="22"/>
      </w:rPr>
    </w:rPrDefault>
    <w:pPrDefault>
      <w:pPr>
        <w:spacing w:after="200" w:lineRule="auto" w:line="276"/>
      </w:pPr>
    </w:pPrDefault>
  </w:docDefaults>
  <w:style w:type="paragraph" w:styleId="Normal" w:default="1">
    <w:name w:val="Normal"/>
    <w:qFormat/>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Pr>
  </w:style>
  <w:style w:type="paragraph" w:styleId="heading 4">
    <w:name w:val="heading 4"/>
    <w:qFormat/>
    <w:basedOn w:val="Normal"/>
    <w:pPr>
      <w:keepLines w:val="1"/>
      <w:keepNext w:val="1"/>
      <w:spacing w:before="200" w:after="0"/>
      <w:outlineLvl w:val="3"/>
    </w:pPr>
    <w:rPr>
      <w:b w:val="1"/>
      <w:bCs w:val="1"/>
      <w:color w:val="3E5AA8"/>
      <w:i w:val="1"/>
      <w:iCs w:val="1"/>
    </w:rPr>
  </w:style>
  <w:style w:type="paragraph" w:styleId="heading 5">
    <w:name w:val="heading 5"/>
    <w:qFormat/>
    <w:basedOn w:val="Normal"/>
    <w:pPr>
      <w:keepLines w:val="1"/>
      <w:keepNext w:val="1"/>
      <w:spacing w:before="200" w:after="0"/>
      <w:outlineLvl w:val="4"/>
    </w:pPr>
    <w:rPr>
      <w:color w:val="1F2D54"/>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List Paragraph Char">
    <w:name w:val="List Paragraph Char"/>
    <w:qFormat/>
  </w:style>
  <w:style w:type="paragraph" w:styleId="Revision">
    <w:name w:val="Revision"/>
    <w:qFormat/>
    <w:pPr>
      <w:spacing w:after="0" w:lineRule="auto" w:line="240"/>
    </w:pPr>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954F72"/>
      <w:u w:val="single"/>
    </w:rPr>
  </w:style>
  <w:style w:type="numbering" w:styleId="Style40">
    <w:name w:val="Style40"/>
    <w:qFormat/>
  </w:style>
  <w:style w:type="numbering" w:styleId="ListStyle10">
    <w:name w:val="ListStyle10"/>
    <w:qFormat/>
  </w:style>
  <w:style w:type="numbering" w:styleId="ListStyle1">
    <w:name w:val="ListStyle1"/>
    <w:qFormat/>
  </w:style>
  <w:style w:type="numbering" w:styleId="ListStyle12">
    <w:name w:val="ListStyle12"/>
    <w:qFormat/>
  </w:style>
  <w:style w:type="numbering" w:styleId="ListStyle15">
    <w:name w:val="ListStyle15"/>
    <w:qFormat/>
  </w:style>
  <w:style w:type="numbering" w:styleId="ListStyle11">
    <w:name w:val="ListStyle11"/>
    <w:qFormat/>
  </w:style>
  <w:style w:type="numbering" w:styleId="ListStyle14">
    <w:name w:val="ListStyle1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imon.harris@xoserve.com" TargetMode="External" Id="Rc4f305d8bd0f4fc7" /><Relationship Type="http://schemas.openxmlformats.org/officeDocument/2006/relationships/hyperlink" Target="https://www.xoserve.com/calendar/dsc-delivery-sub-group-22nd-february-2021/" TargetMode="External" Id="R3848ef7315444e9e" /><Relationship Type="http://schemas.openxmlformats.org/officeDocument/2006/relationships/hyperlink" Target="https://www.xoserve.com/calendar/dsc-delivery-sub-group-dsg-4th-november-2019/" TargetMode="External" Id="Rad5c7660e6ac4d37" /><Relationship Type="http://schemas.openxmlformats.org/officeDocument/2006/relationships/hyperlink" Target="https://www.xoserve.com/change/change-proposals/xrn-5142-new-allowable-values-for-dcc-service-flag-in-dxi-file-from-dcc/" TargetMode="External" Id="R8e2cd856609a4b74" /><Relationship Type="http://schemas.openxmlformats.org/officeDocument/2006/relationships/hyperlink" Target="https://www.xoserve.com/change/change-proposals/xrn-5036-updates-to-must-read-process/" TargetMode="External" Id="Rc14ce8e0a67041d7" /><Relationship Type="http://schemas.openxmlformats.org/officeDocument/2006/relationships/hyperlink" Target="https://www.xoserve.com/calendar/dsc-delivery-sub-group-dsg-4th-november-2019/" TargetMode="External" Id="R3201521275a44152" /><Relationship Type="http://schemas.openxmlformats.org/officeDocument/2006/relationships/hyperlink" Target="https://umbraco.xoserve.com/media/41970/c38-class-change-v3fa.pdf" TargetMode="External" Id="R07a7c1c3b1234d4d" /><Relationship Type="http://schemas.openxmlformats.org/officeDocument/2006/relationships/hyperlink" Target="https://umbraco.xoserve.com/media/41971/s34-mrf-and-batch-freq-change-request-v5fa.pdf" TargetMode="External" Id="R33121ece5c454335" /><Relationship Type="http://schemas.openxmlformats.org/officeDocument/2006/relationships/hyperlink" Target="https://umbraco.xoserve.com/media/41972/s42-ssp-confirmation-v6fa.pdf" TargetMode="External" Id="R13726dd133c745c1" /><Relationship Type="http://schemas.openxmlformats.org/officeDocument/2006/relationships/hyperlink" Target="https://umbraco.xoserve.com/media/41973/s48-smp-nomination-req-v5fa.pdf" TargetMode="External" Id="R46565dc091784d7a" /><Relationship Type="http://schemas.openxmlformats.org/officeDocument/2006/relationships/hyperlink" Target="mailto:uklink@xoserve.com" TargetMode="External" Id="Rb6b0e2ac7f934f39" /><Relationship Type="http://schemas.openxmlformats.org/officeDocument/2006/relationships/hyperlink" Target="mailto:uklink@xoserve.com" TargetMode="External" Id="Ra78ebf3a46364232" /><Relationship Type="http://schemas.openxmlformats.org/officeDocument/2006/relationships/hyperlink" Target="mailto:uklink@xoserve.com" TargetMode="External" Id="Rb9df380323d1433b" /><Relationship Type="http://schemas.openxmlformats.org/officeDocument/2006/relationships/header" Target="header1.xml" Id="Rf489ceb456e146a1" /><Relationship Type="http://schemas.openxmlformats.org/officeDocument/2006/relationships/header" Target="header2.xml" Id="R1516c50dacb842a7" /><Relationship Type="http://schemas.openxmlformats.org/officeDocument/2006/relationships/footer" Target="footer1.xml" Id="Re338f486731e486e" /><Relationship Type="http://schemas.openxmlformats.org/officeDocument/2006/relationships/footer" Target="footer2.xml" Id="R68c8602c37c14d1b" /><Relationship Type="http://schemas.openxmlformats.org/officeDocument/2006/relationships/header" Target="header3.xml" Id="R8e008fb5f2394245" /><Relationship Type="http://schemas.openxmlformats.org/officeDocument/2006/relationships/footer" Target="footer3.xml" Id="Rca1001e72bf948d4" /><Relationship Type="http://schemas.openxmlformats.org/officeDocument/2006/relationships/customXml" Target="/customXml/item1.xml" Id="R9ec8177905f14301" /><Relationship Type="http://schemas.openxmlformats.org/officeDocument/2006/relationships/customXml" Target="/customXml/item2.xml" Id="Rd40dc6a8d3fe4477" /><Relationship Type="http://schemas.openxmlformats.org/officeDocument/2006/relationships/customXml" Target="/customXml/item3.xml" Id="R71be2ba94c794522" /><Relationship Type="http://schemas.openxmlformats.org/officeDocument/2006/relationships/styles" Target="styles.xml" Id="R5e16dc1c05484780" /><Relationship Type="http://schemas.openxmlformats.org/officeDocument/2006/relationships/fontTable" Target="fontTable.xml" Id="Rf7b1a6cbcdfd4f35" /><Relationship Type="http://schemas.openxmlformats.org/officeDocument/2006/relationships/numbering" Target="numbering.xml" Id="Rdce260a3442048a9" /><Relationship Type="http://schemas.openxmlformats.org/officeDocument/2006/relationships/settings" Target="settings.xml" Id="Rb8e146e540f448ef" /><Relationship Type="http://schemas.openxmlformats.org/officeDocument/2006/relationships/webSettings" Target="webSettings.xml" Id="Rd3d658951b4e4b52" /></Relationships>
</file>

<file path=word/_rels/header2.xml.rels>&#65279;<?xml version="1.0" encoding="utf-8"?><Relationships xmlns="http://schemas.openxmlformats.org/package/2006/relationships"><Relationship Type="http://schemas.openxmlformats.org/officeDocument/2006/relationships/image" Target="media/tlq0mxz1.png" Id="Rfc2d10fc7aa444ab" /></Relationships>
</file>

<file path=customXml/_rels/item1.xml.rels>&#65279;<?xml version="1.0" encoding="utf-8"?><Relationships xmlns="http://schemas.openxmlformats.org/package/2006/relationships"><Relationship Type="http://schemas.openxmlformats.org/officeDocument/2006/relationships/customXmlProps" Target="itemProps1.xml" Id="R91379f4230c144d0" /></Relationships>
</file>

<file path=customXml/_rels/item2.xml.rels>&#65279;<?xml version="1.0" encoding="utf-8"?><Relationships xmlns="http://schemas.openxmlformats.org/package/2006/relationships"><Relationship Type="http://schemas.openxmlformats.org/officeDocument/2006/relationships/customXmlProps" Target="itemProps2.xml" Id="R4da14433e35b4988" /></Relationships>
</file>

<file path=customXml/_rels/item3.xml.rels>&#65279;<?xml version="1.0" encoding="utf-8"?><Relationships xmlns="http://schemas.openxmlformats.org/package/2006/relationships"><Relationship Type="http://schemas.openxmlformats.org/officeDocument/2006/relationships/customXmlProps" Target="itemProps3.xml" Id="R550c9a56055143a2" /></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025CB-3362-4C6B-97E3-62D27396817C}">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 ds:uri="c78a4dae-5fc0-4ed3-ad80-da51122ab114"/>
    <ds:schemaRef ds:uri="5844fa40-a696-4ac9-bd38-c0330d295109"/>
    <ds:schemaRef ds:uri="http://www.w3.org/XML/1998/namespace"/>
  </ds:schemaRefs>
</ds:datastoreItem>
</file>

<file path=customXml/itemProps2.xml><?xml version="1.0" encoding="utf-8"?>
<ds:datastoreItem xmlns:ds="http://schemas.openxmlformats.org/officeDocument/2006/customXml" ds:itemID="{DE2EF549-0DB8-46CF-8A60-16912477406F}">
  <ds:schemaRefs>
    <ds:schemaRef ds:uri="http://schemas.microsoft.com/sharepoint/v3/contenttype/forms"/>
  </ds:schemaRefs>
</ds:datastoreItem>
</file>

<file path=customXml/itemProps3.xml><?xml version="1.0" encoding="utf-8"?>
<ds:datastoreItem xmlns:ds="http://schemas.openxmlformats.org/officeDocument/2006/customXml" ds:itemID="{7CA3E65F-7C1C-4872-8187-F004C952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9</Pages>
  <Words>3434</Words>
  <Characters>19580</Characters>
  <CharactersWithSpaces>22969</CharactersWithSpaces>
  <Lines>163</Lin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Megan Troth</cp:lastModifiedBy>
  <dcterms:created xsi:type="dcterms:W3CDTF">2021-04-01T14:29:00Z</dcterms:created>
  <dcterms:modified xsi:type="dcterms:W3CDTF">2021-04-12T08:38:00Z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1400</vt:r8>
  </property>
  <property fmtid="{D5CDD505-2E9C-101B-9397-08002B2CF9AE}" pid="4" name="xd_Signature">
    <vt:lpwstr>false</vt:lpwstr>
  </property>
</Properties>
</file>