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8f22c7bb0421b" /><Relationship Type="http://schemas.openxmlformats.org/package/2006/relationships/metadata/core-properties" Target="/docProps/core.xml" Id="R3e2e361650274b83" /><Relationship Type="http://schemas.openxmlformats.org/officeDocument/2006/relationships/extended-properties" Target="/docProps/app.xml" Id="Rf16c6babe1154acf" /><Relationship Type="http://schemas.openxmlformats.org/officeDocument/2006/relationships/custom-properties" Target="/docProps/custom.xml" Id="R95878292e84d4fb5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pStyle w:val="Title"/>
      </w:pPr>
      <w:r>
        <w:t>Section G: Change Pack</w:t>
      </w:r>
    </w:p>
    <w:p>
      <w:pPr>
        <w:pStyle w:val="heading 1"/>
      </w:pPr>
      <w:r>
        <w:t>G1: Communication Detail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213"/>
        <w:gridCol w:w="6835"/>
      </w:tblGrid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Comm Reference: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2808.4 - MT - PO</w:t>
            </w:r>
            <w:bookmarkStart w:id="0" w:name="_GoBack"/>
            <w:bookmarkEnd w:id="0"/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Comm Title: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 xml:space="preserve">XRN5180 </w:t>
            </w:r>
            <w:r>
              <w:rPr>
                <w:rFonts w:cs="Arial"/>
              </w:rPr>
              <w:t>Inner Tolerance Validation for replacement reads and read insertion</w:t>
            </w:r>
            <w:r>
              <w:rPr>
                <w:rFonts w:cs="Arial"/>
              </w:rPr>
              <w:t>s - Detailed Design Change Pack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Comm Date: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12/04/2021</w:t>
            </w:r>
          </w:p>
        </w:tc>
      </w:tr>
    </w:tbl>
    <w:p>
      <w:pPr/>
    </w:p>
    <w:p>
      <w:pPr/>
    </w:p>
    <w:p>
      <w:pPr>
        <w:rPr>
          <w:b w:val="1"/>
          <w:bCs w:val="1"/>
          <w:color w:val="3E5AA8"/>
          <w:sz w:val="28"/>
          <w:szCs w:val="28"/>
        </w:rPr>
        <w:spacing w:after="0"/>
      </w:pPr>
      <w:r>
        <w:rPr>
          <w:b w:val="1"/>
          <w:bCs w:val="1"/>
          <w:color w:val="3E5AA8"/>
          <w:sz w:val="28"/>
          <w:szCs w:val="28"/>
        </w:rPr>
        <w:t>G2: Change Representation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213"/>
        <w:gridCol w:w="6835"/>
      </w:tblGrid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Action Required: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For representation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Close Out Date: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26/04/2021</w:t>
            </w:r>
          </w:p>
        </w:tc>
      </w:tr>
    </w:tbl>
    <w:p>
      <w:pPr/>
    </w:p>
    <w:p>
      <w:pPr>
        <w:pStyle w:val="heading 1"/>
      </w:pPr>
      <w:r>
        <w:t>G3: Change Detail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213"/>
        <w:gridCol w:w="6835"/>
      </w:tblGrid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 xml:space="preserve">Xoserve Reference Number: 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XRN5180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Change Class: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Functional System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ChMC Constituency Impacted: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Shipper Class A; Shipper Class B; Shipper Class C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 xml:space="preserve">Change Owner: 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James Barlow</w:t>
            </w:r>
          </w:p>
          <w:p>
            <w:pPr>
              <w:rPr>
                <w:rFonts w:cs="Arial"/>
              </w:rPr>
            </w:pPr>
            <w:hyperlink r:id="Rf2dacd57bdbe4538">
              <w:r>
                <w:rPr>
                  <w:rStyle w:val="Hyperlink"/>
                </w:rPr>
                <w:t>james.barlow@xoserve.com</w:t>
              </w:r>
            </w:hyperlink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Background and Context: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cs="Arial"/>
              </w:rPr>
            </w:pPr>
          </w:p>
          <w:p>
            <w:pPr>
              <w:rPr>
                <w:rFonts w:cs="Arial"/>
              </w:rPr>
              <w:jc w:val="both"/>
            </w:pPr>
            <w:r>
              <w:rPr>
                <w:rFonts w:cs="Arial"/>
              </w:rPr>
              <w:t xml:space="preserve">When a read is replaced, and there is a previous and subsequent </w:t>
            </w:r>
            <w:r>
              <w:rPr>
                <w:rFonts w:cs="Arial"/>
              </w:rPr>
              <w:t xml:space="preserve">actual </w:t>
            </w:r>
            <w:r>
              <w:rPr>
                <w:rFonts w:cs="Arial"/>
              </w:rPr>
              <w:t>read</w:t>
            </w:r>
            <w:r>
              <w:rPr>
                <w:rFonts w:cs="Arial"/>
              </w:rPr>
              <w:t>,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or </w:t>
            </w:r>
            <w:r>
              <w:rPr>
                <w:rFonts w:cs="Arial"/>
              </w:rPr>
              <w:t xml:space="preserve">an </w:t>
            </w:r>
            <w:r>
              <w:rPr>
                <w:rFonts w:cs="Arial"/>
              </w:rPr>
              <w:t>estimate</w:t>
            </w:r>
            <w:r>
              <w:rPr>
                <w:rFonts w:cs="Arial"/>
              </w:rPr>
              <w:t>d read</w:t>
            </w:r>
            <w:r>
              <w:rPr>
                <w:rFonts w:cs="Arial"/>
              </w:rPr>
              <w:t xml:space="preserve"> treated as such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</w:rPr>
              <w:t xml:space="preserve">present for the replaced read, or a read is inserted between two </w:t>
            </w:r>
            <w:r>
              <w:rPr>
                <w:rFonts w:cs="Arial"/>
              </w:rPr>
              <w:t xml:space="preserve">actual </w:t>
            </w:r>
            <w:r>
              <w:rPr>
                <w:rFonts w:cs="Arial"/>
              </w:rPr>
              <w:t xml:space="preserve">reads, the replaced/inserted read is validated against the previous and subsequent reads and energy tolerances are performed for the respective periods i.e. backwards as well as forwards. </w:t>
            </w:r>
          </w:p>
          <w:p>
            <w:pPr/>
          </w:p>
          <w:p>
            <w:pPr>
              <w:rPr>
                <w:rFonts w:cs="Arial"/>
              </w:rPr>
              <w:jc w:val="both"/>
            </w:pPr>
            <w:r>
              <w:rPr>
                <w:rFonts w:cs="Arial"/>
              </w:rPr>
              <w:t>Currently, if on</w:t>
            </w:r>
            <w:r>
              <w:rPr>
                <w:rFonts w:cs="Arial"/>
              </w:rPr>
              <w:t>ly one</w:t>
            </w:r>
            <w:r>
              <w:rPr>
                <w:rFonts w:cs="Arial"/>
              </w:rPr>
              <w:t xml:space="preserve"> of the two periods fails the </w:t>
            </w:r>
            <w:r>
              <w:rPr>
                <w:rFonts w:cs="Arial"/>
              </w:rPr>
              <w:t>inner tolerance check (</w:t>
            </w:r>
            <w:r>
              <w:rPr>
                <w:rFonts w:cs="Arial"/>
              </w:rPr>
              <w:t>ITC</w:t>
            </w:r>
            <w:r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and</w:t>
            </w:r>
            <w:r>
              <w:rPr>
                <w:rFonts w:cs="Arial"/>
              </w:rPr>
              <w:t>, therefore,</w:t>
            </w:r>
            <w:r>
              <w:rPr>
                <w:rFonts w:cs="Arial"/>
              </w:rPr>
              <w:t xml:space="preserve"> requires the override flag, and this has been provided, the read will be rejected </w:t>
            </w:r>
            <w:r>
              <w:rPr>
                <w:rFonts w:cs="Arial"/>
              </w:rPr>
              <w:t xml:space="preserve">(MRE01030 - Override tolerance passed and override flag provided) </w:t>
            </w:r>
            <w:r>
              <w:rPr>
                <w:rFonts w:cs="Arial"/>
              </w:rPr>
              <w:t xml:space="preserve">as the other validation period does not require the override flag. This is because the system will use the provided (in this case ‘Y’) override flag in both backwards </w:t>
            </w:r>
            <w:r>
              <w:rPr>
                <w:rFonts w:cs="Arial"/>
              </w:rPr>
              <w:t>and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forwards validation checks </w:t>
            </w:r>
            <w:r>
              <w:rPr>
                <w:rFonts w:cs="Arial"/>
              </w:rPr>
              <w:t>resulting in the rejection</w:t>
            </w:r>
            <w:r>
              <w:rPr>
                <w:rFonts w:cs="Arial"/>
              </w:rPr>
              <w:t xml:space="preserve">. </w:t>
            </w:r>
          </w:p>
          <w:p>
            <w:pPr>
              <w:rPr>
                <w:rFonts w:cs="Arial"/>
              </w:rPr>
              <w:jc w:val="both"/>
            </w:pPr>
            <w:r>
              <mc:AlternateContent>
                <mc:Choice Requires="wps">
                  <w:drawing>
                    <wp:inline>
                      <wp:extent cx="4212446" cy="906780"/>
                      <wp:docPr id="1" name="drawingObject1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2" name="Picture 2"/>
                              <pic:cNvPicPr/>
                            </pic:nvPicPr>
                            <pic:blipFill>
                              <a:blip r:embed="Ra505db2775f34124"/>
                              <a:stretch/>
                            </pic:blipFill>
                            <pic:spPr>
                              <a:xfrm rot="0">
                                <a:ext cx="4212446" cy="90678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/>
              </mc:AlternateContent>
            </w:r>
          </w:p>
          <w:p>
            <w:pPr>
              <w:rPr>
                <w:rFonts w:cs="Arial"/>
              </w:rPr>
            </w:pPr>
          </w:p>
          <w:p>
            <w:pPr>
              <w:rPr>
                <w:rFonts w:cs="Arial"/>
              </w:rPr>
              <w:jc w:val="both"/>
            </w:pPr>
            <w:r>
              <w:rPr>
                <w:rFonts w:cs="Arial"/>
              </w:rPr>
              <w:t xml:space="preserve">Should the </w:t>
            </w:r>
            <w:r>
              <w:rPr>
                <w:rFonts w:cs="Arial"/>
              </w:rPr>
              <w:t>Shipper</w:t>
            </w:r>
            <w:r>
              <w:rPr>
                <w:rFonts w:cs="Arial"/>
              </w:rPr>
              <w:t xml:space="preserve"> submit the meter read with the override flag not populated,</w:t>
            </w:r>
            <w:r>
              <w:rPr>
                <w:rFonts w:cs="Arial"/>
              </w:rPr>
              <w:t xml:space="preserve"> then</w:t>
            </w:r>
            <w:r>
              <w:rPr>
                <w:rFonts w:cs="Arial"/>
              </w:rPr>
              <w:t xml:space="preserve"> the</w:t>
            </w:r>
            <w:r>
              <w:rPr>
                <w:rFonts w:cs="Arial"/>
              </w:rPr>
              <w:t xml:space="preserve"> read</w:t>
            </w:r>
            <w:r>
              <w:rPr>
                <w:rFonts w:cs="Arial"/>
              </w:rPr>
              <w:t xml:space="preserve"> would </w:t>
            </w:r>
            <w:r>
              <w:rPr>
                <w:rFonts w:cs="Arial"/>
              </w:rPr>
              <w:t xml:space="preserve">again be </w:t>
            </w:r>
            <w:r>
              <w:rPr>
                <w:rFonts w:cs="Arial"/>
              </w:rPr>
              <w:t>reject</w:t>
            </w:r>
            <w:r>
              <w:rPr>
                <w:rFonts w:cs="Arial"/>
              </w:rPr>
              <w:t>ed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(MRE01029 - Reading breached the upper Inner tolerance value and no override flag provided). </w:t>
            </w:r>
            <w:r>
              <w:rPr>
                <w:rFonts w:cs="Arial"/>
              </w:rPr>
              <w:t>As per the first scenario</w:t>
            </w:r>
            <w:r>
              <w:rPr>
                <w:rFonts w:cs="Arial"/>
              </w:rPr>
              <w:t>,</w:t>
            </w:r>
            <w:r>
              <w:rPr>
                <w:rFonts w:cs="Arial"/>
              </w:rPr>
              <w:t xml:space="preserve"> this is due to</w:t>
            </w:r>
            <w:r>
              <w:rPr>
                <w:rFonts w:cs="Arial"/>
              </w:rPr>
              <w:t xml:space="preserve"> the system </w:t>
            </w:r>
            <w:r>
              <w:rPr>
                <w:rFonts w:cs="Arial"/>
              </w:rPr>
              <w:t>utilising</w:t>
            </w:r>
            <w:r>
              <w:rPr>
                <w:rFonts w:cs="Arial"/>
              </w:rPr>
              <w:t xml:space="preserve"> the provided (in this case blank) override flag in both backwards </w:t>
            </w:r>
            <w:r>
              <w:rPr>
                <w:rFonts w:cs="Arial"/>
              </w:rPr>
              <w:t>and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forwards validation </w:t>
            </w:r>
            <w:r>
              <w:rPr>
                <w:rFonts w:cs="Arial"/>
              </w:rPr>
              <w:t>checks</w:t>
            </w:r>
            <w:r>
              <w:rPr>
                <w:rFonts w:cs="Arial"/>
              </w:rPr>
              <w:t xml:space="preserve">. </w:t>
            </w:r>
          </w:p>
          <w:p>
            <w:pPr>
              <w:rPr>
                <w:rFonts w:cs="Arial"/>
              </w:rPr>
            </w:pPr>
            <w:r>
              <mc:AlternateContent>
                <mc:Choice Requires="wps">
                  <w:drawing>
                    <wp:inline>
                      <wp:extent cx="4203065" cy="903605"/>
                      <wp:docPr id="3" name="drawingObject3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4" name="Picture 4"/>
                              <pic:cNvPicPr/>
                            </pic:nvPicPr>
                            <pic:blipFill>
                              <a:blip r:embed="Re801d4e53d4a4676"/>
                              <a:stretch/>
                            </pic:blipFill>
                            <pic:spPr>
                              <a:xfrm rot="0">
                                <a:ext cx="4203065" cy="90360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/>
              </mc:AlternateContent>
            </w:r>
          </w:p>
          <w:p>
            <w:pPr>
              <w:rPr>
                <w:rFonts w:cs="Arial"/>
              </w:rPr>
            </w:pPr>
          </w:p>
          <w:p>
            <w:pPr>
              <w:rPr>
                <w:rFonts w:cs="Arial"/>
              </w:rPr>
              <w:jc w:val="both"/>
            </w:pPr>
            <w:r>
              <w:rPr>
                <w:rFonts w:cs="Arial"/>
              </w:rPr>
              <w:t>Th</w:t>
            </w:r>
            <w:r>
              <w:rPr>
                <w:rFonts w:cs="Arial"/>
              </w:rPr>
              <w:t>e current logic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results in it being impossible for the provided read to be accepted through the normal file submission processes, where both validation checks require </w:t>
            </w:r>
            <w:r>
              <w:rPr>
                <w:rFonts w:cs="Arial"/>
              </w:rPr>
              <w:t xml:space="preserve">a </w:t>
            </w:r>
            <w:r>
              <w:rPr>
                <w:rFonts w:cs="Arial"/>
              </w:rPr>
              <w:t xml:space="preserve">different override flag value in order to be </w:t>
            </w:r>
            <w:r>
              <w:rPr>
                <w:rFonts w:cs="Arial"/>
              </w:rPr>
              <w:t>deemed valid</w:t>
            </w:r>
            <w:r>
              <w:rPr>
                <w:rFonts w:cs="Arial"/>
              </w:rPr>
              <w:t>.</w:t>
            </w:r>
          </w:p>
        </w:tc>
      </w:tr>
    </w:tbl>
    <w:p>
      <w:pPr/>
    </w:p>
    <w:p>
      <w:pPr>
        <w:pStyle w:val="heading 1"/>
      </w:pPr>
      <w:r>
        <w:t>G4: Change Impact Assessment Dashboard (UK Link)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213"/>
        <w:gridCol w:w="6835"/>
      </w:tblGrid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Functional:</w:t>
            </w:r>
          </w:p>
        </w:tc>
        <w:tc>
          <w:tcPr>
            <w:shd w:val="clear" w:fill="FFFFFF"/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Meter Read Processing (UK Link)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Non-Functional:</w:t>
            </w:r>
          </w:p>
        </w:tc>
        <w:tc>
          <w:tcPr>
            <w:shd w:val="clear" w:fill="FFFFFF"/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None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Application:</w:t>
            </w:r>
          </w:p>
        </w:tc>
        <w:tc>
          <w:tcPr>
            <w:shd w:val="clear" w:fill="FFFFFF"/>
            <w:tcW w:type="pct" w:w="3777"/>
            <w:vAlign w:val="center"/>
          </w:tcPr>
          <w:p>
            <w:pPr>
              <w:rPr>
                <w:shd w:val="clear" w:fill="FFFF00"/>
                <w:rFonts w:cs="Arial"/>
                <w:highlight w:val="yellow"/>
              </w:rPr>
            </w:pPr>
            <w:r>
              <w:rPr>
                <w:rFonts w:cs="Arial"/>
              </w:rPr>
              <w:t>SAP ISU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User(s):</w:t>
            </w:r>
          </w:p>
        </w:tc>
        <w:tc>
          <w:tcPr>
            <w:shd w:val="clear" w:fill="FFFFFF"/>
            <w:tcW w:type="pct" w:w="3777"/>
            <w:vAlign w:val="center"/>
          </w:tcPr>
          <w:p>
            <w:pPr>
              <w:rPr>
                <w:shd w:val="clear" w:fill="FFFF00"/>
                <w:rFonts w:cs="Arial"/>
                <w:highlight w:val="yellow"/>
              </w:rPr>
            </w:pPr>
            <w:r>
              <w:rPr>
                <w:rFonts w:cs="Arial"/>
              </w:rPr>
              <w:t>Shippers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Documentation:</w:t>
            </w:r>
          </w:p>
        </w:tc>
        <w:tc>
          <w:tcPr>
            <w:shd w:val="clear" w:fill="FFFFFF"/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None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Other:</w:t>
            </w:r>
          </w:p>
        </w:tc>
        <w:tc>
          <w:tcPr>
            <w:shd w:val="clear" w:fill="FFFFFF"/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None</w:t>
            </w:r>
          </w:p>
        </w:tc>
      </w:tr>
    </w:tbl>
    <w:p>
      <w:pPr>
        <w:spacing w:after="0"/>
      </w:pP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965"/>
        <w:gridCol w:w="1898"/>
        <w:gridCol w:w="2269"/>
        <w:gridCol w:w="1842"/>
        <w:gridCol w:w="2074"/>
      </w:tblGrid>
      <w:tr>
        <w:trPr>
          <w:trHeight w:hRule="atLeast" w:val="403"/>
        </w:trPr>
        <w:tc>
          <w:tcPr>
            <w:shd w:val="clear" w:fill="B3EDFB"/>
            <w:tcW w:type="pct" w:w="5000"/>
            <w:vAlign w:val="center"/>
            <w:gridSpan w:val="5"/>
          </w:tcPr>
          <w:p>
            <w:pPr>
              <w:rPr>
                <w:rFonts w:cs="Arial"/>
              </w:rPr>
              <w:jc w:val="center"/>
            </w:pPr>
            <w:r>
              <w:rPr>
                <w:rFonts w:cs="Arial"/>
              </w:rPr>
              <w:t>Files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533"/>
            <w:vAlign w:val="center"/>
          </w:tcPr>
          <w:p>
            <w:pPr>
              <w:rPr>
                <w:rFonts w:cs="Arial"/>
              </w:rPr>
              <w:jc w:val="center"/>
            </w:pPr>
            <w:r>
              <w:rPr>
                <w:rFonts w:cs="Arial"/>
              </w:rPr>
              <w:t>File</w:t>
            </w:r>
          </w:p>
        </w:tc>
        <w:tc>
          <w:tcPr>
            <w:shd w:val="clear" w:fill="B3EDFB"/>
            <w:tcW w:type="pct" w:w="1049"/>
            <w:vAlign w:val="center"/>
          </w:tcPr>
          <w:p>
            <w:pPr>
              <w:rPr>
                <w:rFonts w:cs="Arial"/>
              </w:rPr>
              <w:jc w:val="center"/>
            </w:pPr>
            <w:r>
              <w:rPr>
                <w:rFonts w:cs="Arial"/>
              </w:rPr>
              <w:t>Parent Record</w:t>
            </w:r>
          </w:p>
        </w:tc>
        <w:tc>
          <w:tcPr>
            <w:shd w:val="clear" w:fill="B3EDFB"/>
            <w:tcW w:type="pct" w:w="1254"/>
            <w:vAlign w:val="center"/>
          </w:tcPr>
          <w:p>
            <w:pPr>
              <w:rPr>
                <w:rFonts w:cs="Arial"/>
              </w:rPr>
              <w:jc w:val="center"/>
            </w:pPr>
            <w:r>
              <w:rPr>
                <w:rFonts w:cs="Arial"/>
              </w:rPr>
              <w:t>Record</w:t>
            </w:r>
          </w:p>
        </w:tc>
        <w:tc>
          <w:tcPr>
            <w:shd w:val="clear" w:fill="B3EDFB"/>
            <w:tcW w:type="pct" w:w="1018"/>
            <w:vAlign w:val="center"/>
          </w:tcPr>
          <w:p>
            <w:pPr>
              <w:rPr>
                <w:rFonts w:cs="Arial"/>
              </w:rPr>
              <w:jc w:val="center"/>
            </w:pPr>
            <w:r>
              <w:rPr>
                <w:rFonts w:cs="Arial"/>
              </w:rPr>
              <w:t>Data Attribute</w:t>
            </w:r>
          </w:p>
        </w:tc>
        <w:tc>
          <w:tcPr>
            <w:shd w:val="clear" w:fill="B3EDFB"/>
            <w:tcW w:type="pct" w:w="1146"/>
            <w:vAlign w:val="center"/>
          </w:tcPr>
          <w:p>
            <w:pPr>
              <w:rPr>
                <w:rFonts w:cs="Arial"/>
              </w:rPr>
              <w:jc w:val="center"/>
            </w:pPr>
            <w:r>
              <w:rPr>
                <w:rFonts w:cs="Arial"/>
              </w:rPr>
              <w:t>Hierarchy or Format</w:t>
            </w:r>
          </w:p>
          <w:p>
            <w:pPr>
              <w:rPr>
                <w:rFonts w:cs="Arial"/>
              </w:rPr>
              <w:jc w:val="center"/>
            </w:pPr>
            <w:r>
              <w:rPr>
                <w:rFonts w:cs="Arial"/>
              </w:rPr>
              <w:t>Agreed</w:t>
            </w:r>
          </w:p>
        </w:tc>
      </w:tr>
      <w:tr>
        <w:trPr>
          <w:trHeight w:hRule="atLeast" w:val="403"/>
        </w:trPr>
        <w:tc>
          <w:tcPr>
            <w:shd w:val="clear" w:fill="FFFFFF"/>
            <w:tcW w:type="pct" w:w="533"/>
            <w:vAlign w:val="center"/>
          </w:tcPr>
          <w:p>
            <w:pPr>
              <w:rPr>
                <w:rFonts w:cs="Arial"/>
              </w:rPr>
              <w:jc w:val="center"/>
            </w:pPr>
            <w:r>
              <w:rPr>
                <w:rFonts w:cs="Arial"/>
              </w:rPr>
              <w:t>None</w:t>
            </w:r>
          </w:p>
        </w:tc>
        <w:tc>
          <w:tcPr>
            <w:shd w:val="clear" w:fill="FFFFFF"/>
            <w:tcW w:type="pct" w:w="1049"/>
            <w:vAlign w:val="center"/>
          </w:tcPr>
          <w:p>
            <w:pPr>
              <w:rPr>
                <w:rFonts w:cs="Arial"/>
              </w:rPr>
              <w:jc w:val="center"/>
            </w:pPr>
            <w:r>
              <w:rPr>
                <w:rFonts w:cs="Arial"/>
              </w:rPr>
              <w:t>None</w:t>
            </w:r>
          </w:p>
        </w:tc>
        <w:tc>
          <w:tcPr>
            <w:shd w:val="clear" w:fill="FFFFFF"/>
            <w:tcW w:type="pct" w:w="1254"/>
            <w:vAlign w:val="center"/>
          </w:tcPr>
          <w:p>
            <w:pPr>
              <w:rPr>
                <w:rFonts w:cs="Arial"/>
              </w:rPr>
              <w:jc w:val="center"/>
            </w:pPr>
            <w:r>
              <w:rPr>
                <w:rFonts w:cs="Arial"/>
              </w:rPr>
              <w:t>None</w:t>
            </w:r>
          </w:p>
        </w:tc>
        <w:tc>
          <w:tcPr>
            <w:shd w:val="clear" w:fill="FFFFFF"/>
            <w:tcW w:type="pct" w:w="1018"/>
            <w:vAlign w:val="center"/>
          </w:tcPr>
          <w:p>
            <w:pPr>
              <w:rPr>
                <w:rFonts w:cs="Arial"/>
              </w:rPr>
              <w:jc w:val="center"/>
            </w:pPr>
            <w:r>
              <w:rPr>
                <w:rFonts w:cs="Arial"/>
              </w:rPr>
              <w:t>None</w:t>
            </w:r>
          </w:p>
        </w:tc>
        <w:tc>
          <w:tcPr>
            <w:shd w:val="clear" w:fill="FFFFFF"/>
            <w:tcW w:type="pct" w:w="1146"/>
            <w:vAlign w:val="center"/>
          </w:tcPr>
          <w:p>
            <w:pPr>
              <w:rPr>
                <w:rFonts w:cs="Arial"/>
              </w:rPr>
              <w:jc w:val="center"/>
            </w:pPr>
            <w:r>
              <w:rPr>
                <w:rFonts w:cs="Arial"/>
              </w:rPr>
              <w:t>None</w:t>
            </w:r>
          </w:p>
        </w:tc>
      </w:tr>
    </w:tbl>
    <w:p>
      <w:pPr>
        <w:pStyle w:val="heading 1"/>
      </w:pPr>
      <w:r>
        <w:t>G5: Change Design Description</w:t>
      </w:r>
    </w:p>
    <w:tbl>
      <w:tblPr>
        <w:tblStyle w:val="Table Grid"/>
        <w:tblInd w:type="dxa" w:w="-34"/>
        <w:tblW w:type="pct" w:w="4969"/>
        <w:tblLook w:firstColumn="1" w:firstRow="1" w:lastColumn="0" w:lastRow="0" w:noHBand="0" w:noVBand="1"/>
      </w:tblPr>
      <w:tblGrid>
        <w:gridCol w:w="8996"/>
      </w:tblGrid>
      <w:tr>
        <w:trPr>
          <w:trHeight w:hRule="atLeast" w:val="2258"/>
        </w:trPr>
        <w:tc>
          <w:tcPr>
            <w:tcW w:type="pct" w:w="5000"/>
            <w:vAlign w:val="center"/>
          </w:tcPr>
          <w:p>
            <w:pPr>
              <w:rPr>
                <w:sz w:val="10"/>
                <w:szCs w:val="10"/>
              </w:rPr>
            </w:pPr>
          </w:p>
          <w:p>
            <w:pPr>
              <w:rPr>
                <w:rFonts w:cs="Arial"/>
              </w:rPr>
              <w:jc w:val="both"/>
            </w:pPr>
            <w:r>
              <w:rPr>
                <w:rFonts w:cs="Arial"/>
              </w:rPr>
              <w:t xml:space="preserve">Within the initial Change Pack consultation, </w:t>
            </w:r>
            <w:r>
              <w:rPr>
                <w:rFonts w:cs="Arial"/>
              </w:rPr>
              <w:t>a single solution option was</w:t>
            </w:r>
            <w:r>
              <w:rPr>
                <w:rFonts w:cs="Arial"/>
              </w:rPr>
              <w:t xml:space="preserve"> proposed</w:t>
            </w:r>
            <w:r>
              <w:rPr>
                <w:rFonts w:cs="Arial"/>
              </w:rPr>
              <w:t xml:space="preserve"> as a result of discussions with Design Sub</w:t>
            </w:r>
            <w:r>
              <w:rPr>
                <w:rFonts w:cs="Arial"/>
              </w:rPr>
              <w:t>-</w:t>
            </w:r>
            <w:r>
              <w:rPr>
                <w:rFonts w:cs="Arial"/>
              </w:rPr>
              <w:t>Group (DSG)</w:t>
            </w:r>
            <w:r>
              <w:rPr>
                <w:rFonts w:cs="Arial"/>
              </w:rPr>
              <w:t xml:space="preserve"> members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</w:rPr>
              <w:t>and all representations were in support of this solution which is defined below. This was ratified by Change Managers at the Change Management Committee (ChMC) meeting in January 2021</w:t>
            </w:r>
            <w:r>
              <w:rPr>
                <w:rFonts w:cs="Arial"/>
              </w:rPr>
              <w:t>.</w:t>
            </w:r>
          </w:p>
          <w:p>
            <w:pPr>
              <w:rPr>
                <w:rFonts w:cs="Arial"/>
              </w:rPr>
              <w:jc w:val="both"/>
            </w:pPr>
          </w:p>
          <w:p>
            <w:pPr>
              <w:rPr>
                <w:rFonts w:cs="Arial"/>
              </w:rPr>
              <w:jc w:val="both"/>
            </w:pPr>
            <w:r>
              <w:rPr>
                <w:rFonts w:cs="Arial"/>
              </w:rPr>
              <w:t xml:space="preserve">The change will amend read validation logic within </w:t>
            </w:r>
            <w:r>
              <w:rPr>
                <w:rFonts w:cs="Arial"/>
              </w:rPr>
              <w:t>UK Link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to allow the acceptance of a valid read </w:t>
            </w:r>
            <w:r>
              <w:rPr>
                <w:rFonts w:cs="Arial"/>
              </w:rPr>
              <w:t xml:space="preserve">in </w:t>
            </w:r>
            <w:r>
              <w:rPr>
                <w:rFonts w:cs="Arial"/>
              </w:rPr>
              <w:t>the case</w:t>
            </w:r>
            <w:r>
              <w:rPr>
                <w:rFonts w:cs="Arial"/>
              </w:rPr>
              <w:t xml:space="preserve"> where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the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read is </w:t>
            </w:r>
            <w:r>
              <w:rPr>
                <w:rFonts w:cs="Arial"/>
              </w:rPr>
              <w:t>replac</w:t>
            </w:r>
            <w:r>
              <w:rPr>
                <w:rFonts w:cs="Arial"/>
              </w:rPr>
              <w:t>ing</w:t>
            </w:r>
            <w:r>
              <w:rPr>
                <w:rFonts w:cs="Arial"/>
              </w:rPr>
              <w:t xml:space="preserve"> an </w:t>
            </w:r>
            <w:r>
              <w:rPr>
                <w:rFonts w:cs="Arial"/>
              </w:rPr>
              <w:t>existing</w:t>
            </w:r>
            <w:r>
              <w:rPr>
                <w:rFonts w:cs="Arial"/>
              </w:rPr>
              <w:t xml:space="preserve"> read</w:t>
            </w:r>
            <w:r>
              <w:rPr>
                <w:rFonts w:cs="Arial"/>
              </w:rPr>
              <w:t>,</w:t>
            </w:r>
            <w:r>
              <w:rPr>
                <w:rFonts w:cs="Arial"/>
              </w:rPr>
              <w:t xml:space="preserve"> or </w:t>
            </w:r>
            <w:r>
              <w:rPr>
                <w:rFonts w:cs="Arial"/>
              </w:rPr>
              <w:t>the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read is inserted</w:t>
            </w:r>
            <w:r>
              <w:rPr>
                <w:rFonts w:cs="Arial"/>
              </w:rPr>
              <w:t>,</w:t>
            </w:r>
            <w:r>
              <w:rPr>
                <w:rFonts w:cs="Arial"/>
              </w:rPr>
              <w:t xml:space="preserve"> between two </w:t>
            </w:r>
            <w:r>
              <w:rPr>
                <w:rFonts w:cs="Arial"/>
              </w:rPr>
              <w:t>existing</w:t>
            </w:r>
            <w:r>
              <w:rPr>
                <w:rFonts w:cs="Arial"/>
              </w:rPr>
              <w:t xml:space="preserve"> actual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reads</w:t>
            </w:r>
            <w:r>
              <w:rPr>
                <w:rFonts w:cs="Arial"/>
              </w:rPr>
              <w:t xml:space="preserve"> (</w:t>
            </w:r>
            <w:r>
              <w:rPr>
                <w:rFonts w:cs="Arial"/>
              </w:rPr>
              <w:t>or an estimated read treated as such)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</w:rPr>
              <w:t xml:space="preserve">and </w:t>
            </w:r>
            <w:r>
              <w:rPr>
                <w:rFonts w:cs="Arial"/>
              </w:rPr>
              <w:t>on</w:t>
            </w:r>
            <w:r>
              <w:rPr>
                <w:rFonts w:cs="Arial"/>
              </w:rPr>
              <w:t>ly one</w:t>
            </w:r>
            <w:r>
              <w:rPr>
                <w:rFonts w:cs="Arial"/>
              </w:rPr>
              <w:t xml:space="preserve"> of the two periods fails the </w:t>
            </w:r>
            <w:r>
              <w:rPr>
                <w:rFonts w:cs="Arial"/>
              </w:rPr>
              <w:t>inner tolerance check (</w:t>
            </w:r>
            <w:r>
              <w:rPr>
                <w:rFonts w:cs="Arial"/>
              </w:rPr>
              <w:t>ITC</w:t>
            </w:r>
            <w:r>
              <w:rPr>
                <w:rFonts w:cs="Arial"/>
              </w:rPr>
              <w:t>)</w:t>
            </w:r>
            <w:r>
              <w:rPr>
                <w:rFonts w:cs="Arial"/>
              </w:rPr>
              <w:t>,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therefore</w:t>
            </w:r>
            <w:r>
              <w:rPr>
                <w:rFonts w:cs="Arial"/>
              </w:rPr>
              <w:t xml:space="preserve"> requir</w:t>
            </w:r>
            <w:r>
              <w:rPr>
                <w:rFonts w:cs="Arial"/>
              </w:rPr>
              <w:t>ing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the override flag, and th</w:t>
            </w:r>
            <w:r>
              <w:rPr>
                <w:rFonts w:cs="Arial"/>
              </w:rPr>
              <w:t xml:space="preserve">e override flag </w:t>
            </w:r>
            <w:r>
              <w:rPr>
                <w:rFonts w:cs="Arial"/>
              </w:rPr>
              <w:t>has been provided</w:t>
            </w:r>
            <w:r>
              <w:rPr>
                <w:rFonts w:cs="Arial"/>
              </w:rPr>
              <w:t>.</w:t>
            </w:r>
            <w:r>
              <w:rPr>
                <w:rFonts w:cs="Arial"/>
              </w:rPr>
              <w:t xml:space="preserve"> The three scenarios in context are:</w:t>
            </w:r>
          </w:p>
          <w:p>
            <w:pPr>
              <w:rPr>
                <w:rFonts w:cs="Arial"/>
              </w:rPr>
              <w:numPr>
                <w:ilvl w:val="0"/>
                <w:numId w:val="1"/>
              </w:numPr>
              <w:pStyle w:val="List Paragraph"/>
              <w:spacing w:after="200" w:lineRule="auto" w:line="276"/>
            </w:pPr>
            <w:r>
              <w:rPr>
                <w:rFonts w:cs="Arial"/>
              </w:rPr>
              <w:t xml:space="preserve">If the backward period requires the Override flag but </w:t>
            </w:r>
            <w:r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forward period does not</w:t>
            </w:r>
          </w:p>
          <w:p>
            <w:pPr>
              <w:rPr>
                <w:rFonts w:cs="Arial"/>
              </w:rPr>
              <w:numPr>
                <w:ilvl w:val="0"/>
                <w:numId w:val="1"/>
              </w:numPr>
              <w:pStyle w:val="List Paragraph"/>
              <w:spacing w:after="200" w:lineRule="auto" w:line="276"/>
            </w:pPr>
            <w:r>
              <w:rPr>
                <w:rFonts w:cs="Arial"/>
              </w:rPr>
              <w:t>If the forward period requires the Override flag but the backward period does not</w:t>
            </w:r>
          </w:p>
          <w:p>
            <w:pPr>
              <w:rPr>
                <w:rFonts w:cs="Arial"/>
              </w:rPr>
              <w:numPr>
                <w:ilvl w:val="0"/>
                <w:numId w:val="1"/>
              </w:numPr>
              <w:pStyle w:val="List Paragraph"/>
              <w:spacing w:after="200" w:lineRule="auto" w:line="276"/>
            </w:pPr>
            <w:r>
              <w:rPr>
                <w:rFonts w:cs="Arial"/>
              </w:rPr>
              <w:t>If both periods require the Override flag</w:t>
            </w:r>
          </w:p>
          <w:p>
            <w:pPr>
              <w:rPr>
                <w:rFonts w:cs="Arial"/>
              </w:rPr>
              <w:jc w:val="both"/>
            </w:pPr>
            <w:r>
              <w:rPr>
                <w:rFonts w:cs="Arial"/>
              </w:rPr>
              <w:t xml:space="preserve">For the avoidance of doubt, </w:t>
            </w:r>
            <w:r>
              <w:rPr>
                <w:rFonts w:cs="Arial"/>
              </w:rPr>
              <w:t xml:space="preserve">in </w:t>
            </w:r>
            <w:r>
              <w:rPr>
                <w:rFonts w:cs="Arial"/>
              </w:rPr>
              <w:t xml:space="preserve">scenario c </w:t>
            </w:r>
            <w:r>
              <w:rPr>
                <w:rFonts w:cs="Arial"/>
              </w:rPr>
              <w:t xml:space="preserve">the Override flag is </w:t>
            </w:r>
            <w:r>
              <w:rPr>
                <w:rFonts w:cs="Arial"/>
              </w:rPr>
              <w:t xml:space="preserve">already </w:t>
            </w:r>
            <w:r>
              <w:rPr>
                <w:rFonts w:cs="Arial"/>
              </w:rPr>
              <w:t xml:space="preserve">handled </w:t>
            </w:r>
            <w:r>
              <w:rPr>
                <w:rFonts w:cs="Arial"/>
              </w:rPr>
              <w:t>correctly and, therefore, is not impacted by this change. Equally, w</w:t>
            </w:r>
            <w:r>
              <w:rPr>
                <w:rFonts w:cs="Arial"/>
              </w:rPr>
              <w:t>here neither period requires the Override flag and it is supplied then the read will be rejected in line with existing validation rules.</w:t>
            </w:r>
          </w:p>
          <w:p>
            <w:pPr>
              <w:rPr>
                <w:rFonts w:cs="Arial"/>
              </w:rPr>
              <w:jc w:val="both"/>
            </w:pPr>
          </w:p>
          <w:p>
            <w:pPr>
              <w:rPr>
                <w:rFonts w:cs="Arial"/>
              </w:rPr>
              <w:jc w:val="both"/>
            </w:pPr>
            <w:r>
              <w:rPr>
                <w:rFonts w:cs="Arial"/>
              </w:rPr>
              <w:t xml:space="preserve">For </w:t>
            </w:r>
            <w:r>
              <w:rPr>
                <w:rFonts w:cs="Arial"/>
              </w:rPr>
              <w:t>clarity</w:t>
            </w:r>
            <w:r>
              <w:rPr>
                <w:rFonts w:cs="Arial"/>
              </w:rPr>
              <w:t>,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the below table represents the </w:t>
            </w:r>
            <w:r>
              <w:rPr>
                <w:rFonts w:cs="Arial"/>
              </w:rPr>
              <w:t xml:space="preserve">possible outcomes </w:t>
            </w:r>
            <w:r>
              <w:rPr>
                <w:rFonts w:cs="Arial"/>
              </w:rPr>
              <w:t xml:space="preserve">of </w:t>
            </w:r>
            <w:r>
              <w:rPr>
                <w:rFonts w:cs="Arial"/>
              </w:rPr>
              <w:t>the</w:t>
            </w:r>
            <w:r>
              <w:rPr>
                <w:rFonts w:cs="Arial"/>
              </w:rPr>
              <w:t xml:space="preserve"> Override </w:t>
            </w:r>
            <w:r>
              <w:rPr>
                <w:rFonts w:cs="Arial"/>
              </w:rPr>
              <w:t>f</w:t>
            </w:r>
            <w:r>
              <w:rPr>
                <w:rFonts w:cs="Arial"/>
              </w:rPr>
              <w:t>lag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validation</w:t>
            </w:r>
            <w:r>
              <w:rPr>
                <w:rFonts w:cs="Arial"/>
              </w:rPr>
              <w:t>, following the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ITC</w:t>
            </w:r>
            <w:r>
              <w:rPr>
                <w:rFonts w:cs="Arial"/>
              </w:rPr>
              <w:t>,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whe</w:t>
            </w:r>
            <w:r>
              <w:rPr>
                <w:rFonts w:cs="Arial"/>
              </w:rPr>
              <w:t>re</w:t>
            </w:r>
            <w:r>
              <w:rPr>
                <w:rFonts w:cs="Arial"/>
              </w:rPr>
              <w:t xml:space="preserve"> there is a previous and subsequent </w:t>
            </w:r>
            <w:r>
              <w:rPr>
                <w:rFonts w:cs="Arial"/>
              </w:rPr>
              <w:t xml:space="preserve">actual </w:t>
            </w:r>
            <w:r>
              <w:rPr>
                <w:rFonts w:cs="Arial"/>
              </w:rPr>
              <w:t>read present</w:t>
            </w:r>
            <w:r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The rows in green highlight the new outcomes </w:t>
            </w:r>
            <w:r>
              <w:rPr>
                <w:rFonts w:cs="Arial"/>
              </w:rPr>
              <w:t xml:space="preserve">of the scenarios defined above </w:t>
            </w:r>
            <w:r>
              <w:rPr>
                <w:rFonts w:cs="Arial"/>
              </w:rPr>
              <w:t>that will occur as a result</w:t>
            </w:r>
            <w:r>
              <w:rPr>
                <w:rFonts w:cs="Arial"/>
              </w:rPr>
              <w:t xml:space="preserve"> of this change</w:t>
            </w:r>
            <w:r>
              <w:rPr>
                <w:rFonts w:cs="Arial"/>
              </w:rPr>
              <w:t>:</w:t>
            </w:r>
          </w:p>
          <w:tbl>
            <w:tblPr>
              <w:tblCellMar>
                <w:left w:type="dxa" w:w="0"/>
                <w:top w:type="dxa" w:w="0"/>
                <w:right w:type="dxa" w:w="0"/>
                <w:bottom w:type="dxa" w:w="0"/>
              </w:tblCellMar>
              <w:tblW w:type="pct" w:w="4956"/>
              <w:tblLook w:firstColumn="0" w:firstRow="1" w:lastColumn="0" w:lastRow="0" w:noHBand="0" w:noVBand="1"/>
            </w:tblPr>
            <w:tblGrid>
              <w:gridCol w:w="1889"/>
              <w:gridCol w:w="1936"/>
              <w:gridCol w:w="1568"/>
              <w:gridCol w:w="1566"/>
              <w:gridCol w:w="1724"/>
            </w:tblGrid>
            <w:tr>
              <w:trPr>
                <w:trHeight w:hRule="atLeast" w:val="315"/>
              </w:trPr>
              <w:tc>
                <w:tcPr>
                  <w:shd w:val="clear" w:fill="3E5AA8"/>
                  <w:tcMar>
                    <w:left w:type="dxa" w:w="144"/>
                    <w:top w:type="dxa" w:w="72"/>
                    <w:right w:type="dxa" w:w="144"/>
                    <w:bottom w:type="dxa" w:w="72"/>
                  </w:tcMar>
                  <w:tcW w:type="pct" w:w="1087"/>
                  <w:vAlign w:val="center"/>
                  <w:tcBorders>
                    <w:left w:val="single" w:sz="8" w:space="0" w:color="FFFFFF"/>
                    <w:top w:val="single" w:sz="8" w:space="0" w:color="FFFFFF"/>
                    <w:right w:val="single" w:sz="8" w:space="0" w:color="FFFFFF"/>
                    <w:bottom w:val="single" w:sz="24" w:space="0" w:color="FFFFFF"/>
                  </w:tcBorders>
                </w:tcPr>
                <w:p>
                  <w:pPr>
                    <w:rPr>
                      <w:color w:val="FFFFFF"/>
                      <w:rFonts w:cs="Arial"/>
                    </w:rPr>
                    <w:spacing w:after="0" w:lineRule="auto" w:line="240"/>
                  </w:pPr>
                  <w:r>
                    <w:rPr>
                      <w:b w:val="1"/>
                      <w:bCs w:val="1"/>
                      <w:color w:val="FFFFFF"/>
                      <w:rFonts w:cs="Arial"/>
                    </w:rPr>
                    <w:t>Backwards Read volume fails ITC</w:t>
                  </w:r>
                </w:p>
              </w:tc>
              <w:tc>
                <w:tcPr>
                  <w:shd w:val="clear" w:fill="3E5AA8"/>
                  <w:tcMar>
                    <w:left w:type="dxa" w:w="144"/>
                    <w:top w:type="dxa" w:w="72"/>
                    <w:right w:type="dxa" w:w="144"/>
                    <w:bottom w:type="dxa" w:w="72"/>
                  </w:tcMar>
                  <w:tcW w:type="pct" w:w="1115"/>
                  <w:vAlign w:val="center"/>
                  <w:tcBorders>
                    <w:left w:val="single" w:sz="8" w:space="0" w:color="FFFFFF"/>
                    <w:top w:val="single" w:sz="8" w:space="0" w:color="FFFFFF"/>
                    <w:right w:val="single" w:sz="8" w:space="0" w:color="FFFFFF"/>
                    <w:bottom w:val="single" w:sz="24" w:space="0" w:color="FFFFFF"/>
                  </w:tcBorders>
                </w:tcPr>
                <w:p>
                  <w:pPr>
                    <w:rPr>
                      <w:b w:val="1"/>
                      <w:bCs w:val="1"/>
                      <w:color w:val="FFFFFF"/>
                      <w:rFonts w:cs="Arial"/>
                    </w:rPr>
                    <w:spacing w:after="0" w:lineRule="auto" w:line="240"/>
                  </w:pPr>
                  <w:r>
                    <w:rPr>
                      <w:b w:val="1"/>
                      <w:bCs w:val="1"/>
                      <w:color w:val="FFFFFF"/>
                      <w:rFonts w:cs="Arial"/>
                    </w:rPr>
                    <w:t>Forwards Read volume fails ITC</w:t>
                  </w:r>
                </w:p>
              </w:tc>
              <w:tc>
                <w:tcPr>
                  <w:shd w:val="clear" w:fill="3E5AA8"/>
                  <w:tcMar>
                    <w:left w:type="dxa" w:w="144"/>
                    <w:top w:type="dxa" w:w="72"/>
                    <w:right w:type="dxa" w:w="144"/>
                    <w:bottom w:type="dxa" w:w="72"/>
                  </w:tcMar>
                  <w:tcW w:type="pct" w:w="902"/>
                  <w:vAlign w:val="center"/>
                  <w:tcBorders>
                    <w:left w:val="single" w:sz="8" w:space="0" w:color="FFFFFF"/>
                    <w:top w:val="single" w:sz="8" w:space="0" w:color="FFFFFF"/>
                    <w:right w:val="single" w:sz="8" w:space="0" w:color="FFFFFF"/>
                    <w:bottom w:val="single" w:sz="24" w:space="0" w:color="FFFFFF"/>
                  </w:tcBorders>
                </w:tcPr>
                <w:p>
                  <w:pPr>
                    <w:rPr>
                      <w:b w:val="1"/>
                      <w:bCs w:val="1"/>
                      <w:color w:val="FFFFFF"/>
                      <w:rFonts w:cs="Arial"/>
                    </w:rPr>
                    <w:spacing w:after="0" w:lineRule="auto" w:line="240"/>
                  </w:pPr>
                  <w:r>
                    <w:rPr>
                      <w:b w:val="1"/>
                      <w:bCs w:val="1"/>
                      <w:color w:val="FFFFFF"/>
                      <w:rFonts w:cs="Arial"/>
                    </w:rPr>
                    <w:t>Override</w:t>
                  </w:r>
                  <w:r>
                    <w:rPr>
                      <w:b w:val="1"/>
                      <w:bCs w:val="1"/>
                      <w:color w:val="FFFFFF"/>
                      <w:rFonts w:cs="Arial"/>
                    </w:rPr>
                    <w:t xml:space="preserve"> </w:t>
                  </w:r>
                  <w:r>
                    <w:rPr>
                      <w:b w:val="1"/>
                      <w:bCs w:val="1"/>
                      <w:color w:val="FFFFFF"/>
                      <w:rFonts w:cs="Arial"/>
                    </w:rPr>
                    <w:t>Flag Provided</w:t>
                  </w:r>
                </w:p>
              </w:tc>
              <w:tc>
                <w:tcPr>
                  <w:shd w:val="clear" w:fill="3E5AA8"/>
                  <w:tcMar>
                    <w:left w:type="dxa" w:w="144"/>
                    <w:top w:type="dxa" w:w="72"/>
                    <w:right w:type="dxa" w:w="144"/>
                    <w:bottom w:type="dxa" w:w="72"/>
                  </w:tcMar>
                  <w:tcW w:type="pct" w:w="902"/>
                  <w:vAlign w:val="center"/>
                  <w:tcBorders>
                    <w:left w:val="single" w:sz="8" w:space="0" w:color="FFFFFF"/>
                    <w:top w:val="single" w:sz="8" w:space="0" w:color="FFFFFF"/>
                    <w:right w:val="single" w:sz="8" w:space="0" w:color="FFFFFF"/>
                    <w:bottom w:val="single" w:sz="24" w:space="0" w:color="FFFFFF"/>
                  </w:tcBorders>
                </w:tcPr>
                <w:p>
                  <w:pPr>
                    <w:rPr>
                      <w:b w:val="1"/>
                      <w:bCs w:val="1"/>
                      <w:color w:val="FFFFFF"/>
                      <w:rFonts w:cs="Arial"/>
                    </w:rPr>
                    <w:spacing w:after="0" w:lineRule="auto" w:line="240"/>
                  </w:pPr>
                  <w:r>
                    <w:rPr>
                      <w:b w:val="1"/>
                      <w:bCs w:val="1"/>
                      <w:color w:val="FFFFFF"/>
                      <w:rFonts w:cs="Arial"/>
                    </w:rPr>
                    <w:t xml:space="preserve">Override </w:t>
                  </w:r>
                  <w:r>
                    <w:rPr>
                      <w:b w:val="1"/>
                      <w:bCs w:val="1"/>
                      <w:color w:val="FFFFFF"/>
                      <w:rFonts w:cs="Arial"/>
                    </w:rPr>
                    <w:t>Flag</w:t>
                  </w:r>
                  <w:r>
                    <w:rPr>
                      <w:b w:val="1"/>
                      <w:bCs w:val="1"/>
                      <w:color w:val="FFFFFF"/>
                      <w:rFonts w:cs="Arial"/>
                    </w:rPr>
                    <w:t xml:space="preserve"> Validation</w:t>
                  </w:r>
                  <w:r>
                    <w:rPr>
                      <w:b w:val="1"/>
                      <w:bCs w:val="1"/>
                      <w:color w:val="FFFFFF"/>
                      <w:rFonts w:cs="Arial"/>
                    </w:rPr>
                    <w:t xml:space="preserve"> </w:t>
                  </w:r>
                </w:p>
              </w:tc>
              <w:tc>
                <w:tcPr>
                  <w:shd w:val="clear" w:fill="3E5AA8"/>
                  <w:tcMar>
                    <w:left w:type="dxa" w:w="144"/>
                    <w:top w:type="dxa" w:w="72"/>
                    <w:right w:type="dxa" w:w="144"/>
                    <w:bottom w:type="dxa" w:w="72"/>
                  </w:tcMar>
                  <w:tcW w:type="pct" w:w="993"/>
                  <w:vAlign w:val="center"/>
                  <w:tcBorders>
                    <w:left w:val="single" w:sz="8" w:space="0" w:color="FFFFFF"/>
                    <w:top w:val="single" w:sz="8" w:space="0" w:color="FFFFFF"/>
                    <w:right w:val="single" w:sz="8" w:space="0" w:color="FFFFFF"/>
                    <w:bottom w:val="single" w:sz="24" w:space="0" w:color="FFFFFF"/>
                  </w:tcBorders>
                </w:tcPr>
                <w:p>
                  <w:pPr>
                    <w:rPr>
                      <w:b w:val="1"/>
                      <w:bCs w:val="1"/>
                      <w:color w:val="FFFFFF"/>
                      <w:rFonts w:cs="Arial"/>
                    </w:rPr>
                    <w:spacing w:after="0" w:lineRule="auto" w:line="240"/>
                  </w:pPr>
                  <w:r>
                    <w:rPr>
                      <w:b w:val="1"/>
                      <w:bCs w:val="1"/>
                      <w:color w:val="FFFFFF"/>
                      <w:rFonts w:cs="Arial"/>
                    </w:rPr>
                    <w:t>Rejection Code</w:t>
                  </w:r>
                </w:p>
              </w:tc>
            </w:tr>
            <w:tr>
              <w:trPr>
                <w:trHeight w:hRule="atLeast" w:val="315"/>
              </w:trPr>
              <w:tc>
                <w:tcPr>
                  <w:shd w:val="clear" w:fill="CED1E1"/>
                  <w:tcMar>
                    <w:left w:type="dxa" w:w="144"/>
                    <w:top w:type="dxa" w:w="72"/>
                    <w:right w:type="dxa" w:w="144"/>
                    <w:bottom w:type="dxa" w:w="72"/>
                  </w:tcMar>
                  <w:tcW w:type="pct" w:w="1087"/>
                  <w:vAlign w:val="center"/>
                  <w:tcBorders>
                    <w:left w:val="single" w:sz="8" w:space="0" w:color="FFFFFF"/>
                    <w:top w:val="single" w:sz="24" w:space="0" w:color="FFFFFF"/>
                    <w:right w:val="single" w:sz="8" w:space="0" w:color="FFFFFF"/>
                    <w:bottom w:val="single" w:sz="8" w:space="0" w:color="FFFFFF"/>
                  </w:tcBorders>
                </w:tcPr>
                <w:p>
                  <w:pPr>
                    <w:rPr>
                      <w:rFonts w:cs="Arial"/>
                    </w:rPr>
                    <w:spacing w:after="0" w:lineRule="auto" w:line="240"/>
                  </w:pPr>
                  <w:r>
                    <w:rPr>
                      <w:rFonts w:cs="Arial"/>
                    </w:rPr>
                    <w:t>Yes</w:t>
                  </w:r>
                </w:p>
              </w:tc>
              <w:tc>
                <w:tcPr>
                  <w:shd w:val="clear" w:fill="CED1E1"/>
                  <w:tcMar>
                    <w:left w:type="dxa" w:w="144"/>
                    <w:top w:type="dxa" w:w="72"/>
                    <w:right w:type="dxa" w:w="144"/>
                    <w:bottom w:type="dxa" w:w="72"/>
                  </w:tcMar>
                  <w:tcW w:type="pct" w:w="1115"/>
                  <w:vAlign w:val="center"/>
                  <w:tcBorders>
                    <w:left w:val="single" w:sz="8" w:space="0" w:color="FFFFFF"/>
                    <w:top w:val="single" w:sz="24" w:space="0" w:color="FFFFFF"/>
                    <w:right w:val="single" w:sz="8" w:space="0" w:color="FFFFFF"/>
                    <w:bottom w:val="single" w:sz="8" w:space="0" w:color="FFFFFF"/>
                  </w:tcBorders>
                </w:tcPr>
                <w:p>
                  <w:pPr>
                    <w:rPr>
                      <w:rFonts w:cs="Arial"/>
                    </w:rPr>
                    <w:spacing w:after="0" w:lineRule="auto" w:line="240"/>
                  </w:pPr>
                  <w:r>
                    <w:rPr>
                      <w:rFonts w:cs="Arial"/>
                    </w:rPr>
                    <w:t>Yes</w:t>
                  </w:r>
                </w:p>
              </w:tc>
              <w:tc>
                <w:tcPr>
                  <w:shd w:val="clear" w:fill="CED1E1"/>
                  <w:tcMar>
                    <w:left w:type="dxa" w:w="144"/>
                    <w:top w:type="dxa" w:w="72"/>
                    <w:right w:type="dxa" w:w="144"/>
                    <w:bottom w:type="dxa" w:w="72"/>
                  </w:tcMar>
                  <w:tcW w:type="pct" w:w="902"/>
                  <w:vAlign w:val="center"/>
                  <w:tcBorders>
                    <w:left w:val="single" w:sz="8" w:space="0" w:color="FFFFFF"/>
                    <w:top w:val="single" w:sz="24" w:space="0" w:color="FFFFFF"/>
                    <w:right w:val="single" w:sz="8" w:space="0" w:color="FFFFFF"/>
                    <w:bottom w:val="single" w:sz="8" w:space="0" w:color="FFFFFF"/>
                  </w:tcBorders>
                </w:tcPr>
                <w:p>
                  <w:pPr>
                    <w:rPr>
                      <w:rFonts w:cs="Arial"/>
                    </w:rPr>
                    <w:spacing w:after="0" w:lineRule="auto" w:line="240"/>
                  </w:pPr>
                  <w:r>
                    <w:rPr>
                      <w:rFonts w:cs="Arial"/>
                    </w:rPr>
                    <w:t>Yes</w:t>
                  </w:r>
                </w:p>
              </w:tc>
              <w:tc>
                <w:tcPr>
                  <w:shd w:val="clear" w:fill="CED1E1"/>
                  <w:tcMar>
                    <w:left w:type="dxa" w:w="144"/>
                    <w:top w:type="dxa" w:w="72"/>
                    <w:right w:type="dxa" w:w="144"/>
                    <w:bottom w:type="dxa" w:w="72"/>
                  </w:tcMar>
                  <w:tcW w:type="pct" w:w="902"/>
                  <w:vAlign w:val="center"/>
                  <w:tcBorders>
                    <w:left w:val="single" w:sz="8" w:space="0" w:color="FFFFFF"/>
                    <w:top w:val="single" w:sz="24" w:space="0" w:color="FFFFFF"/>
                    <w:right w:val="single" w:sz="8" w:space="0" w:color="FFFFFF"/>
                    <w:bottom w:val="single" w:sz="8" w:space="0" w:color="FFFFFF"/>
                  </w:tcBorders>
                </w:tcPr>
                <w:p>
                  <w:pPr>
                    <w:rPr>
                      <w:rFonts w:cs="Arial"/>
                    </w:rPr>
                    <w:spacing w:after="0" w:lineRule="auto" w:line="240"/>
                  </w:pPr>
                  <w:r>
                    <w:rPr>
                      <w:rFonts w:cs="Arial"/>
                    </w:rPr>
                    <w:t>Pass</w:t>
                  </w:r>
                </w:p>
              </w:tc>
              <w:tc>
                <w:tcPr>
                  <w:shd w:val="clear" w:fill="CED1E1"/>
                  <w:tcMar>
                    <w:left w:type="dxa" w:w="144"/>
                    <w:top w:type="dxa" w:w="72"/>
                    <w:right w:type="dxa" w:w="144"/>
                    <w:bottom w:type="dxa" w:w="72"/>
                  </w:tcMar>
                  <w:tcW w:type="pct" w:w="993"/>
                  <w:vAlign w:val="center"/>
                  <w:tcBorders>
                    <w:left w:val="single" w:sz="8" w:space="0" w:color="FFFFFF"/>
                    <w:top w:val="single" w:sz="24" w:space="0" w:color="FFFFFF"/>
                    <w:right w:val="single" w:sz="8" w:space="0" w:color="FFFFFF"/>
                    <w:bottom w:val="single" w:sz="8" w:space="0" w:color="FFFFFF"/>
                  </w:tcBorders>
                </w:tcPr>
                <w:p>
                  <w:pPr>
                    <w:rPr>
                      <w:rFonts w:cs="Arial"/>
                    </w:rPr>
                    <w:spacing w:after="0" w:lineRule="auto" w:line="240"/>
                  </w:pPr>
                  <w:r>
                    <w:rPr>
                      <w:rFonts w:cs="Arial"/>
                    </w:rPr>
                    <w:t>N/A</w:t>
                  </w:r>
                </w:p>
              </w:tc>
            </w:tr>
            <w:tr>
              <w:trPr>
                <w:trHeight w:hRule="atLeast" w:val="315"/>
              </w:trPr>
              <w:tc>
                <w:tcPr>
                  <w:shd w:val="clear" w:fill="E8EAF1"/>
                  <w:tcMar>
                    <w:left w:type="dxa" w:w="144"/>
                    <w:top w:type="dxa" w:w="72"/>
                    <w:right w:type="dxa" w:w="144"/>
                    <w:bottom w:type="dxa" w:w="72"/>
                  </w:tcMar>
                  <w:tcW w:type="pct" w:w="1087"/>
                  <w:vAlign w:val="center"/>
                  <w:tcBorders>
                    <w:left w:val="single" w:sz="8" w:space="0" w:color="FFFFFF"/>
                    <w:top w:val="single" w:sz="8" w:space="0" w:color="FFFFFF"/>
                    <w:right w:val="single" w:sz="8" w:space="0" w:color="FFFFFF"/>
                    <w:bottom w:val="single" w:sz="8" w:space="0" w:color="FFFFFF"/>
                  </w:tcBorders>
                </w:tcPr>
                <w:p>
                  <w:pPr>
                    <w:rPr>
                      <w:color w:val="00B050"/>
                      <w:rFonts w:cs="Arial"/>
                    </w:rPr>
                    <w:spacing w:after="0" w:lineRule="auto" w:line="240"/>
                  </w:pPr>
                  <w:r>
                    <w:rPr>
                      <w:b w:val="1"/>
                      <w:bCs w:val="1"/>
                      <w:color w:val="00B050"/>
                      <w:rFonts w:cs="Arial"/>
                    </w:rPr>
                    <w:t>Yes</w:t>
                  </w:r>
                </w:p>
              </w:tc>
              <w:tc>
                <w:tcPr>
                  <w:shd w:val="clear" w:fill="E8EAF1"/>
                  <w:tcMar>
                    <w:left w:type="dxa" w:w="144"/>
                    <w:top w:type="dxa" w:w="72"/>
                    <w:right w:type="dxa" w:w="144"/>
                    <w:bottom w:type="dxa" w:w="72"/>
                  </w:tcMar>
                  <w:tcW w:type="pct" w:w="1115"/>
                  <w:vAlign w:val="center"/>
                  <w:tcBorders>
                    <w:left w:val="single" w:sz="8" w:space="0" w:color="FFFFFF"/>
                    <w:top w:val="single" w:sz="8" w:space="0" w:color="FFFFFF"/>
                    <w:right w:val="single" w:sz="8" w:space="0" w:color="FFFFFF"/>
                    <w:bottom w:val="single" w:sz="8" w:space="0" w:color="FFFFFF"/>
                  </w:tcBorders>
                </w:tcPr>
                <w:p>
                  <w:pPr>
                    <w:rPr>
                      <w:color w:val="00B050"/>
                      <w:rFonts w:cs="Arial"/>
                    </w:rPr>
                    <w:spacing w:after="0" w:lineRule="auto" w:line="240"/>
                  </w:pPr>
                  <w:r>
                    <w:rPr>
                      <w:b w:val="1"/>
                      <w:bCs w:val="1"/>
                      <w:color w:val="00B050"/>
                      <w:rFonts w:cs="Arial"/>
                    </w:rPr>
                    <w:t>No</w:t>
                  </w:r>
                </w:p>
              </w:tc>
              <w:tc>
                <w:tcPr>
                  <w:shd w:val="clear" w:fill="E8EAF1"/>
                  <w:tcMar>
                    <w:left w:type="dxa" w:w="144"/>
                    <w:top w:type="dxa" w:w="72"/>
                    <w:right w:type="dxa" w:w="144"/>
                    <w:bottom w:type="dxa" w:w="72"/>
                  </w:tcMar>
                  <w:tcW w:type="pct" w:w="902"/>
                  <w:vAlign w:val="center"/>
                  <w:tcBorders>
                    <w:left w:val="single" w:sz="8" w:space="0" w:color="FFFFFF"/>
                    <w:top w:val="single" w:sz="8" w:space="0" w:color="FFFFFF"/>
                    <w:right w:val="single" w:sz="8" w:space="0" w:color="FFFFFF"/>
                    <w:bottom w:val="single" w:sz="8" w:space="0" w:color="FFFFFF"/>
                  </w:tcBorders>
                </w:tcPr>
                <w:p>
                  <w:pPr>
                    <w:rPr>
                      <w:color w:val="00B050"/>
                      <w:rFonts w:cs="Arial"/>
                    </w:rPr>
                    <w:spacing w:after="0" w:lineRule="auto" w:line="240"/>
                  </w:pPr>
                  <w:r>
                    <w:rPr>
                      <w:b w:val="1"/>
                      <w:bCs w:val="1"/>
                      <w:color w:val="00B050"/>
                      <w:rFonts w:cs="Arial"/>
                    </w:rPr>
                    <w:t>Yes</w:t>
                  </w:r>
                </w:p>
              </w:tc>
              <w:tc>
                <w:tcPr>
                  <w:shd w:val="clear" w:fill="E8EAF1"/>
                  <w:tcMar>
                    <w:left w:type="dxa" w:w="144"/>
                    <w:top w:type="dxa" w:w="72"/>
                    <w:right w:type="dxa" w:w="144"/>
                    <w:bottom w:type="dxa" w:w="72"/>
                  </w:tcMar>
                  <w:tcW w:type="pct" w:w="902"/>
                  <w:vAlign w:val="center"/>
                  <w:tcBorders>
                    <w:left w:val="single" w:sz="8" w:space="0" w:color="FFFFFF"/>
                    <w:top w:val="single" w:sz="8" w:space="0" w:color="FFFFFF"/>
                    <w:right w:val="single" w:sz="8" w:space="0" w:color="FFFFFF"/>
                    <w:bottom w:val="single" w:sz="8" w:space="0" w:color="FFFFFF"/>
                  </w:tcBorders>
                </w:tcPr>
                <w:p>
                  <w:pPr>
                    <w:rPr>
                      <w:color w:val="00B050"/>
                      <w:rFonts w:cs="Arial"/>
                    </w:rPr>
                    <w:spacing w:after="0" w:lineRule="auto" w:line="240"/>
                  </w:pPr>
                  <w:r>
                    <w:rPr>
                      <w:b w:val="1"/>
                      <w:bCs w:val="1"/>
                      <w:color w:val="00B050"/>
                      <w:rFonts w:cs="Arial"/>
                    </w:rPr>
                    <w:t>Pass</w:t>
                  </w:r>
                </w:p>
              </w:tc>
              <w:tc>
                <w:tcPr>
                  <w:shd w:val="clear" w:fill="E8EAF1"/>
                  <w:tcMar>
                    <w:left w:type="dxa" w:w="144"/>
                    <w:top w:type="dxa" w:w="72"/>
                    <w:right w:type="dxa" w:w="144"/>
                    <w:bottom w:type="dxa" w:w="72"/>
                  </w:tcMar>
                  <w:tcW w:type="pct" w:w="993"/>
                  <w:vAlign w:val="center"/>
                  <w:tcBorders>
                    <w:left w:val="single" w:sz="8" w:space="0" w:color="FFFFFF"/>
                    <w:top w:val="single" w:sz="8" w:space="0" w:color="FFFFFF"/>
                    <w:right w:val="single" w:sz="8" w:space="0" w:color="FFFFFF"/>
                    <w:bottom w:val="single" w:sz="8" w:space="0" w:color="FFFFFF"/>
                  </w:tcBorders>
                </w:tcPr>
                <w:p>
                  <w:pPr>
                    <w:rPr>
                      <w:color w:val="00B050"/>
                      <w:rFonts w:cs="Arial"/>
                    </w:rPr>
                    <w:spacing w:after="0" w:lineRule="auto" w:line="240"/>
                  </w:pPr>
                  <w:r>
                    <w:rPr>
                      <w:b w:val="1"/>
                      <w:bCs w:val="1"/>
                      <w:color w:val="00B050"/>
                      <w:rFonts w:cs="Arial"/>
                    </w:rPr>
                    <w:t>N/A</w:t>
                  </w:r>
                </w:p>
              </w:tc>
            </w:tr>
            <w:tr>
              <w:trPr>
                <w:trHeight w:hRule="atLeast" w:val="315"/>
              </w:trPr>
              <w:tc>
                <w:tcPr>
                  <w:shd w:val="clear" w:fill="CED1E1"/>
                  <w:tcMar>
                    <w:left w:type="dxa" w:w="144"/>
                    <w:top w:type="dxa" w:w="72"/>
                    <w:right w:type="dxa" w:w="144"/>
                    <w:bottom w:type="dxa" w:w="72"/>
                  </w:tcMar>
                  <w:tcW w:type="pct" w:w="1087"/>
                  <w:vAlign w:val="center"/>
                  <w:tcBorders>
                    <w:left w:val="single" w:sz="8" w:space="0" w:color="FFFFFF"/>
                    <w:top w:val="single" w:sz="8" w:space="0" w:color="FFFFFF"/>
                    <w:right w:val="single" w:sz="8" w:space="0" w:color="FFFFFF"/>
                    <w:bottom w:val="single" w:sz="8" w:space="0" w:color="FFFFFF"/>
                  </w:tcBorders>
                </w:tcPr>
                <w:p>
                  <w:pPr>
                    <w:rPr>
                      <w:color w:val="00B050"/>
                      <w:rFonts w:cs="Arial"/>
                    </w:rPr>
                    <w:spacing w:after="0" w:lineRule="auto" w:line="240"/>
                  </w:pPr>
                  <w:r>
                    <w:rPr>
                      <w:b w:val="1"/>
                      <w:bCs w:val="1"/>
                      <w:color w:val="00B050"/>
                      <w:rFonts w:cs="Arial"/>
                    </w:rPr>
                    <w:t>No</w:t>
                  </w:r>
                </w:p>
              </w:tc>
              <w:tc>
                <w:tcPr>
                  <w:shd w:val="clear" w:fill="CED1E1"/>
                  <w:tcMar>
                    <w:left w:type="dxa" w:w="144"/>
                    <w:top w:type="dxa" w:w="72"/>
                    <w:right w:type="dxa" w:w="144"/>
                    <w:bottom w:type="dxa" w:w="72"/>
                  </w:tcMar>
                  <w:tcW w:type="pct" w:w="1115"/>
                  <w:vAlign w:val="center"/>
                  <w:tcBorders>
                    <w:left w:val="single" w:sz="8" w:space="0" w:color="FFFFFF"/>
                    <w:top w:val="single" w:sz="8" w:space="0" w:color="FFFFFF"/>
                    <w:right w:val="single" w:sz="8" w:space="0" w:color="FFFFFF"/>
                    <w:bottom w:val="single" w:sz="8" w:space="0" w:color="FFFFFF"/>
                  </w:tcBorders>
                </w:tcPr>
                <w:p>
                  <w:pPr>
                    <w:rPr>
                      <w:color w:val="00B050"/>
                      <w:rFonts w:cs="Arial"/>
                    </w:rPr>
                    <w:spacing w:after="0" w:lineRule="auto" w:line="240"/>
                  </w:pPr>
                  <w:r>
                    <w:rPr>
                      <w:b w:val="1"/>
                      <w:bCs w:val="1"/>
                      <w:color w:val="00B050"/>
                      <w:rFonts w:cs="Arial"/>
                    </w:rPr>
                    <w:t>Yes</w:t>
                  </w:r>
                </w:p>
              </w:tc>
              <w:tc>
                <w:tcPr>
                  <w:shd w:val="clear" w:fill="CED1E1"/>
                  <w:tcMar>
                    <w:left w:type="dxa" w:w="144"/>
                    <w:top w:type="dxa" w:w="72"/>
                    <w:right w:type="dxa" w:w="144"/>
                    <w:bottom w:type="dxa" w:w="72"/>
                  </w:tcMar>
                  <w:tcW w:type="pct" w:w="902"/>
                  <w:vAlign w:val="center"/>
                  <w:tcBorders>
                    <w:left w:val="single" w:sz="8" w:space="0" w:color="FFFFFF"/>
                    <w:top w:val="single" w:sz="8" w:space="0" w:color="FFFFFF"/>
                    <w:right w:val="single" w:sz="8" w:space="0" w:color="FFFFFF"/>
                    <w:bottom w:val="single" w:sz="8" w:space="0" w:color="FFFFFF"/>
                  </w:tcBorders>
                </w:tcPr>
                <w:p>
                  <w:pPr>
                    <w:rPr>
                      <w:color w:val="00B050"/>
                      <w:rFonts w:cs="Arial"/>
                    </w:rPr>
                    <w:spacing w:after="0" w:lineRule="auto" w:line="240"/>
                  </w:pPr>
                  <w:r>
                    <w:rPr>
                      <w:b w:val="1"/>
                      <w:bCs w:val="1"/>
                      <w:color w:val="00B050"/>
                      <w:rFonts w:cs="Arial"/>
                    </w:rPr>
                    <w:t>Yes</w:t>
                  </w:r>
                </w:p>
              </w:tc>
              <w:tc>
                <w:tcPr>
                  <w:shd w:val="clear" w:fill="CED1E1"/>
                  <w:tcMar>
                    <w:left w:type="dxa" w:w="144"/>
                    <w:top w:type="dxa" w:w="72"/>
                    <w:right w:type="dxa" w:w="144"/>
                    <w:bottom w:type="dxa" w:w="72"/>
                  </w:tcMar>
                  <w:tcW w:type="pct" w:w="902"/>
                  <w:vAlign w:val="center"/>
                  <w:tcBorders>
                    <w:left w:val="single" w:sz="8" w:space="0" w:color="FFFFFF"/>
                    <w:top w:val="single" w:sz="8" w:space="0" w:color="FFFFFF"/>
                    <w:right w:val="single" w:sz="8" w:space="0" w:color="FFFFFF"/>
                    <w:bottom w:val="single" w:sz="8" w:space="0" w:color="FFFFFF"/>
                  </w:tcBorders>
                </w:tcPr>
                <w:p>
                  <w:pPr>
                    <w:rPr>
                      <w:color w:val="00B050"/>
                      <w:rFonts w:cs="Arial"/>
                    </w:rPr>
                    <w:spacing w:after="0" w:lineRule="auto" w:line="240"/>
                  </w:pPr>
                  <w:r>
                    <w:rPr>
                      <w:b w:val="1"/>
                      <w:bCs w:val="1"/>
                      <w:color w:val="00B050"/>
                      <w:rFonts w:cs="Arial"/>
                    </w:rPr>
                    <w:t>Pass</w:t>
                  </w:r>
                </w:p>
              </w:tc>
              <w:tc>
                <w:tcPr>
                  <w:shd w:val="clear" w:fill="CED1E1"/>
                  <w:tcMar>
                    <w:left w:type="dxa" w:w="144"/>
                    <w:top w:type="dxa" w:w="72"/>
                    <w:right w:type="dxa" w:w="144"/>
                    <w:bottom w:type="dxa" w:w="72"/>
                  </w:tcMar>
                  <w:tcW w:type="pct" w:w="993"/>
                  <w:vAlign w:val="center"/>
                  <w:tcBorders>
                    <w:left w:val="single" w:sz="8" w:space="0" w:color="FFFFFF"/>
                    <w:top w:val="single" w:sz="8" w:space="0" w:color="FFFFFF"/>
                    <w:right w:val="single" w:sz="8" w:space="0" w:color="FFFFFF"/>
                    <w:bottom w:val="single" w:sz="8" w:space="0" w:color="FFFFFF"/>
                  </w:tcBorders>
                </w:tcPr>
                <w:p>
                  <w:pPr>
                    <w:rPr>
                      <w:color w:val="00B050"/>
                      <w:rFonts w:cs="Arial"/>
                    </w:rPr>
                    <w:spacing w:after="0" w:lineRule="auto" w:line="240"/>
                  </w:pPr>
                  <w:r>
                    <w:rPr>
                      <w:b w:val="1"/>
                      <w:bCs w:val="1"/>
                      <w:color w:val="00B050"/>
                      <w:rFonts w:cs="Arial"/>
                    </w:rPr>
                    <w:t>N/A</w:t>
                  </w:r>
                </w:p>
              </w:tc>
            </w:tr>
            <w:tr>
              <w:trPr>
                <w:trHeight w:hRule="atLeast" w:val="315"/>
              </w:trPr>
              <w:tc>
                <w:tcPr>
                  <w:shd w:val="clear" w:fill="E8EAF1"/>
                  <w:tcMar>
                    <w:left w:type="dxa" w:w="144"/>
                    <w:top w:type="dxa" w:w="72"/>
                    <w:right w:type="dxa" w:w="144"/>
                    <w:bottom w:type="dxa" w:w="72"/>
                  </w:tcMar>
                  <w:tcW w:type="pct" w:w="1087"/>
                  <w:vAlign w:val="center"/>
                  <w:tcBorders>
                    <w:left w:val="single" w:sz="8" w:space="0" w:color="FFFFFF"/>
                    <w:top w:val="single" w:sz="8" w:space="0" w:color="FFFFFF"/>
                    <w:right w:val="single" w:sz="8" w:space="0" w:color="FFFFFF"/>
                    <w:bottom w:val="single" w:sz="8" w:space="0" w:color="FFFFFF"/>
                  </w:tcBorders>
                </w:tcPr>
                <w:p>
                  <w:pPr>
                    <w:rPr>
                      <w:rFonts w:cs="Arial"/>
                    </w:rPr>
                    <w:spacing w:after="0" w:lineRule="auto" w:line="240"/>
                  </w:pPr>
                  <w:r>
                    <w:rPr>
                      <w:rFonts w:cs="Arial"/>
                    </w:rPr>
                    <w:t>No</w:t>
                  </w:r>
                </w:p>
              </w:tc>
              <w:tc>
                <w:tcPr>
                  <w:shd w:val="clear" w:fill="E8EAF1"/>
                  <w:tcMar>
                    <w:left w:type="dxa" w:w="144"/>
                    <w:top w:type="dxa" w:w="72"/>
                    <w:right w:type="dxa" w:w="144"/>
                    <w:bottom w:type="dxa" w:w="72"/>
                  </w:tcMar>
                  <w:tcW w:type="pct" w:w="1115"/>
                  <w:vAlign w:val="center"/>
                  <w:tcBorders>
                    <w:left w:val="single" w:sz="8" w:space="0" w:color="FFFFFF"/>
                    <w:top w:val="single" w:sz="8" w:space="0" w:color="FFFFFF"/>
                    <w:right w:val="single" w:sz="8" w:space="0" w:color="FFFFFF"/>
                    <w:bottom w:val="single" w:sz="8" w:space="0" w:color="FFFFFF"/>
                  </w:tcBorders>
                </w:tcPr>
                <w:p>
                  <w:pPr>
                    <w:rPr>
                      <w:rFonts w:cs="Arial"/>
                    </w:rPr>
                    <w:spacing w:after="0" w:lineRule="auto" w:line="240"/>
                  </w:pPr>
                  <w:r>
                    <w:rPr>
                      <w:rFonts w:cs="Arial"/>
                    </w:rPr>
                    <w:t>No</w:t>
                  </w:r>
                </w:p>
              </w:tc>
              <w:tc>
                <w:tcPr>
                  <w:shd w:val="clear" w:fill="E8EAF1"/>
                  <w:tcMar>
                    <w:left w:type="dxa" w:w="144"/>
                    <w:top w:type="dxa" w:w="72"/>
                    <w:right w:type="dxa" w:w="144"/>
                    <w:bottom w:type="dxa" w:w="72"/>
                  </w:tcMar>
                  <w:tcW w:type="pct" w:w="902"/>
                  <w:vAlign w:val="center"/>
                  <w:tcBorders>
                    <w:left w:val="single" w:sz="8" w:space="0" w:color="FFFFFF"/>
                    <w:top w:val="single" w:sz="8" w:space="0" w:color="FFFFFF"/>
                    <w:right w:val="single" w:sz="8" w:space="0" w:color="FFFFFF"/>
                    <w:bottom w:val="single" w:sz="8" w:space="0" w:color="FFFFFF"/>
                  </w:tcBorders>
                </w:tcPr>
                <w:p>
                  <w:pPr>
                    <w:rPr>
                      <w:rFonts w:cs="Arial"/>
                    </w:rPr>
                    <w:spacing w:after="0" w:lineRule="auto" w:line="240"/>
                  </w:pPr>
                  <w:r>
                    <w:rPr>
                      <w:rFonts w:cs="Arial"/>
                    </w:rPr>
                    <w:t>Yes</w:t>
                  </w:r>
                </w:p>
              </w:tc>
              <w:tc>
                <w:tcPr>
                  <w:shd w:val="clear" w:fill="E8EAF1"/>
                  <w:tcMar>
                    <w:left w:type="dxa" w:w="144"/>
                    <w:top w:type="dxa" w:w="72"/>
                    <w:right w:type="dxa" w:w="144"/>
                    <w:bottom w:type="dxa" w:w="72"/>
                  </w:tcMar>
                  <w:tcW w:type="pct" w:w="902"/>
                  <w:vAlign w:val="center"/>
                  <w:tcBorders>
                    <w:left w:val="single" w:sz="8" w:space="0" w:color="FFFFFF"/>
                    <w:top w:val="single" w:sz="8" w:space="0" w:color="FFFFFF"/>
                    <w:right w:val="single" w:sz="8" w:space="0" w:color="FFFFFF"/>
                    <w:bottom w:val="single" w:sz="8" w:space="0" w:color="FFFFFF"/>
                  </w:tcBorders>
                </w:tcPr>
                <w:p>
                  <w:pPr>
                    <w:rPr>
                      <w:rFonts w:cs="Arial"/>
                    </w:rPr>
                    <w:spacing w:after="0" w:lineRule="auto" w:line="240"/>
                  </w:pPr>
                  <w:r>
                    <w:rPr>
                      <w:rFonts w:cs="Arial"/>
                    </w:rPr>
                    <w:t>Fail</w:t>
                  </w:r>
                </w:p>
              </w:tc>
              <w:tc>
                <w:tcPr>
                  <w:shd w:val="clear" w:fill="E8EAF1"/>
                  <w:tcMar>
                    <w:left w:type="dxa" w:w="144"/>
                    <w:top w:type="dxa" w:w="72"/>
                    <w:right w:type="dxa" w:w="144"/>
                    <w:bottom w:type="dxa" w:w="72"/>
                  </w:tcMar>
                  <w:tcW w:type="pct" w:w="993"/>
                  <w:vAlign w:val="center"/>
                  <w:tcBorders>
                    <w:left w:val="single" w:sz="8" w:space="0" w:color="FFFFFF"/>
                    <w:top w:val="single" w:sz="8" w:space="0" w:color="FFFFFF"/>
                    <w:right w:val="single" w:sz="8" w:space="0" w:color="FFFFFF"/>
                    <w:bottom w:val="single" w:sz="8" w:space="0" w:color="FFFFFF"/>
                  </w:tcBorders>
                </w:tcPr>
                <w:p>
                  <w:pPr>
                    <w:rPr>
                      <w:rFonts w:cs="Arial"/>
                    </w:rPr>
                    <w:spacing w:after="0" w:lineRule="auto" w:line="240"/>
                  </w:pPr>
                  <w:r>
                    <w:rPr>
                      <w:rFonts w:cs="Arial"/>
                    </w:rPr>
                    <w:t xml:space="preserve">MRE01030 </w:t>
                  </w:r>
                </w:p>
              </w:tc>
            </w:tr>
            <w:tr>
              <w:trPr>
                <w:trHeight w:hRule="atLeast" w:val="315"/>
              </w:trPr>
              <w:tc>
                <w:tcPr>
                  <w:shd w:val="clear" w:fill="CED1E1"/>
                  <w:tcMar>
                    <w:left w:type="dxa" w:w="144"/>
                    <w:top w:type="dxa" w:w="72"/>
                    <w:right w:type="dxa" w:w="144"/>
                    <w:bottom w:type="dxa" w:w="72"/>
                  </w:tcMar>
                  <w:tcW w:type="pct" w:w="1087"/>
                  <w:vAlign w:val="center"/>
                  <w:tcBorders>
                    <w:left w:val="single" w:sz="8" w:space="0" w:color="FFFFFF"/>
                    <w:top w:val="single" w:sz="8" w:space="0" w:color="FFFFFF"/>
                    <w:right w:val="single" w:sz="8" w:space="0" w:color="FFFFFF"/>
                    <w:bottom w:val="single" w:sz="8" w:space="0" w:color="FFFFFF"/>
                  </w:tcBorders>
                </w:tcPr>
                <w:p>
                  <w:pPr>
                    <w:rPr>
                      <w:rFonts w:cs="Arial"/>
                    </w:rPr>
                    <w:spacing w:after="0" w:lineRule="auto" w:line="240"/>
                  </w:pPr>
                  <w:r>
                    <w:rPr>
                      <w:rFonts w:cs="Arial"/>
                    </w:rPr>
                    <w:t>Yes</w:t>
                  </w:r>
                </w:p>
              </w:tc>
              <w:tc>
                <w:tcPr>
                  <w:shd w:val="clear" w:fill="CED1E1"/>
                  <w:tcMar>
                    <w:left w:type="dxa" w:w="144"/>
                    <w:top w:type="dxa" w:w="72"/>
                    <w:right w:type="dxa" w:w="144"/>
                    <w:bottom w:type="dxa" w:w="72"/>
                  </w:tcMar>
                  <w:tcW w:type="pct" w:w="1115"/>
                  <w:vAlign w:val="center"/>
                  <w:tcBorders>
                    <w:left w:val="single" w:sz="8" w:space="0" w:color="FFFFFF"/>
                    <w:top w:val="single" w:sz="8" w:space="0" w:color="FFFFFF"/>
                    <w:right w:val="single" w:sz="8" w:space="0" w:color="FFFFFF"/>
                    <w:bottom w:val="single" w:sz="8" w:space="0" w:color="FFFFFF"/>
                  </w:tcBorders>
                </w:tcPr>
                <w:p>
                  <w:pPr>
                    <w:rPr>
                      <w:rFonts w:cs="Arial"/>
                    </w:rPr>
                    <w:spacing w:after="0" w:lineRule="auto" w:line="240"/>
                  </w:pPr>
                  <w:r>
                    <w:rPr>
                      <w:rFonts w:cs="Arial"/>
                    </w:rPr>
                    <w:t>Yes</w:t>
                  </w:r>
                </w:p>
              </w:tc>
              <w:tc>
                <w:tcPr>
                  <w:shd w:val="clear" w:fill="CED1E1"/>
                  <w:tcMar>
                    <w:left w:type="dxa" w:w="144"/>
                    <w:top w:type="dxa" w:w="72"/>
                    <w:right w:type="dxa" w:w="144"/>
                    <w:bottom w:type="dxa" w:w="72"/>
                  </w:tcMar>
                  <w:tcW w:type="pct" w:w="902"/>
                  <w:vAlign w:val="center"/>
                  <w:tcBorders>
                    <w:left w:val="single" w:sz="8" w:space="0" w:color="FFFFFF"/>
                    <w:top w:val="single" w:sz="8" w:space="0" w:color="FFFFFF"/>
                    <w:right w:val="single" w:sz="8" w:space="0" w:color="FFFFFF"/>
                    <w:bottom w:val="single" w:sz="8" w:space="0" w:color="FFFFFF"/>
                  </w:tcBorders>
                </w:tcPr>
                <w:p>
                  <w:pPr>
                    <w:rPr>
                      <w:rFonts w:cs="Arial"/>
                    </w:rPr>
                    <w:spacing w:after="0" w:lineRule="auto" w:line="240"/>
                  </w:pPr>
                  <w:r>
                    <w:rPr>
                      <w:rFonts w:cs="Arial"/>
                    </w:rPr>
                    <w:t>No</w:t>
                  </w:r>
                </w:p>
              </w:tc>
              <w:tc>
                <w:tcPr>
                  <w:shd w:val="clear" w:fill="CED1E1"/>
                  <w:tcMar>
                    <w:left w:type="dxa" w:w="144"/>
                    <w:top w:type="dxa" w:w="72"/>
                    <w:right w:type="dxa" w:w="144"/>
                    <w:bottom w:type="dxa" w:w="72"/>
                  </w:tcMar>
                  <w:tcW w:type="pct" w:w="902"/>
                  <w:vAlign w:val="center"/>
                  <w:tcBorders>
                    <w:left w:val="single" w:sz="8" w:space="0" w:color="FFFFFF"/>
                    <w:top w:val="single" w:sz="8" w:space="0" w:color="FFFFFF"/>
                    <w:right w:val="single" w:sz="8" w:space="0" w:color="FFFFFF"/>
                    <w:bottom w:val="single" w:sz="8" w:space="0" w:color="FFFFFF"/>
                  </w:tcBorders>
                </w:tcPr>
                <w:p>
                  <w:pPr>
                    <w:rPr>
                      <w:rFonts w:cs="Arial"/>
                    </w:rPr>
                    <w:spacing w:after="0" w:lineRule="auto" w:line="240"/>
                  </w:pPr>
                  <w:r>
                    <w:rPr>
                      <w:rFonts w:cs="Arial"/>
                    </w:rPr>
                    <w:t>Fail</w:t>
                  </w:r>
                </w:p>
              </w:tc>
              <w:tc>
                <w:tcPr>
                  <w:shd w:val="clear" w:fill="CED1E1"/>
                  <w:tcMar>
                    <w:left w:type="dxa" w:w="144"/>
                    <w:top w:type="dxa" w:w="72"/>
                    <w:right w:type="dxa" w:w="144"/>
                    <w:bottom w:type="dxa" w:w="72"/>
                  </w:tcMar>
                  <w:tcW w:type="pct" w:w="993"/>
                  <w:vAlign w:val="center"/>
                  <w:tcBorders>
                    <w:left w:val="single" w:sz="8" w:space="0" w:color="FFFFFF"/>
                    <w:top w:val="single" w:sz="8" w:space="0" w:color="FFFFFF"/>
                    <w:right w:val="single" w:sz="8" w:space="0" w:color="FFFFFF"/>
                    <w:bottom w:val="single" w:sz="8" w:space="0" w:color="FFFFFF"/>
                  </w:tcBorders>
                </w:tcPr>
                <w:p>
                  <w:pPr>
                    <w:rPr>
                      <w:rFonts w:cs="Arial"/>
                    </w:rPr>
                    <w:spacing w:after="0" w:lineRule="auto" w:line="240"/>
                  </w:pPr>
                  <w:r>
                    <w:rPr>
                      <w:rFonts w:cs="Arial"/>
                    </w:rPr>
                    <w:t xml:space="preserve">MRE01029 </w:t>
                  </w:r>
                </w:p>
              </w:tc>
            </w:tr>
            <w:tr>
              <w:trPr>
                <w:trHeight w:hRule="atLeast" w:val="315"/>
              </w:trPr>
              <w:tc>
                <w:tcPr>
                  <w:shd w:val="clear" w:fill="E8EAF1"/>
                  <w:tcMar>
                    <w:left w:type="dxa" w:w="144"/>
                    <w:top w:type="dxa" w:w="72"/>
                    <w:right w:type="dxa" w:w="144"/>
                    <w:bottom w:type="dxa" w:w="72"/>
                  </w:tcMar>
                  <w:tcW w:type="pct" w:w="1087"/>
                  <w:vAlign w:val="center"/>
                  <w:tcBorders>
                    <w:left w:val="single" w:sz="8" w:space="0" w:color="FFFFFF"/>
                    <w:top w:val="single" w:sz="8" w:space="0" w:color="FFFFFF"/>
                    <w:right w:val="single" w:sz="8" w:space="0" w:color="FFFFFF"/>
                    <w:bottom w:val="single" w:sz="8" w:space="0" w:color="FFFFFF"/>
                  </w:tcBorders>
                </w:tcPr>
                <w:p>
                  <w:pPr>
                    <w:rPr>
                      <w:rFonts w:cs="Arial"/>
                    </w:rPr>
                    <w:spacing w:after="0" w:lineRule="auto" w:line="240"/>
                  </w:pPr>
                  <w:r>
                    <w:rPr>
                      <w:rFonts w:cs="Arial"/>
                    </w:rPr>
                    <w:t>Yes</w:t>
                  </w:r>
                </w:p>
              </w:tc>
              <w:tc>
                <w:tcPr>
                  <w:shd w:val="clear" w:fill="E8EAF1"/>
                  <w:tcMar>
                    <w:left w:type="dxa" w:w="144"/>
                    <w:top w:type="dxa" w:w="72"/>
                    <w:right w:type="dxa" w:w="144"/>
                    <w:bottom w:type="dxa" w:w="72"/>
                  </w:tcMar>
                  <w:tcW w:type="pct" w:w="1115"/>
                  <w:vAlign w:val="center"/>
                  <w:tcBorders>
                    <w:left w:val="single" w:sz="8" w:space="0" w:color="FFFFFF"/>
                    <w:top w:val="single" w:sz="8" w:space="0" w:color="FFFFFF"/>
                    <w:right w:val="single" w:sz="8" w:space="0" w:color="FFFFFF"/>
                    <w:bottom w:val="single" w:sz="8" w:space="0" w:color="FFFFFF"/>
                  </w:tcBorders>
                </w:tcPr>
                <w:p>
                  <w:pPr>
                    <w:rPr>
                      <w:rFonts w:cs="Arial"/>
                    </w:rPr>
                    <w:spacing w:after="0" w:lineRule="auto" w:line="240"/>
                  </w:pPr>
                  <w:r>
                    <w:rPr>
                      <w:rFonts w:cs="Arial"/>
                    </w:rPr>
                    <w:t>No</w:t>
                  </w:r>
                </w:p>
              </w:tc>
              <w:tc>
                <w:tcPr>
                  <w:shd w:val="clear" w:fill="E8EAF1"/>
                  <w:tcMar>
                    <w:left w:type="dxa" w:w="144"/>
                    <w:top w:type="dxa" w:w="72"/>
                    <w:right w:type="dxa" w:w="144"/>
                    <w:bottom w:type="dxa" w:w="72"/>
                  </w:tcMar>
                  <w:tcW w:type="pct" w:w="902"/>
                  <w:vAlign w:val="center"/>
                  <w:tcBorders>
                    <w:left w:val="single" w:sz="8" w:space="0" w:color="FFFFFF"/>
                    <w:top w:val="single" w:sz="8" w:space="0" w:color="FFFFFF"/>
                    <w:right w:val="single" w:sz="8" w:space="0" w:color="FFFFFF"/>
                    <w:bottom w:val="single" w:sz="8" w:space="0" w:color="FFFFFF"/>
                  </w:tcBorders>
                </w:tcPr>
                <w:p>
                  <w:pPr>
                    <w:rPr>
                      <w:rFonts w:cs="Arial"/>
                    </w:rPr>
                    <w:spacing w:after="0" w:lineRule="auto" w:line="240"/>
                  </w:pPr>
                  <w:r>
                    <w:rPr>
                      <w:rFonts w:cs="Arial"/>
                    </w:rPr>
                    <w:t>No</w:t>
                  </w:r>
                </w:p>
              </w:tc>
              <w:tc>
                <w:tcPr>
                  <w:shd w:val="clear" w:fill="E8EAF1"/>
                  <w:tcMar>
                    <w:left w:type="dxa" w:w="144"/>
                    <w:top w:type="dxa" w:w="72"/>
                    <w:right w:type="dxa" w:w="144"/>
                    <w:bottom w:type="dxa" w:w="72"/>
                  </w:tcMar>
                  <w:tcW w:type="pct" w:w="902"/>
                  <w:vAlign w:val="center"/>
                  <w:tcBorders>
                    <w:left w:val="single" w:sz="8" w:space="0" w:color="FFFFFF"/>
                    <w:top w:val="single" w:sz="8" w:space="0" w:color="FFFFFF"/>
                    <w:right w:val="single" w:sz="8" w:space="0" w:color="FFFFFF"/>
                    <w:bottom w:val="single" w:sz="8" w:space="0" w:color="FFFFFF"/>
                  </w:tcBorders>
                </w:tcPr>
                <w:p>
                  <w:pPr>
                    <w:rPr>
                      <w:rFonts w:cs="Arial"/>
                    </w:rPr>
                    <w:spacing w:after="0" w:lineRule="auto" w:line="240"/>
                  </w:pPr>
                  <w:r>
                    <w:rPr>
                      <w:rFonts w:cs="Arial"/>
                    </w:rPr>
                    <w:t>Fail</w:t>
                  </w:r>
                </w:p>
              </w:tc>
              <w:tc>
                <w:tcPr>
                  <w:shd w:val="clear" w:fill="E8EAF1"/>
                  <w:tcMar>
                    <w:left w:type="dxa" w:w="144"/>
                    <w:top w:type="dxa" w:w="72"/>
                    <w:right w:type="dxa" w:w="144"/>
                    <w:bottom w:type="dxa" w:w="72"/>
                  </w:tcMar>
                  <w:tcW w:type="pct" w:w="993"/>
                  <w:vAlign w:val="center"/>
                  <w:tcBorders>
                    <w:left w:val="single" w:sz="8" w:space="0" w:color="FFFFFF"/>
                    <w:top w:val="single" w:sz="8" w:space="0" w:color="FFFFFF"/>
                    <w:right w:val="single" w:sz="8" w:space="0" w:color="FFFFFF"/>
                    <w:bottom w:val="single" w:sz="8" w:space="0" w:color="FFFFFF"/>
                  </w:tcBorders>
                </w:tcPr>
                <w:p>
                  <w:pPr>
                    <w:rPr>
                      <w:rFonts w:cs="Arial"/>
                    </w:rPr>
                    <w:spacing w:after="0" w:lineRule="auto" w:line="240"/>
                  </w:pPr>
                  <w:r>
                    <w:rPr>
                      <w:rFonts w:cs="Arial"/>
                    </w:rPr>
                    <w:t>MRE01029</w:t>
                  </w:r>
                </w:p>
              </w:tc>
            </w:tr>
            <w:tr>
              <w:trPr>
                <w:trHeight w:hRule="atLeast" w:val="315"/>
              </w:trPr>
              <w:tc>
                <w:tcPr>
                  <w:shd w:val="clear" w:fill="CED1E1"/>
                  <w:tcMar>
                    <w:left w:type="dxa" w:w="144"/>
                    <w:top w:type="dxa" w:w="72"/>
                    <w:right w:type="dxa" w:w="144"/>
                    <w:bottom w:type="dxa" w:w="72"/>
                  </w:tcMar>
                  <w:tcW w:type="pct" w:w="1087"/>
                  <w:vAlign w:val="center"/>
                  <w:tcBorders>
                    <w:left w:val="single" w:sz="8" w:space="0" w:color="FFFFFF"/>
                    <w:top w:val="single" w:sz="8" w:space="0" w:color="FFFFFF"/>
                    <w:right w:val="single" w:sz="8" w:space="0" w:color="FFFFFF"/>
                    <w:bottom w:val="single" w:sz="8" w:space="0" w:color="FFFFFF"/>
                  </w:tcBorders>
                </w:tcPr>
                <w:p>
                  <w:pPr>
                    <w:rPr>
                      <w:rFonts w:cs="Arial"/>
                    </w:rPr>
                    <w:spacing w:after="0" w:lineRule="auto" w:line="240"/>
                  </w:pPr>
                  <w:r>
                    <w:rPr>
                      <w:rFonts w:cs="Arial"/>
                    </w:rPr>
                    <w:t>No</w:t>
                  </w:r>
                </w:p>
              </w:tc>
              <w:tc>
                <w:tcPr>
                  <w:shd w:val="clear" w:fill="CED1E1"/>
                  <w:tcMar>
                    <w:left w:type="dxa" w:w="144"/>
                    <w:top w:type="dxa" w:w="72"/>
                    <w:right w:type="dxa" w:w="144"/>
                    <w:bottom w:type="dxa" w:w="72"/>
                  </w:tcMar>
                  <w:tcW w:type="pct" w:w="1115"/>
                  <w:vAlign w:val="center"/>
                  <w:tcBorders>
                    <w:left w:val="single" w:sz="8" w:space="0" w:color="FFFFFF"/>
                    <w:top w:val="single" w:sz="8" w:space="0" w:color="FFFFFF"/>
                    <w:right w:val="single" w:sz="8" w:space="0" w:color="FFFFFF"/>
                    <w:bottom w:val="single" w:sz="8" w:space="0" w:color="FFFFFF"/>
                  </w:tcBorders>
                </w:tcPr>
                <w:p>
                  <w:pPr>
                    <w:rPr>
                      <w:rFonts w:cs="Arial"/>
                    </w:rPr>
                    <w:spacing w:after="0" w:lineRule="auto" w:line="240"/>
                  </w:pPr>
                  <w:r>
                    <w:rPr>
                      <w:rFonts w:cs="Arial"/>
                    </w:rPr>
                    <w:t>Yes</w:t>
                  </w:r>
                </w:p>
              </w:tc>
              <w:tc>
                <w:tcPr>
                  <w:shd w:val="clear" w:fill="CED1E1"/>
                  <w:tcMar>
                    <w:left w:type="dxa" w:w="144"/>
                    <w:top w:type="dxa" w:w="72"/>
                    <w:right w:type="dxa" w:w="144"/>
                    <w:bottom w:type="dxa" w:w="72"/>
                  </w:tcMar>
                  <w:tcW w:type="pct" w:w="902"/>
                  <w:vAlign w:val="center"/>
                  <w:tcBorders>
                    <w:left w:val="single" w:sz="8" w:space="0" w:color="FFFFFF"/>
                    <w:top w:val="single" w:sz="8" w:space="0" w:color="FFFFFF"/>
                    <w:right w:val="single" w:sz="8" w:space="0" w:color="FFFFFF"/>
                    <w:bottom w:val="single" w:sz="8" w:space="0" w:color="FFFFFF"/>
                  </w:tcBorders>
                </w:tcPr>
                <w:p>
                  <w:pPr>
                    <w:rPr>
                      <w:rFonts w:cs="Arial"/>
                    </w:rPr>
                    <w:spacing w:after="0" w:lineRule="auto" w:line="240"/>
                  </w:pPr>
                  <w:r>
                    <w:rPr>
                      <w:rFonts w:cs="Arial"/>
                    </w:rPr>
                    <w:t>No</w:t>
                  </w:r>
                </w:p>
              </w:tc>
              <w:tc>
                <w:tcPr>
                  <w:shd w:val="clear" w:fill="CED1E1"/>
                  <w:tcMar>
                    <w:left w:type="dxa" w:w="144"/>
                    <w:top w:type="dxa" w:w="72"/>
                    <w:right w:type="dxa" w:w="144"/>
                    <w:bottom w:type="dxa" w:w="72"/>
                  </w:tcMar>
                  <w:tcW w:type="pct" w:w="902"/>
                  <w:vAlign w:val="center"/>
                  <w:tcBorders>
                    <w:left w:val="single" w:sz="8" w:space="0" w:color="FFFFFF"/>
                    <w:top w:val="single" w:sz="8" w:space="0" w:color="FFFFFF"/>
                    <w:right w:val="single" w:sz="8" w:space="0" w:color="FFFFFF"/>
                    <w:bottom w:val="single" w:sz="8" w:space="0" w:color="FFFFFF"/>
                  </w:tcBorders>
                </w:tcPr>
                <w:p>
                  <w:pPr>
                    <w:rPr>
                      <w:rFonts w:cs="Arial"/>
                    </w:rPr>
                    <w:spacing w:after="0" w:lineRule="auto" w:line="240"/>
                  </w:pPr>
                  <w:r>
                    <w:rPr>
                      <w:rFonts w:cs="Arial"/>
                    </w:rPr>
                    <w:t>Fail</w:t>
                  </w:r>
                </w:p>
              </w:tc>
              <w:tc>
                <w:tcPr>
                  <w:shd w:val="clear" w:fill="CED1E1"/>
                  <w:tcMar>
                    <w:left w:type="dxa" w:w="144"/>
                    <w:top w:type="dxa" w:w="72"/>
                    <w:right w:type="dxa" w:w="144"/>
                    <w:bottom w:type="dxa" w:w="72"/>
                  </w:tcMar>
                  <w:tcW w:type="pct" w:w="993"/>
                  <w:vAlign w:val="center"/>
                  <w:tcBorders>
                    <w:left w:val="single" w:sz="8" w:space="0" w:color="FFFFFF"/>
                    <w:top w:val="single" w:sz="8" w:space="0" w:color="FFFFFF"/>
                    <w:right w:val="single" w:sz="8" w:space="0" w:color="FFFFFF"/>
                    <w:bottom w:val="single" w:sz="8" w:space="0" w:color="FFFFFF"/>
                  </w:tcBorders>
                </w:tcPr>
                <w:p>
                  <w:pPr>
                    <w:rPr>
                      <w:rFonts w:cs="Arial"/>
                    </w:rPr>
                    <w:spacing w:after="0" w:lineRule="auto" w:line="240"/>
                  </w:pPr>
                  <w:r>
                    <w:rPr>
                      <w:rFonts w:cs="Arial"/>
                    </w:rPr>
                    <w:t>MRE01029</w:t>
                  </w:r>
                </w:p>
              </w:tc>
            </w:tr>
          </w:tbl>
          <w:p>
            <w:pPr>
              <w:rPr>
                <w:rFonts w:cs="Arial"/>
                <w:sz w:val="18"/>
                <w:szCs w:val="18"/>
              </w:rPr>
            </w:pPr>
          </w:p>
          <w:tbl>
            <w:tblPr>
              <w:tblStyle w:val="Table Grid"/>
              <w:tblW w:type="dxa" w:w="8770"/>
              <w:tblLook w:firstColumn="1" w:firstRow="1" w:lastColumn="0" w:lastRow="0" w:noHBand="0" w:noVBand="1"/>
            </w:tblPr>
            <w:tblGrid>
              <w:gridCol w:w="1485"/>
              <w:gridCol w:w="7285"/>
            </w:tblGrid>
            <w:tr>
              <w:trPr>
                <w:trHeight w:hRule="atLeast" w:val="368"/>
              </w:trPr>
              <w:tc>
                <w:tcPr>
                  <w:tcW w:type="dxa" w:w="1485"/>
                  <w:vAlign w:val="center"/>
                </w:tcPr>
                <w:p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Rejection Code</w:t>
                  </w:r>
                </w:p>
              </w:tc>
              <w:tc>
                <w:tcPr>
                  <w:tcW w:type="dxa" w:w="7285"/>
                  <w:vAlign w:val="center"/>
                </w:tcPr>
                <w:p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Rejection Reason</w:t>
                  </w:r>
                </w:p>
              </w:tc>
            </w:tr>
            <w:tr>
              <w:trPr>
                <w:trHeight w:hRule="atLeast" w:val="395"/>
              </w:trPr>
              <w:tc>
                <w:tcPr>
                  <w:tcW w:type="dxa" w:w="1485"/>
                  <w:vAlign w:val="center"/>
                </w:tcPr>
                <w:p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MRE01030</w:t>
                  </w:r>
                </w:p>
              </w:tc>
              <w:tc>
                <w:tcPr>
                  <w:tcW w:type="dxa" w:w="7285"/>
                  <w:vAlign w:val="center"/>
                </w:tcPr>
                <w:p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Override tolerance passed and override flag provided</w:t>
                  </w:r>
                </w:p>
              </w:tc>
            </w:tr>
            <w:tr>
              <w:trPr>
                <w:trHeight w:hRule="atLeast" w:val="368"/>
              </w:trPr>
              <w:tc>
                <w:tcPr>
                  <w:tcW w:type="dxa" w:w="1485"/>
                  <w:vAlign w:val="center"/>
                </w:tcPr>
                <w:p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MRE01029</w:t>
                  </w:r>
                </w:p>
              </w:tc>
              <w:tc>
                <w:tcPr>
                  <w:tcW w:type="dxa" w:w="7285"/>
                  <w:vAlign w:val="center"/>
                </w:tcPr>
                <w:p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Reading breached the upper Inner tolerance value and no override flag provided</w:t>
                  </w:r>
                </w:p>
              </w:tc>
            </w:tr>
          </w:tbl>
          <w:p>
            <w:pPr>
              <w:rPr>
                <w:sz w:val="18"/>
                <w:szCs w:val="18"/>
              </w:rPr>
            </w:pPr>
          </w:p>
          <w:p>
            <w:pPr>
              <w:rPr>
                <w:rFonts w:cs="Arial"/>
              </w:rPr>
              <w:jc w:val="both"/>
            </w:pPr>
            <w:r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 xml:space="preserve">change will apply to all reads which are validated </w:t>
            </w:r>
            <w:r>
              <w:rPr>
                <w:rFonts w:cs="Arial"/>
              </w:rPr>
              <w:t xml:space="preserve">using </w:t>
            </w:r>
            <w:r>
              <w:rPr>
                <w:rFonts w:cs="Arial"/>
              </w:rPr>
              <w:t xml:space="preserve">the ITC </w:t>
            </w:r>
            <w:r>
              <w:rPr>
                <w:rFonts w:cs="Arial"/>
              </w:rPr>
              <w:t>against previous and subsequent reads</w:t>
            </w:r>
            <w:r>
              <w:rPr>
                <w:rFonts w:cs="Arial"/>
              </w:rPr>
              <w:t>. This</w:t>
            </w:r>
            <w:r>
              <w:rPr>
                <w:rFonts w:cs="Arial"/>
              </w:rPr>
              <w:t xml:space="preserve"> includ</w:t>
            </w:r>
            <w:r>
              <w:rPr>
                <w:rFonts w:cs="Arial"/>
              </w:rPr>
              <w:t>es</w:t>
            </w:r>
            <w:r>
              <w:rPr>
                <w:rFonts w:cs="Arial"/>
              </w:rPr>
              <w:t>:</w:t>
            </w:r>
          </w:p>
          <w:p>
            <w:pPr>
              <w:rPr>
                <w:rFonts w:cs="Arial"/>
              </w:rPr>
              <w:numPr>
                <w:ilvl w:val="0"/>
                <w:numId w:val="1"/>
              </w:numPr>
            </w:pPr>
            <w:r>
              <w:rPr>
                <w:rFonts w:cs="Arial"/>
              </w:rPr>
              <w:t>Class 1 read validation (DLC file)</w:t>
            </w:r>
          </w:p>
          <w:p>
            <w:pPr>
              <w:rPr>
                <w:rFonts w:cs="Arial"/>
              </w:rPr>
              <w:numPr>
                <w:ilvl w:val="0"/>
                <w:numId w:val="1"/>
              </w:numPr>
            </w:pPr>
            <w:r>
              <w:rPr>
                <w:rFonts w:cs="Arial"/>
              </w:rPr>
              <w:t>Class 2 read validation (UDR file)</w:t>
            </w:r>
          </w:p>
          <w:p>
            <w:pPr>
              <w:rPr>
                <w:rFonts w:cs="Arial"/>
              </w:rPr>
              <w:numPr>
                <w:ilvl w:val="0"/>
                <w:numId w:val="1"/>
              </w:numPr>
            </w:pPr>
            <w:r>
              <w:rPr>
                <w:rFonts w:cs="Arial"/>
              </w:rPr>
              <w:t>Class 3 read validation (UBR file)</w:t>
            </w:r>
          </w:p>
          <w:p>
            <w:pPr>
              <w:rPr>
                <w:rFonts w:cs="Arial"/>
              </w:rPr>
              <w:numPr>
                <w:ilvl w:val="0"/>
                <w:numId w:val="1"/>
              </w:numPr>
            </w:pPr>
            <w:r>
              <w:rPr>
                <w:rFonts w:cs="Arial"/>
              </w:rPr>
              <w:t>Class 4 read validation (UMR file)</w:t>
            </w:r>
          </w:p>
          <w:p>
            <w:pPr>
              <w:rPr>
                <w:rFonts w:cs="Arial"/>
              </w:rPr>
              <w:numPr>
                <w:ilvl w:val="0"/>
                <w:numId w:val="1"/>
              </w:numPr>
            </w:pPr>
            <w:r>
              <w:rPr>
                <w:rFonts w:cs="Arial"/>
              </w:rPr>
              <w:t xml:space="preserve">Site </w:t>
            </w:r>
            <w:r>
              <w:rPr>
                <w:rFonts w:cs="Arial"/>
              </w:rPr>
              <w:t>V</w:t>
            </w:r>
            <w:r>
              <w:rPr>
                <w:rFonts w:cs="Arial"/>
              </w:rPr>
              <w:t xml:space="preserve">isit reads </w:t>
            </w:r>
            <w:r>
              <w:rPr>
                <w:rFonts w:cs="Arial"/>
              </w:rPr>
              <w:t xml:space="preserve">submitted </w:t>
            </w:r>
            <w:r>
              <w:rPr>
                <w:rFonts w:cs="Arial"/>
              </w:rPr>
              <w:t xml:space="preserve">via DN Portal for Class 1(DMSP) &amp; </w:t>
            </w:r>
            <w:r>
              <w:rPr>
                <w:rFonts w:cs="Arial"/>
              </w:rPr>
              <w:t xml:space="preserve">Class </w:t>
            </w:r>
            <w:r>
              <w:rPr>
                <w:rFonts w:cs="Arial"/>
              </w:rPr>
              <w:t>2 (Shipper)</w:t>
            </w:r>
            <w:r>
              <w:rPr>
                <w:rFonts w:cs="Arial"/>
              </w:rPr>
              <w:t xml:space="preserve"> Supply Meter Points</w:t>
            </w:r>
          </w:p>
          <w:p>
            <w:pPr>
              <w:rPr>
                <w:rFonts w:cs="Arial"/>
              </w:rPr>
              <w:numPr>
                <w:ilvl w:val="0"/>
                <w:numId w:val="1"/>
              </w:numPr>
            </w:pPr>
            <w:r>
              <w:rPr>
                <w:rFonts w:cs="Arial"/>
              </w:rPr>
              <w:t>Must Reads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received</w:t>
            </w:r>
            <w:r>
              <w:rPr>
                <w:rFonts w:cs="Arial"/>
              </w:rPr>
              <w:t xml:space="preserve"> via CMS</w:t>
            </w:r>
          </w:p>
          <w:p>
            <w:pPr>
              <w:rPr>
                <w:rFonts w:cs="Arial"/>
              </w:rPr>
              <w:ind w:left="720"/>
            </w:pPr>
          </w:p>
          <w:p>
            <w:pPr>
              <w:rPr>
                <w:rFonts w:cs="Arial"/>
              </w:rPr>
              <w:jc w:val="both"/>
            </w:pPr>
            <w:r>
              <w:rPr>
                <w:rFonts w:cs="Arial"/>
              </w:rPr>
              <w:t>It should be</w:t>
            </w:r>
            <w:r>
              <w:rPr>
                <w:rFonts w:cs="Arial"/>
              </w:rPr>
              <w:t xml:space="preserve"> note</w:t>
            </w:r>
            <w:r>
              <w:rPr>
                <w:rFonts w:cs="Arial"/>
              </w:rPr>
              <w:t>d that</w:t>
            </w:r>
            <w:r>
              <w:rPr>
                <w:rFonts w:cs="Arial"/>
              </w:rPr>
              <w:t xml:space="preserve"> in the solution change pack</w:t>
            </w:r>
            <w:r>
              <w:rPr>
                <w:rFonts w:cs="Arial"/>
              </w:rPr>
              <w:t xml:space="preserve"> it stated</w:t>
            </w:r>
            <w:r>
              <w:rPr>
                <w:rFonts w:cs="Arial"/>
              </w:rPr>
              <w:t xml:space="preserve"> that</w:t>
            </w:r>
            <w:r>
              <w:rPr>
                <w:rFonts w:cs="Arial"/>
              </w:rPr>
              <w:t xml:space="preserve"> the following </w:t>
            </w:r>
            <w:r>
              <w:rPr>
                <w:rFonts w:cs="Arial"/>
              </w:rPr>
              <w:t xml:space="preserve">items </w:t>
            </w:r>
            <w:r>
              <w:rPr>
                <w:rFonts w:cs="Arial"/>
              </w:rPr>
              <w:t>were also considered to be impacted</w:t>
            </w:r>
            <w:r>
              <w:rPr>
                <w:rFonts w:cs="Arial"/>
              </w:rPr>
              <w:t xml:space="preserve">. However, following further review, and </w:t>
            </w:r>
            <w:r>
              <w:rPr>
                <w:rFonts w:cs="Arial"/>
              </w:rPr>
              <w:t>in line with the detail provided, no changes are required:</w:t>
            </w:r>
          </w:p>
          <w:p>
            <w:pPr>
              <w:rPr>
                <w:rFonts w:cs="Arial"/>
              </w:rPr>
              <w:numPr>
                <w:ilvl w:val="0"/>
                <w:numId w:val="1"/>
              </w:numPr>
              <w:pStyle w:val="List Paragraph"/>
              <w:jc w:val="both"/>
            </w:pPr>
            <w:r>
              <w:rPr>
                <w:rFonts w:cs="Arial"/>
              </w:rPr>
              <w:t>S</w:t>
            </w:r>
            <w:r>
              <w:rPr>
                <w:rFonts w:cs="Arial"/>
              </w:rPr>
              <w:t xml:space="preserve">creen </w:t>
            </w:r>
            <w:r>
              <w:rPr>
                <w:rFonts w:cs="Arial"/>
              </w:rPr>
              <w:t>internal to Xoserve</w:t>
            </w:r>
            <w:r>
              <w:rPr>
                <w:rFonts w:cs="Arial"/>
              </w:rPr>
              <w:t xml:space="preserve"> -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No change is required as</w:t>
            </w:r>
            <w:r>
              <w:rPr>
                <w:rFonts w:cs="Arial"/>
              </w:rPr>
              <w:t xml:space="preserve"> it has been found that the</w:t>
            </w:r>
            <w:r>
              <w:rPr>
                <w:rFonts w:cs="Arial"/>
              </w:rPr>
              <w:t>s</w:t>
            </w:r>
            <w:r>
              <w:rPr>
                <w:rFonts w:cs="Arial"/>
              </w:rPr>
              <w:t xml:space="preserve">e screens already perform </w:t>
            </w:r>
            <w:r>
              <w:rPr>
                <w:rFonts w:cs="Arial"/>
              </w:rPr>
              <w:t>inline</w:t>
            </w:r>
            <w:r>
              <w:rPr>
                <w:rFonts w:cs="Arial"/>
              </w:rPr>
              <w:t xml:space="preserve"> with the intended outcome of this change</w:t>
            </w:r>
          </w:p>
          <w:p>
            <w:pPr>
              <w:rPr>
                <w:rFonts w:cs="Arial"/>
              </w:rPr>
              <w:numPr>
                <w:ilvl w:val="0"/>
                <w:numId w:val="1"/>
              </w:numPr>
              <w:pStyle w:val="List Paragraph"/>
            </w:pPr>
            <w:r>
              <w:rPr>
                <w:rFonts w:cs="Arial"/>
              </w:rPr>
              <w:t>Site visit read validation (SFN file)</w:t>
            </w:r>
            <w:r>
              <w:rPr>
                <w:rFonts w:cs="Arial"/>
              </w:rPr>
              <w:t xml:space="preserve"> –</w:t>
            </w:r>
            <w:r>
              <w:rPr>
                <w:rFonts w:cs="Arial"/>
              </w:rPr>
              <w:t xml:space="preserve"> During </w:t>
            </w:r>
            <w:r>
              <w:rPr>
                <w:rFonts w:cs="Arial"/>
              </w:rPr>
              <w:t xml:space="preserve">analysis </w:t>
            </w:r>
            <w:r>
              <w:rPr>
                <w:rFonts w:cs="Arial"/>
              </w:rPr>
              <w:t>it has been found that the</w:t>
            </w:r>
            <w:r>
              <w:rPr>
                <w:rFonts w:cs="Arial"/>
              </w:rPr>
              <w:t xml:space="preserve"> current validation for SFN reads does not consider a forward read. This is to be </w:t>
            </w:r>
            <w:r>
              <w:rPr>
                <w:rFonts w:cs="Arial"/>
              </w:rPr>
              <w:t xml:space="preserve">investigated </w:t>
            </w:r>
            <w:r>
              <w:rPr>
                <w:rFonts w:cs="Arial"/>
              </w:rPr>
              <w:t>independently</w:t>
            </w:r>
            <w:r>
              <w:rPr>
                <w:rFonts w:cs="Arial"/>
              </w:rPr>
              <w:t xml:space="preserve"> to this change</w:t>
            </w:r>
            <w:r>
              <w:rPr>
                <w:rFonts w:cs="Arial"/>
              </w:rPr>
              <w:t xml:space="preserve"> and </w:t>
            </w:r>
            <w:r>
              <w:rPr>
                <w:rFonts w:cs="Arial"/>
              </w:rPr>
              <w:t xml:space="preserve">any </w:t>
            </w:r>
            <w:r>
              <w:rPr>
                <w:rFonts w:cs="Arial"/>
              </w:rPr>
              <w:t>update to the functionality will include alignment to this design</w:t>
            </w:r>
          </w:p>
          <w:p>
            <w:pPr>
              <w:rPr>
                <w:rFonts w:cs="Arial"/>
              </w:rPr>
              <w:numPr>
                <w:ilvl w:val="0"/>
                <w:numId w:val="1"/>
              </w:numPr>
            </w:pPr>
            <w:r>
              <w:rPr>
                <w:rFonts w:cs="Arial"/>
              </w:rPr>
              <w:t xml:space="preserve">AQI file validation for </w:t>
            </w:r>
            <w:r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U01 record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–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An AQ correction, through the </w:t>
            </w:r>
            <w:r>
              <w:rPr>
                <w:rFonts w:cs="Arial"/>
              </w:rPr>
              <w:t>AQI</w:t>
            </w:r>
            <w:r>
              <w:rPr>
                <w:rFonts w:cs="Arial"/>
              </w:rPr>
              <w:t xml:space="preserve"> file</w:t>
            </w:r>
            <w:r>
              <w:rPr>
                <w:rFonts w:cs="Arial"/>
              </w:rPr>
              <w:t xml:space="preserve">, will be rejected where a subsequent read is present. Therefore, the </w:t>
            </w:r>
            <w:r>
              <w:rPr>
                <w:rFonts w:cs="Arial"/>
              </w:rPr>
              <w:t>functionality</w:t>
            </w:r>
            <w:r>
              <w:rPr>
                <w:rFonts w:cs="Arial"/>
              </w:rPr>
              <w:t xml:space="preserve"> in scope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of this change is </w:t>
            </w:r>
            <w:r>
              <w:rPr>
                <w:rFonts w:cs="Arial"/>
              </w:rPr>
              <w:t>not applicable to the</w:t>
            </w:r>
            <w:r>
              <w:rPr>
                <w:rFonts w:cs="Arial"/>
              </w:rPr>
              <w:t xml:space="preserve"> AQ correction</w:t>
            </w:r>
            <w:r>
              <w:rPr>
                <w:rFonts w:cs="Arial"/>
              </w:rPr>
              <w:t xml:space="preserve"> process</w:t>
            </w:r>
          </w:p>
          <w:p>
            <w:pPr>
              <w:rPr>
                <w:rFonts w:cs="Arial"/>
              </w:rPr>
              <w:jc w:val="both"/>
            </w:pPr>
          </w:p>
          <w:p>
            <w:pPr>
              <w:rPr>
                <w:rFonts w:cs="Arial"/>
              </w:rPr>
              <w:jc w:val="both"/>
            </w:pPr>
            <w:r>
              <w:rPr>
                <w:rFonts w:cs="Arial"/>
              </w:rPr>
              <w:t xml:space="preserve">Following implementation of the change system users may resubmit any reads previously rejected due to the </w:t>
            </w:r>
            <w:r>
              <w:rPr>
                <w:rFonts w:cs="Arial"/>
              </w:rPr>
              <w:t>issue defined within the background of this change pack</w:t>
            </w:r>
            <w:r>
              <w:rPr>
                <w:rFonts w:cs="Arial"/>
              </w:rPr>
              <w:t xml:space="preserve"> but should take into consideration </w:t>
            </w:r>
            <w:r>
              <w:rPr>
                <w:rFonts w:cs="Arial"/>
              </w:rPr>
              <w:t xml:space="preserve">any other validations i.e. submission read window for an </w:t>
            </w:r>
            <w:r>
              <w:rPr>
                <w:rFonts w:cs="Arial"/>
              </w:rPr>
              <w:t>inserted</w:t>
            </w:r>
            <w:r>
              <w:rPr>
                <w:rFonts w:cs="Arial"/>
              </w:rPr>
              <w:t xml:space="preserve"> read</w:t>
            </w:r>
            <w:r>
              <w:rPr>
                <w:rFonts w:cs="Arial"/>
              </w:rPr>
              <w:t>. No reads will be automatically reprocessed</w:t>
            </w:r>
            <w:r>
              <w:rPr>
                <w:rFonts w:cs="Arial"/>
              </w:rPr>
              <w:t>,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as part of the change, by the CDSP.</w:t>
            </w:r>
          </w:p>
        </w:tc>
      </w:tr>
    </w:tbl>
    <w:p>
      <w:pPr>
        <w:pStyle w:val="heading 1"/>
      </w:pPr>
      <w:r>
        <w:t>G6: Associated Changes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213"/>
        <w:gridCol w:w="6835"/>
      </w:tblGrid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Associated Change(s) and Title(s):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None</w:t>
            </w:r>
          </w:p>
        </w:tc>
      </w:tr>
    </w:tbl>
    <w:p>
      <w:pPr>
        <w:pStyle w:val="heading 1"/>
      </w:pPr>
      <w:r>
        <w:t>G7: DSG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213"/>
        <w:gridCol w:w="6835"/>
      </w:tblGrid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Target DSG discussion date: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>
              <w:rPr>
                <w:rFonts w:cs="Arial"/>
              </w:rPr>
              <w:t>6</w:t>
            </w:r>
            <w:r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April 2021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Any further information: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To discuss any comments provided from the Detailed Design Change Pack representations</w:t>
            </w:r>
          </w:p>
        </w:tc>
      </w:tr>
    </w:tbl>
    <w:p>
      <w:pPr>
        <w:pStyle w:val="heading 1"/>
      </w:pPr>
      <w:r>
        <w:t>G8: Implementation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213"/>
        <w:gridCol w:w="6835"/>
      </w:tblGrid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Target Release: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November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202</w:t>
            </w:r>
            <w:r>
              <w:rPr>
                <w:rFonts w:cs="Arial"/>
              </w:rPr>
              <w:t>1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Status: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Approved</w:t>
            </w:r>
          </w:p>
        </w:tc>
      </w:tr>
    </w:tbl>
    <w:p>
      <w:pPr/>
    </w:p>
    <w:p>
      <w:pPr/>
      <w:r>
        <w:t xml:space="preserve">Please see the following page for representation comments template; responses to </w:t>
      </w:r>
      <w:hyperlink r:id="R49ea31f84aee4ac4">
        <w:r>
          <w:rPr>
            <w:rStyle w:val="Hyperlink"/>
          </w:rPr>
          <w:t>uklink@xoserve.com</w:t>
        </w:r>
      </w:hyperlink>
      <w:r>
        <w:t xml:space="preserve"> </w:t>
      </w:r>
    </w:p>
    <w:p>
      <w:pPr/>
      <w:r>
        <w:br w:type="page"/>
      </w:r>
    </w:p>
    <w:p>
      <w:pPr>
        <w:pStyle w:val="Title"/>
      </w:pPr>
      <w:r>
        <w:t>Section H: Representation Response</w:t>
      </w:r>
    </w:p>
    <w:p>
      <w:pPr/>
      <w:r>
        <w:br w:type="textWrapping"/>
      </w:r>
      <w:r>
        <w:br w:type="textWrapping"/>
      </w:r>
      <w:r>
        <w:rPr>
          <w:rStyle w:val="Heading 1 Char"/>
        </w:rPr>
        <w:t>H1: Change Representation</w:t>
      </w:r>
      <w:r>
        <w:t xml:space="preserve"> </w:t>
      </w:r>
    </w:p>
    <w:p>
      <w:pPr/>
      <w:r>
        <w:t>(To be completed by User and returned for response)</w:t>
      </w:r>
    </w:p>
    <w:tbl>
      <w:tblPr>
        <w:tblStyle w:val="Table Grid"/>
        <w:tblInd w:type="dxa" w:w="-34"/>
        <w:tblW w:type="pct" w:w="5000"/>
        <w:tblLook w:firstColumn="1" w:firstRow="1" w:lastColumn="0" w:lastRow="0" w:noHBand="0" w:noVBand="1"/>
      </w:tblPr>
      <w:tblGrid>
        <w:gridCol w:w="2205"/>
        <w:gridCol w:w="1654"/>
        <w:gridCol w:w="965"/>
        <w:gridCol w:w="4192"/>
      </w:tblGrid>
      <w:tr>
        <w:trPr>
          <w:trHeight w:hRule="atLeast" w:val="403"/>
        </w:trPr>
        <w:tc>
          <w:tcPr>
            <w:shd w:val="clear" w:fill="BDD7EE"/>
            <w:tcW w:type="pct" w:w="1223"/>
            <w:vAlign w:val="center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vMerge w:val="restart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User Contact Details:</w:t>
            </w:r>
          </w:p>
        </w:tc>
        <w:tc>
          <w:tcPr>
            <w:shd w:val="clear" w:fill="BDD7EE"/>
            <w:tcW w:type="pct" w:w="917"/>
            <w:vAlign w:val="center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Organisation:</w:t>
            </w:r>
          </w:p>
        </w:tc>
        <w:tc>
          <w:tcPr>
            <w:tcW w:type="pct" w:w="2860"/>
            <w:vAlign w:val="center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gridSpan w:val="2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Scottish Power</w:t>
            </w:r>
          </w:p>
        </w:tc>
      </w:tr>
      <w:tr>
        <w:trPr>
          <w:trHeight w:hRule="atLeast" w:val="403"/>
        </w:trPr>
        <w:tc>
          <w:tcPr>
            <w:tcW w:type="auto" w:w="0"/>
            <w:vAlign w:val="center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vMerge w:val="continue"/>
          </w:tcPr>
          <w:p/>
        </w:tc>
        <w:tc>
          <w:tcPr>
            <w:shd w:val="clear" w:fill="BDD7EE"/>
            <w:tcW w:type="pct" w:w="917"/>
            <w:vAlign w:val="center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Name:</w:t>
            </w:r>
          </w:p>
        </w:tc>
        <w:tc>
          <w:tcPr>
            <w:tcW w:type="pct" w:w="2860"/>
            <w:vAlign w:val="center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gridSpan w:val="2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Helen Bevan</w:t>
            </w:r>
          </w:p>
        </w:tc>
      </w:tr>
      <w:tr>
        <w:trPr>
          <w:trHeight w:hRule="atLeast" w:val="403"/>
        </w:trPr>
        <w:tc>
          <w:tcPr>
            <w:tcW w:type="auto" w:w="0"/>
            <w:vAlign w:val="center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vMerge w:val="continue"/>
          </w:tcPr>
          <w:p/>
        </w:tc>
        <w:tc>
          <w:tcPr>
            <w:shd w:val="clear" w:fill="BDD7EE"/>
            <w:tcW w:type="pct" w:w="917"/>
            <w:vAlign w:val="center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Email:</w:t>
            </w:r>
          </w:p>
        </w:tc>
        <w:tc>
          <w:tcPr>
            <w:tcW w:type="pct" w:w="2860"/>
            <w:vAlign w:val="center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gridSpan w:val="2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Helen.Bevan@scottishpower.com</w:t>
            </w:r>
          </w:p>
        </w:tc>
      </w:tr>
      <w:tr>
        <w:trPr>
          <w:trHeight w:hRule="atLeast" w:val="403"/>
        </w:trPr>
        <w:tc>
          <w:tcPr>
            <w:tcW w:type="auto" w:w="0"/>
            <w:vAlign w:val="center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vMerge w:val="continue"/>
          </w:tcPr>
          <w:p/>
        </w:tc>
        <w:tc>
          <w:tcPr>
            <w:shd w:val="clear" w:fill="BDD7EE"/>
            <w:tcW w:type="pct" w:w="917"/>
            <w:vAlign w:val="center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Telephone:</w:t>
            </w:r>
          </w:p>
        </w:tc>
        <w:tc>
          <w:tcPr>
            <w:tcW w:type="pct" w:w="2860"/>
            <w:vAlign w:val="center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gridSpan w:val="2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01416145517</w:t>
            </w:r>
          </w:p>
        </w:tc>
      </w:tr>
      <w:tr>
        <w:trPr>
          <w:trHeight w:hRule="atLeast" w:val="403"/>
        </w:trPr>
        <w:tc>
          <w:tcPr>
            <w:shd w:val="clear" w:fill="BDD7EE"/>
            <w:tcW w:type="pct" w:w="1223"/>
            <w:vAlign w:val="center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Representation Status:</w:t>
            </w:r>
          </w:p>
        </w:tc>
        <w:tc>
          <w:tcPr>
            <w:tcW w:type="pct" w:w="3777"/>
            <w:vAlign w:val="center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gridSpan w:val="3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Approve</w:t>
            </w:r>
          </w:p>
        </w:tc>
      </w:tr>
      <w:tr>
        <w:trPr>
          <w:trHeight w:hRule="atLeast" w:val="403"/>
        </w:trPr>
        <w:tc>
          <w:tcPr>
            <w:shd w:val="clear" w:fill="BDD7EE"/>
            <w:tcW w:type="pct" w:w="1223"/>
            <w:vAlign w:val="center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Representation Publication:</w:t>
            </w:r>
          </w:p>
        </w:tc>
        <w:tc>
          <w:tcPr>
            <w:tcW w:type="pct" w:w="3777"/>
            <w:vAlign w:val="center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gridSpan w:val="3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Publish</w:t>
            </w:r>
          </w:p>
        </w:tc>
      </w:tr>
      <w:tr>
        <w:trPr>
          <w:trHeight w:hRule="atLeast" w:val="403"/>
        </w:trPr>
        <w:tc>
          <w:tcPr>
            <w:shd w:val="clear" w:fill="BDD7EE"/>
            <w:tcW w:type="pct" w:w="1223"/>
            <w:vAlign w:val="center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Confirm Target Release Date?</w:t>
            </w:r>
          </w:p>
        </w:tc>
        <w:tc>
          <w:tcPr>
            <w:tcW w:type="pct" w:w="1452"/>
            <w:vAlign w:val="center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gridSpan w:val="2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Approve</w:t>
            </w:r>
          </w:p>
        </w:tc>
        <w:tc>
          <w:tcPr>
            <w:tcW w:type="pct" w:w="2325"/>
            <w:vAlign w:val="center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 h1_userDataAlternative  \* MERGEFORMAT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«h1_userDataAlternative»</w:t>
            </w:r>
            <w:r>
              <w:rPr>
                <w:rFonts w:cs="Arial"/>
              </w:rPr>
              <w:fldChar w:fldCharType="end"/>
            </w:r>
          </w:p>
        </w:tc>
      </w:tr>
    </w:tbl>
    <w:p>
      <w:pPr/>
    </w:p>
    <w:p>
      <w:pPr>
        <w:pStyle w:val="heading 1"/>
      </w:pPr>
      <w:r>
        <w:t xml:space="preserve">H1: Xoserve’ s Response </w:t>
      </w:r>
    </w:p>
    <w:tbl>
      <w:tblPr>
        <w:tblStyle w:val="Table Grid"/>
        <w:tblInd w:type="dxa" w:w="-34"/>
        <w:tblW w:type="pct" w:w="5000"/>
        <w:tblLook w:firstColumn="1" w:firstRow="1" w:lastColumn="0" w:lastRow="0" w:noHBand="0" w:noVBand="1"/>
      </w:tblPr>
      <w:tblGrid>
        <w:gridCol w:w="2205"/>
        <w:gridCol w:w="6811"/>
      </w:tblGrid>
      <w:tr>
        <w:trPr>
          <w:trHeight w:hRule="atLeast" w:val="663"/>
        </w:trPr>
        <w:tc>
          <w:tcPr>
            <w:shd w:val="clear" w:fill="BDD7EE"/>
            <w:tcW w:type="pct" w:w="1223"/>
            <w:vAlign w:val="center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Xoserve Response to Organisations Comments:</w:t>
            </w:r>
          </w:p>
        </w:tc>
        <w:tc>
          <w:tcPr>
            <w:tcW w:type="pct" w:w="3777"/>
            <w:vAlign w:val="center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Thank you for your representation, we will feed this into ChMC for a final decision.</w:t>
            </w:r>
          </w:p>
        </w:tc>
      </w:tr>
    </w:tbl>
    <w:p>
      <w:pPr/>
    </w:p>
    <w:p>
      <w:pPr/>
      <w:r>
        <w:t xml:space="preserve">Please send the completed representation response to </w:t>
      </w:r>
      <w:hyperlink r:id="Rcb52f6bc723d4ea4">
        <w:r>
          <w:rPr>
            <w:rStyle w:val="Hyperlink"/>
          </w:rPr>
          <w:t>uklink@xoserve.com</w:t>
        </w:r>
      </w:hyperlink>
      <w:r>
        <w:t xml:space="preserve"> </w:t>
      </w:r>
    </w:p>
    <w:p>
      <w:pPr/>
    </w:p>
    <w:p>
      <w:pPr/>
    </w:p>
    <w:p>
      <w:pPr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38" w:orient="portrait" w:w="11906"/>
      <w:pgMar w:bottom="1440" w:footer="708" w:gutter="0" w:header="708" w:left="1440" w:right="1440" w:top="1440"/>
      <w:pgNumType w:fmt="decimal"/>
      <w:cols w:equalWidth="1" w:num="1" w:space="708" w:sep="0"/>
      <w:headerReference w:type="even" r:id="Rc2bd0725f3374d04"/>
      <w:headerReference w:type="default" r:id="Rd335b5ca1cdb4ee2"/>
      <w:footerReference w:type="even" r:id="R8143756faa1c461f"/>
      <w:footerReference w:type="default" r:id="R1ec186c3cb404e3a"/>
      <w:headerReference w:type="first" r:id="Rb4aa6abd02574ed7"/>
      <w:footerReference w:type="first" r:id="R56a722c6a4e74d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1"/>
    <w:family w:val="auto"/>
    <w:notTrueType w:val="off"/>
    <w:pitch w:val="variable"/>
    <w:sig w:usb0="E0002EFF" w:usb1="C0007843" w:usb2="00000009" w:usb3="00000000" w:csb0="400001FF" w:csb1="FFFF0000"/>
    <w:altName w:val="Arial"/>
  </w:font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  <w:font w:name="Tahoma">
    <w:panose1 w:val="020B0604030504040204"/>
    <w:charset w:val="01"/>
    <w:family w:val="auto"/>
    <w:notTrueType w:val="off"/>
    <w:pitch w:val="variable"/>
    <w:sig w:usb0="E1002EFF" w:usb1="C000605B" w:usb2="00000029" w:usb3="00000000" w:csb0="200101FF" w:csb1="20280000"/>
  </w:font>
</w:fonts>
</file>

<file path=word/footer1.xml><?xml version="1.0" encoding="utf-8"?>
<w:ftr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p>
    <w:pPr>
      <w:pStyle w:val="footer"/>
    </w:pPr>
  </w:p>
</w:ftr>
</file>

<file path=word/footer2.xml><?xml version="1.0" encoding="utf-8"?>
<w:ftr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p>
    <w:pPr>
      <w:pStyle w:val="footer"/>
    </w:pPr>
    <w:r>
      <w:t>CP</w:t>
    </w:r>
    <w:r>
      <mc:AlternateContent>
        <mc:Choice Requires="wps">
          <w:drawing>
            <wp:anchor allowOverlap="1" layoutInCell="1" relativeHeight="251658243" locked="0" simplePos="0" distL="114300" distT="0" distR="114300" distB="0" behindDoc="0">
              <wp:simplePos x="0" y="0"/>
              <wp:positionH relativeFrom="column">
                <wp:posOffset>-914400</wp:posOffset>
              </wp:positionH>
              <wp:positionV relativeFrom="paragraph">
                <wp:posOffset>376555</wp:posOffset>
              </wp:positionV>
              <wp:extent cx="7562850" cy="257175"/>
              <wp:effectExtent l="0" t="0" r="0" b="9525"/>
              <wp:wrapNone/>
              <wp:docPr id="8" name="drawingObject8"/>
              <wp:cNvGraphicFramePr/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ext cx="7562850" cy="257175"/>
                      </a:xfrm>
                      <a:prstGeom prst="rect">
                        <a:avLst/>
                      </a:prstGeom>
                      <a:solidFill>
                        <a:srgbClr val="40D1F5"/>
                      </a:solidFill>
                    </wps:spPr>
                    <wps:bodyPr anchor="ctr" horzOverflow="overflow" vertOverflow="overflow" vert="horz" lIns="91440" tIns="45720" rIns="91440" bIns="45720"/>
                  </wps:wsp>
                </a:graphicData>
              </a:graphic>
            </wp:anchor>
          </w:drawing>
        </mc:Choice>
        <mc:Fallback/>
      </mc:AlternateContent>
    </w:r>
  </w:p>
</w:ftr>
</file>

<file path=word/footer3.xml><?xml version="1.0" encoding="utf-8"?>
<w:ftr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p>
    <w:pPr>
      <w:pStyle w:val="footer"/>
    </w:pPr>
  </w:p>
</w:ftr>
</file>

<file path=word/header1.xml><?xml version="1.0" encoding="utf-8"?>
<w:hdr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p>
    <w:pPr>
      <w:pStyle w:val="header"/>
    </w:pPr>
  </w:p>
</w:hdr>
</file>

<file path=word/header2.xml><?xml version="1.0" encoding="utf-8"?>
<w:hdr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p>
    <w:pPr>
      <w:pStyle w:val="header"/>
    </w:pPr>
    <w:r>
      <mc:AlternateContent>
        <mc:Choice Requires="wps">
          <w:drawing>
            <wp:anchor allowOverlap="1" layoutInCell="1" relativeHeight="251658244" locked="0" simplePos="0" distL="114300" distT="0" distR="114300" distB="0" behindDoc="0">
              <wp:simplePos x="0" y="0"/>
              <wp:positionH relativeFrom="column">
                <wp:posOffset>3743325</wp:posOffset>
              </wp:positionH>
              <wp:positionV relativeFrom="paragraph">
                <wp:posOffset>-70485</wp:posOffset>
              </wp:positionV>
              <wp:extent cx="2066926" cy="325750"/>
              <wp:effectExtent l="0" t="0" r="0" b="0"/>
              <wp:wrapNone/>
              <wp:docPr id="5" name="drawingObject5"/>
              <wp:cNvGraphicFramePr>
                <a:graphicFrameLocks noChangeAspect="1"/>
              </wp:cNvGraphicFramePr>
              <a:graphic>
                <a:graphicData uri="http://schemas.openxmlformats.org/drawingml/2006/picture">
                  <pic:pic>
                    <pic:nvPicPr>
                      <pic:cNvPr id="6" name="Picture 6"/>
                      <pic:cNvPicPr/>
                    </pic:nvPicPr>
                    <pic:blipFill>
                      <a:blip r:embed="Re9649c9c0ea94e7e"/>
                      <a:stretch/>
                    </pic:blipFill>
                    <pic:spPr>
                      <a:xfrm rot="0">
                        <a:ext cx="2066926" cy="325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mc:Choice>
        <mc:Fallback/>
      </mc:AlternateContent>
    </w:r>
    <w:r>
      <mc:AlternateContent>
        <mc:Choice Requires="wps">
          <w:drawing>
            <wp:anchor allowOverlap="1" layoutInCell="1" relativeHeight="251658242" locked="0" simplePos="0" distL="114300" distT="0" distR="114300" distB="0" behindDoc="0">
              <wp:simplePos x="0" y="0"/>
              <wp:positionH relativeFrom="column">
                <wp:posOffset>-914400</wp:posOffset>
              </wp:positionH>
              <wp:positionV relativeFrom="paragraph">
                <wp:posOffset>-487681</wp:posOffset>
              </wp:positionV>
              <wp:extent cx="7562850" cy="257175"/>
              <wp:effectExtent l="0" t="0" r="0" b="9525"/>
              <wp:wrapNone/>
              <wp:docPr id="7" name="drawingObject7"/>
              <wp:cNvGraphicFramePr/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ext cx="7562850" cy="257175"/>
                      </a:xfrm>
                      <a:prstGeom prst="rect">
                        <a:avLst/>
                      </a:prstGeom>
                      <a:solidFill>
                        <a:srgbClr val="3E5AA8"/>
                      </a:solidFill>
                    </wps:spPr>
                    <wps:bodyPr anchor="ctr" horzOverflow="overflow" vertOverflow="overflow" vert="horz" lIns="91440" tIns="45720" rIns="91440" bIns="45720"/>
                  </wps:wsp>
                </a:graphicData>
              </a:graphic>
            </wp:anchor>
          </w:drawing>
        </mc:Choice>
        <mc:Fallback/>
      </mc:AlternateContent>
    </w:r>
  </w:p>
</w:hdr>
</file>

<file path=word/header3.xml><?xml version="1.0" encoding="utf-8"?>
<w:hdr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p>
    <w:pPr>
      <w:pStyle w:val="header"/>
    </w:pPr>
  </w:p>
</w:hdr>
</file>

<file path=word/numbering.xml><?xml version="1.0" encoding="utf-8"?>
<w:numbering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>
  <w:abstractNum w:abstractNumId="0">
    <w:styleLink w:val="ListStyle7"/>
    <w:multiLevelType w:val="hybridMultilevel"/>
    <w:name w:val="ListStyle7"/>
    <w:lvl w:ilvl="0">
      <w:numFmt w:val="bullet"/>
      <w:start w:val="1"/>
      <w:lvlText w:val=""/>
      <w:lvlJc w:val="left"/>
      <w:pPr>
        <w:ind w:hanging="360" w:left="780"/>
      </w:pPr>
      <w:rPr>
        <w:rFonts w:ascii="Symbol" w:hAnsi="Symbol"/>
      </w:rPr>
    </w:lvl>
    <w:lvl w:ilvl="1">
      <w:numFmt w:val="bullet"/>
      <w:start w:val="1"/>
      <w:lvlText w:val="o"/>
      <w:lvlJc w:val="left"/>
      <w:pPr>
        <w:ind w:hanging="360" w:left="1500"/>
      </w:pPr>
      <w:rPr>
        <w:rFonts w:ascii="Courier New" w:hAnsi="Courier New" w:cs="Courier New"/>
      </w:rPr>
    </w:lvl>
    <w:lvl w:ilvl="2">
      <w:numFmt w:val="bullet"/>
      <w:start w:val="1"/>
      <w:lvlText w:val=""/>
      <w:lvlJc w:val="left"/>
      <w:pPr>
        <w:ind w:hanging="360" w:left="2220"/>
      </w:pPr>
      <w:rPr>
        <w:rFonts w:ascii="Wingdings" w:hAnsi="Wingdings"/>
      </w:rPr>
    </w:lvl>
    <w:lvl w:ilvl="3">
      <w:numFmt w:val="bullet"/>
      <w:start w:val="1"/>
      <w:lvlText w:val=""/>
      <w:lvlJc w:val="left"/>
      <w:pPr>
        <w:ind w:hanging="360" w:left="2940"/>
      </w:pPr>
      <w:rPr>
        <w:rFonts w:ascii="Symbol" w:hAnsi="Symbol"/>
      </w:rPr>
    </w:lvl>
    <w:lvl w:ilvl="4">
      <w:numFmt w:val="bullet"/>
      <w:start w:val="1"/>
      <w:lvlText w:val="o"/>
      <w:lvlJc w:val="left"/>
      <w:pPr>
        <w:ind w:hanging="360" w:left="3660"/>
      </w:pPr>
      <w:rPr>
        <w:rFonts w:ascii="Courier New" w:hAnsi="Courier New" w:cs="Courier New"/>
      </w:rPr>
    </w:lvl>
    <w:lvl w:ilvl="5">
      <w:numFmt w:val="bullet"/>
      <w:start w:val="1"/>
      <w:lvlText w:val=""/>
      <w:lvlJc w:val="left"/>
      <w:pPr>
        <w:ind w:hanging="360" w:left="4380"/>
      </w:pPr>
      <w:rPr>
        <w:rFonts w:ascii="Wingdings" w:hAnsi="Wingdings"/>
      </w:rPr>
    </w:lvl>
    <w:lvl w:ilvl="6">
      <w:numFmt w:val="bullet"/>
      <w:start w:val="1"/>
      <w:lvlText w:val=""/>
      <w:lvlJc w:val="left"/>
      <w:pPr>
        <w:ind w:hanging="360" w:left="5100"/>
      </w:pPr>
      <w:rPr>
        <w:rFonts w:ascii="Symbol" w:hAnsi="Symbol"/>
      </w:rPr>
    </w:lvl>
    <w:lvl w:ilvl="7">
      <w:numFmt w:val="bullet"/>
      <w:start w:val="1"/>
      <w:lvlText w:val="o"/>
      <w:lvlJc w:val="left"/>
      <w:pPr>
        <w:ind w:hanging="360" w:left="5820"/>
      </w:pPr>
      <w:rPr>
        <w:rFonts w:ascii="Courier New" w:hAnsi="Courier New" w:cs="Courier New"/>
      </w:rPr>
    </w:lvl>
    <w:lvl w:ilvl="8">
      <w:numFmt w:val="bullet"/>
      <w:start w:val="1"/>
      <w:lvlText w:val=""/>
      <w:lvlJc w:val="left"/>
      <w:pPr>
        <w:ind w:hanging="360" w:left="654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80"/>
  <w:defaultTabStop w:val="720"/>
  <w:characterSpacingControl w:val="doNotCompress"/>
  <w:compat>
    <w:compatSetting w:name="compatibilityMode" w:uri="http://schemas.microsoft.com/office/word" w:val="15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hAnsi="Arial" w:cs="Times New Roman" w:eastAsia="Times New Roman"/>
        <w:lang w:val="en-GB"/>
        <w:sz w:val="22"/>
        <w:szCs w:val="22"/>
      </w:rPr>
    </w:rPrDefault>
    <w:pPrDefault>
      <w:pPr>
        <w:spacing w:after="200" w:lineRule="auto" w:line="276"/>
      </w:pPr>
    </w:pPrDefault>
  </w:docDefaults>
  <w:style w:type="paragraph" w:styleId="Normal" w:default="1">
    <w:name w:val="Normal"/>
    <w:qFormat/>
  </w:style>
  <w:style w:type="paragraph" w:styleId="heading 1">
    <w:name w:val="heading 1"/>
    <w:qFormat/>
    <w:basedOn w:val="Normal"/>
    <w:pPr>
      <w:keepLines w:val="1"/>
      <w:keepNext w:val="1"/>
      <w:spacing w:before="480" w:after="0"/>
      <w:outlineLvl w:val="0"/>
    </w:pPr>
    <w:rPr>
      <w:b w:val="1"/>
      <w:bCs w:val="1"/>
      <w:color w:val="3E5AA8"/>
      <w:sz w:val="28"/>
      <w:szCs w:val="28"/>
    </w:rPr>
  </w:style>
  <w:style w:type="paragraph" w:styleId="heading 2">
    <w:name w:val="heading 2"/>
    <w:qFormat/>
    <w:basedOn w:val="Normal"/>
    <w:pPr>
      <w:keepLines w:val="1"/>
      <w:keepNext w:val="1"/>
      <w:spacing w:before="200" w:after="0"/>
      <w:outlineLvl w:val="1"/>
    </w:pPr>
    <w:rPr>
      <w:b w:val="1"/>
      <w:bCs w:val="1"/>
      <w:color w:val="6440A3"/>
      <w:sz w:val="26"/>
      <w:szCs w:val="26"/>
    </w:rPr>
  </w:style>
  <w:style w:type="paragraph" w:styleId="heading 3">
    <w:name w:val="heading 3"/>
    <w:qFormat/>
    <w:basedOn w:val="Normal"/>
    <w:pPr>
      <w:keepLines w:val="1"/>
      <w:keepNext w:val="1"/>
      <w:spacing w:before="200" w:after="0"/>
      <w:outlineLvl w:val="2"/>
    </w:pPr>
    <w:rPr>
      <w:b w:val="1"/>
      <w:bCs w:val="1"/>
      <w:color w:val="40D1F5"/>
    </w:rPr>
  </w:style>
  <w:style w:type="paragraph" w:styleId="heading 4">
    <w:name w:val="heading 4"/>
    <w:qFormat/>
    <w:basedOn w:val="Normal"/>
    <w:pPr>
      <w:keepLines w:val="1"/>
      <w:keepNext w:val="1"/>
      <w:spacing w:before="200" w:after="0"/>
      <w:outlineLvl w:val="3"/>
    </w:pPr>
    <w:rPr>
      <w:b w:val="1"/>
      <w:bCs w:val="1"/>
      <w:color w:val="3E5AA8"/>
      <w:i w:val="1"/>
      <w:iCs w:val="1"/>
    </w:rPr>
  </w:style>
  <w:style w:type="paragraph" w:styleId="heading 5">
    <w:name w:val="heading 5"/>
    <w:qFormat/>
    <w:basedOn w:val="Normal"/>
    <w:pPr>
      <w:keepLines w:val="1"/>
      <w:keepNext w:val="1"/>
      <w:spacing w:before="200" w:after="0"/>
      <w:outlineLvl w:val="4"/>
    </w:pPr>
    <w:rPr>
      <w:color w:val="1F2D54"/>
    </w:rPr>
  </w:style>
  <w:style w:type="character" w:styleId="Default Paragraph Font" w:default="1">
    <w:name w:val="Default Paragraph Font"/>
    <w:qFormat/>
  </w:style>
  <w:style w:type="table" w:styleId="Normal Table" w:default="1">
    <w:name w:val="Normal Table"/>
    <w:qFormat/>
    <w:tblPr>
      <w:tblCellMar>
        <w:left w:type="dxa" w:w="108"/>
        <w:top w:type="dxa" w:w="0"/>
        <w:right w:type="dxa" w:w="108"/>
        <w:bottom w:type="dxa" w:w="0"/>
      </w:tblCellMar>
      <w:tblInd w:type="dxa" w:w="0"/>
    </w:tblPr>
  </w:style>
  <w:style w:type="paragraph" w:styleId="No Spacing">
    <w:name w:val="No Spacing"/>
    <w:qFormat/>
    <w:pPr>
      <w:spacing w:after="0" w:lineRule="auto" w:line="240"/>
    </w:pPr>
  </w:style>
  <w:style w:type="character" w:styleId="Heading 1 Char">
    <w:name w:val="Heading 1 Char"/>
    <w:qFormat/>
    <w:basedOn w:val="Default Paragraph Font"/>
    <w:rPr>
      <w:b w:val="1"/>
      <w:bCs w:val="1"/>
      <w:color w:val="3E5AA8"/>
      <w:rFonts w:ascii="Arial" w:hAnsi="Arial"/>
      <w:sz w:val="28"/>
      <w:szCs w:val="28"/>
    </w:rPr>
  </w:style>
  <w:style w:type="character" w:styleId="Heading 2 Char">
    <w:name w:val="Heading 2 Char"/>
    <w:qFormat/>
    <w:basedOn w:val="Default Paragraph Font"/>
    <w:rPr>
      <w:b w:val="1"/>
      <w:bCs w:val="1"/>
      <w:color w:val="6440A3"/>
      <w:rFonts w:ascii="Arial" w:hAnsi="Arial"/>
      <w:sz w:val="26"/>
      <w:szCs w:val="26"/>
    </w:rPr>
  </w:style>
  <w:style w:type="paragraph" w:styleId="Title">
    <w:name w:val="Title"/>
    <w:qFormat/>
    <w:basedOn w:val="Normal"/>
    <w:pPr>
      <w:pBdr>
        <w:bottom w:val="single" w:sz="8" w:space="4" w:color="3E5AA8"/>
      </w:pBdr>
      <w:spacing w:after="300" w:lineRule="auto" w:line="240"/>
      <w:contextualSpacing w:val="1"/>
    </w:pPr>
    <w:rPr>
      <w:b w:val="1"/>
      <w:bCs w:val="1"/>
      <w:color w:val="1D3E61"/>
      <w:kern w:val="28"/>
      <w:sz w:val="52"/>
      <w:szCs w:val="52"/>
      <w:spacing w:val="5"/>
    </w:rPr>
  </w:style>
  <w:style w:type="character" w:styleId="Title Char">
    <w:name w:val="Title Char"/>
    <w:qFormat/>
    <w:basedOn w:val="Default Paragraph Font"/>
    <w:rPr>
      <w:b w:val="1"/>
      <w:bCs w:val="1"/>
      <w:color w:val="1D3E61"/>
      <w:rFonts w:ascii="Arial" w:hAnsi="Arial"/>
      <w:kern w:val="28"/>
      <w:sz w:val="52"/>
      <w:szCs w:val="52"/>
      <w:spacing w:val="5"/>
    </w:rPr>
  </w:style>
  <w:style w:type="paragraph" w:styleId="Subtitle">
    <w:name w:val="Subtitle"/>
    <w:qFormat/>
    <w:basedOn w:val="Normal"/>
    <w:rPr>
      <w:color w:val="56CF9E"/>
      <w:i w:val="1"/>
      <w:iCs w:val="1"/>
      <w:sz w:val="24"/>
      <w:szCs w:val="24"/>
      <w:spacing w:val="15"/>
    </w:rPr>
  </w:style>
  <w:style w:type="character" w:styleId="Subtitle Char">
    <w:name w:val="Subtitle Char"/>
    <w:qFormat/>
    <w:basedOn w:val="Default Paragraph Font"/>
    <w:rPr>
      <w:color w:val="56CF9E"/>
      <w:rFonts w:ascii="Arial" w:hAnsi="Arial"/>
      <w:i w:val="1"/>
      <w:iCs w:val="1"/>
      <w:sz w:val="24"/>
      <w:szCs w:val="24"/>
      <w:spacing w:val="15"/>
    </w:rPr>
  </w:style>
  <w:style w:type="character" w:styleId="Subtle Emphasis">
    <w:name w:val="Subtle Emphasis"/>
    <w:qFormat/>
    <w:basedOn w:val="Default Paragraph Font"/>
    <w:rPr>
      <w:color w:val="808080"/>
      <w:rFonts w:ascii="Arial" w:hAnsi="Arial"/>
      <w:i w:val="1"/>
      <w:iCs w:val="1"/>
    </w:rPr>
  </w:style>
  <w:style w:type="paragraph" w:styleId="header">
    <w:name w:val="header"/>
    <w:qFormat/>
    <w:basedOn w:val="Normal"/>
    <w:pPr>
      <w:tabs>
        <w:tab w:val="center" w:leader="none" w:pos="4513"/>
        <w:tab w:val="right" w:leader="none" w:pos="9026"/>
      </w:tabs>
      <w:spacing w:after="0" w:lineRule="auto" w:line="240"/>
    </w:pPr>
  </w:style>
  <w:style w:type="character" w:styleId="Header Char">
    <w:name w:val="Header Char"/>
    <w:qFormat/>
    <w:basedOn w:val="Default Paragraph Font"/>
    <w:rPr>
      <w:rFonts w:ascii="Arial" w:hAnsi="Arial"/>
    </w:rPr>
  </w:style>
  <w:style w:type="paragraph" w:styleId="footer">
    <w:name w:val="footer"/>
    <w:qFormat/>
    <w:basedOn w:val="Normal"/>
    <w:pPr>
      <w:tabs>
        <w:tab w:val="center" w:leader="none" w:pos="4513"/>
        <w:tab w:val="right" w:leader="none" w:pos="9026"/>
      </w:tabs>
      <w:spacing w:after="0" w:lineRule="auto" w:line="240"/>
    </w:pPr>
  </w:style>
  <w:style w:type="character" w:styleId="Footer Char">
    <w:name w:val="Footer Char"/>
    <w:qFormat/>
    <w:basedOn w:val="Default Paragraph Font"/>
    <w:rPr>
      <w:rFonts w:ascii="Arial" w:hAnsi="Arial"/>
    </w:rPr>
  </w:style>
  <w:style w:type="character" w:styleId="Heading 3 Char">
    <w:name w:val="Heading 3 Char"/>
    <w:qFormat/>
    <w:basedOn w:val="Default Paragraph Font"/>
    <w:rPr>
      <w:b w:val="1"/>
      <w:bCs w:val="1"/>
      <w:color w:val="40D1F5"/>
      <w:rFonts w:ascii="Arial" w:hAnsi="Arial"/>
    </w:rPr>
  </w:style>
  <w:style w:type="paragraph" w:styleId="Balloon Text">
    <w:name w:val="Balloon Text"/>
    <w:qFormat/>
    <w:basedOn w:val="Normal"/>
    <w:pPr>
      <w:spacing w:after="0" w:lineRule="auto" w:line="240"/>
    </w:pPr>
    <w:rPr>
      <w:rFonts w:ascii="Tahoma" w:hAnsi="Tahoma" w:cs="Tahoma"/>
      <w:sz w:val="16"/>
      <w:szCs w:val="16"/>
    </w:rPr>
  </w:style>
  <w:style w:type="character" w:styleId="Balloon Text Char">
    <w:name w:val="Balloon Text Char"/>
    <w:qFormat/>
    <w:basedOn w:val="Default Paragraph Font"/>
    <w:rPr>
      <w:rFonts w:ascii="Tahoma" w:hAnsi="Tahoma" w:cs="Tahoma"/>
      <w:sz w:val="16"/>
      <w:szCs w:val="16"/>
    </w:rPr>
  </w:style>
  <w:style w:type="character" w:styleId="Hyperlink">
    <w:name w:val="Hyperlink"/>
    <w:qFormat/>
    <w:basedOn w:val="Default Paragraph Font"/>
    <w:rPr>
      <w:color w:val="6440A3"/>
      <w:u w:val="single"/>
    </w:rPr>
  </w:style>
  <w:style w:type="character" w:styleId="Heading 4 Char">
    <w:name w:val="Heading 4 Char"/>
    <w:qFormat/>
    <w:basedOn w:val="Default Paragraph Font"/>
    <w:rPr>
      <w:b w:val="1"/>
      <w:bCs w:val="1"/>
      <w:color w:val="3E5AA8"/>
      <w:rFonts w:ascii="Arial" w:hAnsi="Arial"/>
      <w:i w:val="1"/>
      <w:iCs w:val="1"/>
    </w:rPr>
  </w:style>
  <w:style w:type="character" w:styleId="Heading 5 Char">
    <w:name w:val="Heading 5 Char"/>
    <w:qFormat/>
    <w:basedOn w:val="Default Paragraph Font"/>
    <w:rPr>
      <w:color w:val="1F2D54"/>
      <w:rFonts w:ascii="Arial" w:hAnsi="Arial"/>
    </w:rPr>
  </w:style>
  <w:style w:type="character" w:styleId="Intense Emphasis">
    <w:name w:val="Intense Emphasis"/>
    <w:qFormat/>
    <w:basedOn w:val="Default Paragraph Font"/>
    <w:rPr>
      <w:b w:val="1"/>
      <w:bCs w:val="1"/>
      <w:color w:val="3E5AA8"/>
      <w:i w:val="1"/>
      <w:iCs w:val="1"/>
    </w:rPr>
  </w:style>
  <w:style w:type="character" w:styleId="Strong">
    <w:name w:val="Strong"/>
    <w:qFormat/>
    <w:basedOn w:val="Default Paragraph Font"/>
    <w:rPr>
      <w:b w:val="1"/>
      <w:bCs w:val="1"/>
    </w:rPr>
  </w:style>
  <w:style w:type="paragraph" w:styleId="Quote">
    <w:name w:val="Quote"/>
    <w:qFormat/>
    <w:basedOn w:val="Normal"/>
    <w:rPr>
      <w:color w:val="000000"/>
      <w:i w:val="1"/>
      <w:iCs w:val="1"/>
    </w:rPr>
  </w:style>
  <w:style w:type="character" w:styleId="Quote Char">
    <w:name w:val="Quote Char"/>
    <w:qFormat/>
    <w:basedOn w:val="Default Paragraph Font"/>
    <w:rPr>
      <w:color w:val="000000"/>
      <w:rFonts w:ascii="Arial" w:hAnsi="Arial"/>
      <w:i w:val="1"/>
      <w:iCs w:val="1"/>
    </w:rPr>
  </w:style>
  <w:style w:type="table" w:styleId="Table Grid">
    <w:name w:val="Table Grid"/>
    <w:qFormat/>
    <w:basedOn w:val="Normal Table"/>
    <w:tblPr>
      <w:tblBorders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pPr>
      <w:spacing w:after="0" w:lineRule="auto" w:line="240"/>
    </w:pPr>
  </w:style>
  <w:style w:type="paragraph" w:styleId="List Paragraph">
    <w:name w:val="List Paragraph"/>
    <w:qFormat/>
    <w:basedOn w:val="Normal"/>
    <w:pPr>
      <w:ind w:left="720"/>
      <w:contextualSpacing w:val="1"/>
    </w:pPr>
  </w:style>
  <w:style w:type="character" w:styleId="annotation reference">
    <w:name w:val="annotation reference"/>
    <w:qFormat/>
    <w:basedOn w:val="Default Paragraph Font"/>
    <w:rPr>
      <w:sz w:val="16"/>
      <w:szCs w:val="16"/>
    </w:rPr>
  </w:style>
  <w:style w:type="paragraph" w:styleId="annotation text">
    <w:name w:val="annotation text"/>
    <w:qFormat/>
    <w:basedOn w:val="Normal"/>
    <w:pPr>
      <w:spacing w:lineRule="auto" w:line="240"/>
    </w:pPr>
    <w:rPr>
      <w:sz w:val="20"/>
      <w:szCs w:val="20"/>
    </w:rPr>
  </w:style>
  <w:style w:type="character" w:styleId="Comment Text Char">
    <w:name w:val="Comment Text Char"/>
    <w:qFormat/>
    <w:basedOn w:val="Default Paragraph Font"/>
    <w:rPr>
      <w:rFonts w:ascii="Arial" w:hAnsi="Arial"/>
      <w:sz w:val="20"/>
      <w:szCs w:val="20"/>
    </w:rPr>
  </w:style>
  <w:style w:type="paragraph" w:styleId="annotation subject">
    <w:name w:val="annotation subject"/>
    <w:qFormat/>
    <w:basedOn w:val="annotation text"/>
    <w:rPr>
      <w:b w:val="1"/>
      <w:bCs w:val="1"/>
    </w:rPr>
  </w:style>
  <w:style w:type="character" w:styleId="Comment Subject Char">
    <w:name w:val="Comment Subject Char"/>
    <w:qFormat/>
    <w:basedOn w:val="Comment Text Char"/>
    <w:rPr>
      <w:b w:val="1"/>
      <w:bCs w:val="1"/>
      <w:rFonts w:ascii="Arial" w:hAnsi="Arial"/>
      <w:sz w:val="20"/>
      <w:szCs w:val="20"/>
    </w:rPr>
  </w:style>
  <w:style w:type="character" w:styleId="Placeholder Text">
    <w:name w:val="Placeholder Text"/>
    <w:qFormat/>
    <w:basedOn w:val="Default Paragraph Font"/>
    <w:rPr>
      <w:color w:val="808080"/>
    </w:rPr>
  </w:style>
  <w:style w:type="character" w:styleId="List Paragraph Char">
    <w:name w:val="List Paragraph Char"/>
    <w:qFormat/>
  </w:style>
  <w:style w:type="paragraph" w:styleId="Revision">
    <w:name w:val="Revision"/>
    <w:qFormat/>
    <w:pPr>
      <w:spacing w:after="0" w:lineRule="auto" w:line="240"/>
    </w:pPr>
  </w:style>
  <w:style w:type="character" w:styleId="Unresolved Mention">
    <w:name w:val="Unresolved Mention"/>
    <w:qFormat/>
    <w:basedOn w:val="Default Paragraph Font"/>
    <w:rPr>
      <w:shd w:val="clear" w:fill="E1DFDD"/>
      <w:color w:val="605E5C"/>
    </w:rPr>
  </w:style>
  <w:style w:type="numbering" w:styleId="ListStyle7">
    <w:name w:val="ListStyle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james.barlow@xoserve.com" TargetMode="External" Id="Rf2dacd57bdbe4538" /><Relationship Type="http://schemas.openxmlformats.org/officeDocument/2006/relationships/image" Target="media/rznh04vx.png" Id="Ra505db2775f34124" /><Relationship Type="http://schemas.openxmlformats.org/officeDocument/2006/relationships/image" Target="media/pej4g05i.png" Id="Re801d4e53d4a4676" /><Relationship Type="http://schemas.openxmlformats.org/officeDocument/2006/relationships/hyperlink" Target="mailto:uklink@xoserve.com" TargetMode="External" Id="R49ea31f84aee4ac4" /><Relationship Type="http://schemas.openxmlformats.org/officeDocument/2006/relationships/hyperlink" Target="mailto:uklink@xoserve.com" TargetMode="External" Id="Rcb52f6bc723d4ea4" /><Relationship Type="http://schemas.openxmlformats.org/officeDocument/2006/relationships/header" Target="header1.xml" Id="Rc2bd0725f3374d04" /><Relationship Type="http://schemas.openxmlformats.org/officeDocument/2006/relationships/header" Target="header2.xml" Id="Rd335b5ca1cdb4ee2" /><Relationship Type="http://schemas.openxmlformats.org/officeDocument/2006/relationships/footer" Target="footer1.xml" Id="R8143756faa1c461f" /><Relationship Type="http://schemas.openxmlformats.org/officeDocument/2006/relationships/footer" Target="footer2.xml" Id="R1ec186c3cb404e3a" /><Relationship Type="http://schemas.openxmlformats.org/officeDocument/2006/relationships/header" Target="header3.xml" Id="Rb4aa6abd02574ed7" /><Relationship Type="http://schemas.openxmlformats.org/officeDocument/2006/relationships/footer" Target="footer3.xml" Id="R56a722c6a4e74d20" /><Relationship Type="http://schemas.openxmlformats.org/officeDocument/2006/relationships/customXml" Target="/customXml/item1.xml" Id="Rcebad6fe460d4371" /><Relationship Type="http://schemas.openxmlformats.org/officeDocument/2006/relationships/customXml" Target="/customXml/item2.xml" Id="Rd33a3622265f46c0" /><Relationship Type="http://schemas.openxmlformats.org/officeDocument/2006/relationships/customXml" Target="/customXml/item3.xml" Id="Rb07df3e2baa94756" /><Relationship Type="http://schemas.openxmlformats.org/officeDocument/2006/relationships/styles" Target="styles.xml" Id="Re4ded82b81ae41c9" /><Relationship Type="http://schemas.openxmlformats.org/officeDocument/2006/relationships/fontTable" Target="fontTable.xml" Id="Rde852f705efa46a2" /><Relationship Type="http://schemas.openxmlformats.org/officeDocument/2006/relationships/numbering" Target="numbering.xml" Id="R722aee83dabf44d5" /><Relationship Type="http://schemas.openxmlformats.org/officeDocument/2006/relationships/settings" Target="settings.xml" Id="Re57165b3a1324ab9" /><Relationship Type="http://schemas.openxmlformats.org/officeDocument/2006/relationships/webSettings" Target="webSettings.xml" Id="Rdd1602e97423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liflg0bz.png" Id="Re9649c9c0ea94e7e" /></Relationships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8648c96b4f39445b" 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itemProps2.xml" Id="Rd60de089d33c490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itemProps3.xml" Id="Re73c69bc916d41e3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D4E94D94ABB48A35A572EF9A60258" ma:contentTypeVersion="14" ma:contentTypeDescription="Create a new document." ma:contentTypeScope="" ma:versionID="33b8fecee8c4713a57430302bf85c5cc">
  <xsd:schema xmlns:xsd="http://www.w3.org/2001/XMLSchema" xmlns:xs="http://www.w3.org/2001/XMLSchema" xmlns:p="http://schemas.microsoft.com/office/2006/metadata/properties" xmlns:ns2="5844fa40-a696-4ac9-bd38-c0330d295109" xmlns:ns3="c78a4dae-5fc0-4ed3-ad80-da51122ab114" targetNamespace="http://schemas.microsoft.com/office/2006/metadata/properties" ma:root="true" ma:fieldsID="f5412dd98e0cafb03a0a30bd6733c8ea" ns2:_="" ns3:_="">
    <xsd:import namespace="5844fa40-a696-4ac9-bd38-c0330d295109"/>
    <xsd:import namespace="c78a4dae-5fc0-4ed3-ad80-da51122ab1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CAM" minOccurs="0"/>
                <xsd:element ref="ns2:Customer_x0020_Contracts_x0020_Lead" minOccurs="0"/>
                <xsd:element ref="ns2:Date_x0020_of_x0020_Meetings" minOccurs="0"/>
                <xsd:element ref="ns2:_x006a_hd3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4fa40-a696-4ac9-bd38-c0330d295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CAM" ma:index="12" nillable="true" ma:displayName="CAM" ma:format="Dropdown" ma:internalName="CAM">
      <xsd:simpleType>
        <xsd:restriction base="dms:Text">
          <xsd:maxLength value="255"/>
        </xsd:restriction>
      </xsd:simpleType>
    </xsd:element>
    <xsd:element name="Customer_x0020_Contracts_x0020_Lead" ma:index="13" nillable="true" ma:displayName="Customer Contracts Lead" ma:format="Dropdown" ma:internalName="Customer_x0020_Contracts_x0020_Lead">
      <xsd:simpleType>
        <xsd:restriction base="dms:Text">
          <xsd:maxLength value="255"/>
        </xsd:restriction>
      </xsd:simpleType>
    </xsd:element>
    <xsd:element name="Date_x0020_of_x0020_Meetings" ma:index="14" nillable="true" ma:displayName="Date of Meetings" ma:format="Dropdown" ma:internalName="Date_x0020_of_x0020_Meetings">
      <xsd:simpleType>
        <xsd:restriction base="dms:Text">
          <xsd:maxLength value="255"/>
        </xsd:restriction>
      </xsd:simpleType>
    </xsd:element>
    <xsd:element name="_x006a_hd3" ma:index="15" nillable="true" ma:displayName="Date of Meeting" ma:internalName="_x006a_hd3">
      <xsd:simpleType>
        <xsd:restriction base="dms:DateTim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a4dae-5fc0-4ed3-ad80-da51122ab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M xmlns="5844fa40-a696-4ac9-bd38-c0330d295109" xsi:nil="true"/>
    <Date_x0020_of_x0020_Meetings xmlns="5844fa40-a696-4ac9-bd38-c0330d295109" xsi:nil="true"/>
    <_x006a_hd3 xmlns="5844fa40-a696-4ac9-bd38-c0330d295109" xsi:nil="true"/>
    <Customer_x0020_Contracts_x0020_Lead xmlns="5844fa40-a696-4ac9-bd38-c0330d2951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660868-430E-4706-A53B-8250D264A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4fa40-a696-4ac9-bd38-c0330d295109"/>
    <ds:schemaRef ds:uri="c78a4dae-5fc0-4ed3-ad80-da51122ab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C025CB-3362-4C6B-97E3-62D27396817C}">
  <ds:schemaRefs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5844fa40-a696-4ac9-bd38-c0330d295109"/>
    <ds:schemaRef ds:uri="c78a4dae-5fc0-4ed3-ad80-da51122ab114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E2EF549-0DB8-46CF-8A60-1691247740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Document .Net v.5.5.4.14</Application>
  <Company>National Grid</Company>
  <Pages>5</Pages>
  <Words>1160</Words>
  <Characters>6616</Characters>
  <CharactersWithSpaces>7761</CharactersWithSpaces>
  <Lines>55</Lin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Grid</dc:creator>
  <cp:lastModifiedBy>Megan Troth</cp:lastModifiedBy>
  <dcterms:created xsi:type="dcterms:W3CDTF">2021-04-01T15:45:00Z</dcterms:created>
  <dcterms:modified xsi:type="dcterms:W3CDTF">2021-04-12T08:39:00Z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0x0101002A9D4E94D94ABB48A35A572EF9A60258</vt:lpwstr>
  </property>
  <property fmtid="{D5CDD505-2E9C-101B-9397-08002B2CF9AE}" pid="3" name="Order">
    <vt:r8>1500</vt:r8>
  </property>
  <property fmtid="{D5CDD505-2E9C-101B-9397-08002B2CF9AE}" pid="4" name="xd_Signature">
    <vt:lpwstr>false</vt:lpwstr>
  </property>
</Properties>
</file>