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officeDocument" Target="/word/document.xml" Id="Rc9426c057aed4176" /><Relationship Type="http://schemas.openxmlformats.org/package/2006/relationships/metadata/core-properties" Target="/docProps/core.xml" Id="Re9144de6651d41ac" /><Relationship Type="http://schemas.openxmlformats.org/officeDocument/2006/relationships/extended-properties" Target="/docProps/app.xml" Id="Ra584eea7bd9b49f0" /><Relationship Type="http://schemas.openxmlformats.org/officeDocument/2006/relationships/custom-properties" Target="/docProps/custom.xml" Id="R47af64cabec1425b"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rPr>
          <w:sz w:val="44"/>
          <w:szCs w:val="44"/>
        </w:rPr>
        <w:pStyle w:val="Title"/>
      </w:pPr>
      <w:r>
        <w:rPr>
          <w:sz w:val="44"/>
          <w:szCs w:val="44"/>
        </w:rPr>
        <w:t>Section</w:t>
      </w:r>
      <w:r>
        <w:rPr>
          <w:sz w:val="44"/>
          <w:szCs w:val="44"/>
        </w:rPr>
        <w:t xml:space="preserve"> </w:t>
      </w:r>
      <w:r>
        <w:rPr>
          <w:sz w:val="44"/>
          <w:szCs w:val="44"/>
        </w:rPr>
        <w:t>D: High Level Solution Options</w:t>
      </w:r>
    </w:p>
    <w:p>
      <w:pPr>
        <w:pStyle w:val="heading 1"/>
      </w:pPr>
      <w:r>
        <w:t>D1: Solution Options</w:t>
      </w:r>
    </w:p>
    <w:tbl>
      <w:tblPr>
        <w:tblStyle w:val="Table Grid"/>
        <w:tblLayout w:type="fixed"/>
        <w:tblInd w:type="dxa" w:w="-34"/>
        <w:tblW w:type="pct" w:w="5018"/>
        <w:tblLook w:firstColumn="1" w:firstRow="1" w:lastColumn="0" w:lastRow="0" w:noHBand="0" w:noVBand="1"/>
      </w:tblPr>
      <w:tblGrid>
        <w:gridCol w:w="2269"/>
        <w:gridCol w:w="7006"/>
      </w:tblGrid>
      <w:tr>
        <w:trPr>
          <w:trHeight w:hRule="atLeast" w:val="6342"/>
        </w:trPr>
        <w:tc>
          <w:tcPr>
            <w:shd w:val="clear" w:fill="B3EDFB"/>
            <w:tcW w:type="pct" w:w="1223"/>
            <w:vAlign w:val="center"/>
          </w:tcPr>
          <w:p>
            <w:pPr>
              <w:rPr>
                <w:rFonts w:cs="Arial"/>
              </w:rPr>
              <w:jc w:val="right"/>
            </w:pPr>
            <w:r>
              <w:rPr>
                <w:rFonts w:cs="Arial"/>
              </w:rPr>
              <w:t>Solution Option Summary:</w:t>
            </w:r>
          </w:p>
        </w:tc>
        <w:tc>
          <w:tcPr>
            <w:tcW w:type="pct" w:w="3777"/>
            <w:vAlign w:val="center"/>
          </w:tcPr>
          <w:p>
            <w:pPr>
              <w:rPr>
                <w:b w:val="1"/>
                <w:bCs w:val="1"/>
                <w:rFonts w:cs="Arial" w:eastAsia="Arial"/>
              </w:rPr>
            </w:pPr>
            <w:r>
              <w:rPr>
                <w:b w:val="1"/>
                <w:bCs w:val="1"/>
                <w:rFonts w:cs="Arial" w:eastAsia="Arial"/>
              </w:rPr>
              <w:t>Background:</w:t>
            </w:r>
          </w:p>
          <w:p>
            <w:pPr>
              <w:rPr>
                <w:b w:val="1"/>
                <w:bCs w:val="1"/>
                <w:color w:val="4E8ACA"/>
                <w:rFonts w:cs="Arial" w:eastAsia="Arial"/>
                <w:i w:val="1"/>
                <w:iCs w:val="1"/>
              </w:rPr>
            </w:pPr>
          </w:p>
          <w:p>
            <w:pPr>
              <w:rPr>
                <w:b w:val="1"/>
                <w:bCs w:val="1"/>
                <w:color w:val="4E8ACA"/>
                <w:rFonts w:cs="Arial" w:eastAsia="Arial"/>
                <w:i w:val="1"/>
                <w:iCs w:val="1"/>
              </w:rPr>
            </w:pPr>
            <w:r>
              <w:rPr>
                <w:b w:val="1"/>
                <w:bCs w:val="1"/>
                <w:color w:val="4E8ACA"/>
                <w:rFonts w:cs="Arial" w:eastAsia="Arial"/>
                <w:i w:val="1"/>
                <w:iCs w:val="1"/>
              </w:rPr>
              <w:t>SGN is facilitating this change on behalf of all the Gas Distribution Networks (DNs)</w:t>
            </w:r>
            <w:r>
              <w:rPr>
                <w:rFonts w:cs="Arial" w:eastAsia="Arial"/>
              </w:rPr>
              <w:t xml:space="preserve"> </w:t>
            </w:r>
          </w:p>
          <w:p>
            <w:pPr>
              <w:rPr>
                <w:rFonts w:cs="Arial" w:eastAsia="Arial"/>
              </w:rPr>
            </w:pPr>
          </w:p>
          <w:p>
            <w:pPr>
              <w:rPr>
                <w:rFonts w:cs="Arial" w:eastAsia="Arial"/>
              </w:rPr>
            </w:pPr>
            <w:r>
              <w:rPr>
                <w:rFonts w:cs="Arial" w:eastAsia="Arial"/>
              </w:rPr>
              <w:t>The revised Ofgem RIIO-</w:t>
            </w:r>
            <w:r>
              <w:rPr>
                <w:rFonts w:cs="Arial" w:eastAsia="Arial"/>
              </w:rPr>
              <w:t>GD</w:t>
            </w:r>
            <w:r>
              <w:rPr>
                <w:rFonts w:cs="Arial" w:eastAsia="Arial"/>
              </w:rPr>
              <w:t xml:space="preserve">2 Failure to Supply Gas (FSG) arrangements will reduce the timescale for the FSG process e.g. compensation payments will be weekly rather than fortnightly. </w:t>
            </w:r>
          </w:p>
          <w:p>
            <w:pPr>
              <w:rPr>
                <w:rFonts w:cs="Arial" w:eastAsia="Arial"/>
              </w:rPr>
            </w:pPr>
          </w:p>
          <w:p>
            <w:pPr>
              <w:rPr>
                <w:rFonts w:cs="Arial" w:eastAsia="Arial"/>
              </w:rPr>
            </w:pPr>
            <w:r>
              <w:rPr>
                <w:rFonts w:cs="Arial" w:eastAsia="Arial"/>
              </w:rPr>
              <w:t>Th</w:t>
            </w:r>
            <w:r>
              <w:rPr>
                <w:rFonts w:cs="Arial" w:eastAsia="Arial"/>
              </w:rPr>
              <w:t>is</w:t>
            </w:r>
            <w:r>
              <w:rPr>
                <w:rFonts w:cs="Arial" w:eastAsia="Arial"/>
              </w:rPr>
              <w:t xml:space="preserve"> change requirement</w:t>
            </w:r>
            <w:r>
              <w:rPr>
                <w:b w:val="1"/>
                <w:bCs w:val="1"/>
                <w:color w:val="0070C0"/>
                <w:rFonts w:cs="Arial" w:eastAsia="Arial"/>
              </w:rPr>
              <w:t>*</w:t>
            </w:r>
            <w:r>
              <w:rPr>
                <w:rFonts w:cs="Arial" w:eastAsia="Arial"/>
              </w:rPr>
              <w:t xml:space="preserve"> is to automate the existing manual workaround for the ‘Failure to Supply Gas Response’ (FSR); Standard Liability process. The key business driver is the manual process is no longer sustainable from an economic nor, an efficiency perspective.     </w:t>
            </w:r>
          </w:p>
          <w:p>
            <w:pPr>
              <w:rPr>
                <w:rFonts w:cs="Arial" w:eastAsia="Arial"/>
              </w:rPr>
            </w:pPr>
          </w:p>
          <w:p>
            <w:pPr>
              <w:rPr>
                <w:rFonts w:cs="Arial" w:eastAsia="Arial"/>
              </w:rPr>
            </w:pPr>
            <w:r>
              <w:rPr>
                <w:rFonts w:cs="Arial" w:eastAsia="Arial"/>
              </w:rPr>
              <w:t xml:space="preserve">Automation will ensure the DNs have sight of those MPRNs &gt; 73,200 kWh that were subsequently transferred to the Standard Liability process. </w:t>
            </w:r>
          </w:p>
          <w:p>
            <w:pPr>
              <w:rPr>
                <w:rFonts w:cs="Arial" w:eastAsia="Arial"/>
              </w:rPr>
            </w:pPr>
          </w:p>
          <w:p>
            <w:pPr>
              <w:rPr>
                <w:rFonts w:cs="Arial" w:eastAsia="Arial"/>
              </w:rPr>
            </w:pPr>
            <w:r>
              <w:rPr>
                <w:b w:val="1"/>
                <w:bCs w:val="1"/>
                <w:color w:val="0070C0"/>
                <w:rFonts w:cs="Arial" w:eastAsia="Arial"/>
              </w:rPr>
              <w:t>*</w:t>
            </w:r>
            <w:r>
              <w:rPr>
                <w:rFonts w:cs="Arial" w:eastAsia="Arial"/>
              </w:rPr>
              <w:t xml:space="preserve">This was descoped </w:t>
            </w:r>
            <w:r>
              <w:rPr>
                <w:rFonts w:cs="Arial" w:eastAsia="Arial"/>
              </w:rPr>
              <w:t>from XRN5080 to expedite</w:t>
            </w:r>
            <w:r>
              <w:rPr>
                <w:rFonts w:cs="Arial" w:eastAsia="Arial"/>
              </w:rPr>
              <w:t xml:space="preserve"> the delivery of the RIIO-GD2 GSOP1/12 arrangements for 1</w:t>
            </w:r>
            <w:r>
              <w:rPr>
                <w:rFonts w:cs="Arial" w:eastAsia="Arial"/>
                <w:vertAlign w:val="superscript"/>
              </w:rPr>
              <w:t>st</w:t>
            </w:r>
            <w:r>
              <w:rPr>
                <w:rFonts w:cs="Arial" w:eastAsia="Arial"/>
              </w:rPr>
              <w:t xml:space="preserve"> April ’21.</w:t>
            </w:r>
            <w:r>
              <w:rPr>
                <w:rFonts w:cs="Arial" w:eastAsia="Arial"/>
              </w:rPr>
              <w:t xml:space="preserve"> </w:t>
            </w:r>
          </w:p>
          <w:p>
            <w:pPr>
              <w:rPr>
                <w:b w:val="1"/>
                <w:bCs w:val="1"/>
                <w:rFonts w:cs="Arial"/>
              </w:rPr>
            </w:pPr>
          </w:p>
          <w:p>
            <w:pPr>
              <w:rPr>
                <w:b w:val="1"/>
                <w:bCs w:val="1"/>
                <w:rFonts w:cs="Arial"/>
              </w:rPr>
            </w:pPr>
            <w:r>
              <w:rPr>
                <w:b w:val="1"/>
                <w:bCs w:val="1"/>
                <w:rFonts w:cs="Arial"/>
              </w:rPr>
              <w:t>Solution Summary:</w:t>
            </w:r>
          </w:p>
          <w:p>
            <w:pPr>
              <w:rPr>
                <w:b w:val="1"/>
                <w:bCs w:val="1"/>
                <w:rFonts w:cs="Arial"/>
              </w:rPr>
            </w:pPr>
          </w:p>
          <w:p>
            <w:pPr>
              <w:rPr>
                <w:rFonts w:cs="Arial"/>
              </w:rPr>
            </w:pPr>
            <w:r>
              <w:rPr>
                <w:rFonts w:cs="Arial"/>
              </w:rPr>
              <w:t>This is a single solution option</w:t>
            </w:r>
            <w:r>
              <w:rPr>
                <w:rFonts w:cs="Arial"/>
              </w:rPr>
              <w:t xml:space="preserve"> that will provide DNs and Xoserve with the ability to clearly identify all Standard Liability </w:t>
            </w:r>
            <w:r>
              <w:rPr>
                <w:rFonts w:cs="Arial"/>
              </w:rPr>
              <w:t xml:space="preserve">(SL) </w:t>
            </w:r>
            <w:r>
              <w:rPr>
                <w:rFonts w:cs="Arial"/>
              </w:rPr>
              <w:t xml:space="preserve">MPRNs following an FSG event; </w:t>
            </w:r>
            <w:r>
              <w:rPr>
                <w:rFonts w:cs="Arial"/>
              </w:rPr>
              <w:t xml:space="preserve">notwithstanding </w:t>
            </w:r>
            <w:r>
              <w:rPr>
                <w:rFonts w:cs="Arial"/>
              </w:rPr>
              <w:t xml:space="preserve">the MPRN SL payments </w:t>
            </w:r>
            <w:r>
              <w:rPr>
                <w:rFonts w:cs="Arial"/>
              </w:rPr>
              <w:t xml:space="preserve">are </w:t>
            </w:r>
            <w:r>
              <w:rPr>
                <w:rFonts w:cs="Arial"/>
              </w:rPr>
              <w:t xml:space="preserve">recalculated, </w:t>
            </w:r>
            <w:r>
              <w:rPr>
                <w:rFonts w:cs="Arial"/>
              </w:rPr>
              <w:t>accepted or rejected</w:t>
            </w:r>
            <w:r>
              <w:rPr>
                <w:rFonts w:cs="Arial"/>
              </w:rPr>
              <w:t>.</w:t>
            </w:r>
          </w:p>
          <w:p>
            <w:pPr>
              <w:rPr>
                <w:rFonts w:cs="Arial"/>
              </w:rPr>
            </w:pPr>
          </w:p>
        </w:tc>
      </w:tr>
      <w:tr>
        <w:trPr>
          <w:trHeight w:hRule="atLeast" w:val="1557"/>
        </w:trPr>
        <w:tc>
          <w:tcPr>
            <w:shd w:val="clear" w:fill="B3EDFB"/>
            <w:tcW w:type="pct" w:w="1223"/>
            <w:vAlign w:val="center"/>
          </w:tcPr>
          <w:p>
            <w:pPr>
              <w:rPr>
                <w:rFonts w:cs="Arial"/>
              </w:rPr>
              <w:jc w:val="right"/>
            </w:pPr>
            <w:r>
              <w:rPr>
                <w:rFonts w:cs="Arial"/>
              </w:rPr>
              <w:t>Xoserve preferred option:</w:t>
            </w:r>
          </w:p>
          <w:p>
            <w:pPr>
              <w:rPr>
                <w:rFonts w:cs="Arial"/>
              </w:rPr>
              <w:jc w:val="right"/>
            </w:pPr>
            <w:r>
              <w:rPr>
                <w:rFonts w:cs="Arial"/>
              </w:rPr>
              <w:t>(</w:t>
            </w:r>
            <w:r>
              <w:rPr>
                <w:rFonts w:cs="Arial"/>
              </w:rPr>
              <w:t>including rationale</w:t>
            </w:r>
            <w:r>
              <w:rPr>
                <w:rFonts w:cs="Arial"/>
              </w:rPr>
              <w:t>)</w:t>
            </w:r>
          </w:p>
        </w:tc>
        <w:tc>
          <w:tcPr>
            <w:tcW w:type="pct" w:w="3777"/>
            <w:vAlign w:val="center"/>
          </w:tcPr>
          <w:p>
            <w:pPr>
              <w:rPr>
                <w:rFonts w:ascii="Arial" w:hAnsi="Arial" w:cs="Arial"/>
              </w:rPr>
            </w:pPr>
            <w:r>
              <w:rPr>
                <w:rFonts w:ascii="Arial" w:hAnsi="Arial" w:cs="Arial"/>
              </w:rPr>
              <w:t xml:space="preserve">The single </w:t>
            </w:r>
            <w:r>
              <w:rPr>
                <w:rFonts w:ascii="Arial" w:hAnsi="Arial" w:cs="Arial"/>
              </w:rPr>
              <w:t xml:space="preserve">option identified </w:t>
            </w:r>
            <w:r>
              <w:rPr>
                <w:rFonts w:ascii="Arial" w:hAnsi="Arial" w:cs="Arial"/>
              </w:rPr>
              <w:t xml:space="preserve">will automate the manual </w:t>
            </w:r>
            <w:r>
              <w:rPr>
                <w:rFonts w:ascii="Arial" w:hAnsi="Arial" w:cs="Arial"/>
              </w:rPr>
              <w:t xml:space="preserve">FSR </w:t>
            </w:r>
            <w:r>
              <w:rPr>
                <w:rFonts w:ascii="Arial" w:hAnsi="Arial" w:cs="Arial"/>
              </w:rPr>
              <w:t xml:space="preserve">Standard Liability process between </w:t>
            </w:r>
            <w:r>
              <w:rPr>
                <w:rFonts w:ascii="Arial" w:hAnsi="Arial" w:cs="Arial"/>
              </w:rPr>
              <w:t xml:space="preserve">Xoserve and </w:t>
            </w:r>
            <w:r>
              <w:rPr>
                <w:rFonts w:ascii="Arial" w:hAnsi="Arial" w:cs="Arial"/>
              </w:rPr>
              <w:t xml:space="preserve">the DNs. Xoserve will no longer be required to manually intervene when producing the FSR response files; prior to issuing them to the DNs. </w:t>
            </w:r>
          </w:p>
          <w:p>
            <w:pPr>
              <w:rPr>
                <w:rFonts w:ascii="Arial" w:hAnsi="Arial" w:cs="Arial"/>
              </w:rPr>
            </w:pPr>
          </w:p>
          <w:p>
            <w:pPr>
              <w:rPr>
                <w:rFonts w:ascii="Arial" w:hAnsi="Arial" w:cs="Arial"/>
              </w:rPr>
            </w:pPr>
            <w:r>
              <w:rPr>
                <w:rFonts w:ascii="Arial" w:hAnsi="Arial" w:cs="Arial"/>
              </w:rPr>
              <w:t xml:space="preserve">The HLSO can be found </w:t>
            </w:r>
            <w:hyperlink r:id="R26ec316ad73e499e">
              <w:r>
                <w:rPr>
                  <w:rStyle w:val="Hyperlink"/>
                  <w:b w:val="1"/>
                  <w:bCs w:val="1"/>
                  <w:rFonts w:ascii="Arial" w:hAnsi="Arial" w:cs="Arial"/>
                  <w:i w:val="1"/>
                  <w:iCs w:val="1"/>
                </w:rPr>
                <w:t>here</w:t>
              </w:r>
              <w:r>
                <w:rPr>
                  <w:rStyle w:val="Hyperlink"/>
                  <w:b w:val="1"/>
                  <w:bCs w:val="1"/>
                  <w:rFonts w:ascii="Arial" w:hAnsi="Arial" w:cs="Arial"/>
                  <w:i w:val="1"/>
                  <w:iCs w:val="1"/>
                </w:rPr>
                <w:t>.</w:t>
              </w:r>
            </w:hyperlink>
          </w:p>
        </w:tc>
      </w:tr>
      <w:tr>
        <w:trPr>
          <w:trHeight w:hRule="atLeast" w:val="403"/>
        </w:trPr>
        <w:tc>
          <w:tcPr>
            <w:shd w:val="clear" w:fill="B3EDFB"/>
            <w:tcW w:type="pct" w:w="1223"/>
            <w:vAlign w:val="center"/>
          </w:tcPr>
          <w:p>
            <w:pPr>
              <w:rPr>
                <w:rFonts w:cs="Arial"/>
              </w:rPr>
              <w:jc w:val="right"/>
            </w:pPr>
            <w:r>
              <w:rPr>
                <w:rFonts w:cs="Arial"/>
              </w:rPr>
              <w:t>DSG preferred solution option:</w:t>
            </w:r>
          </w:p>
          <w:p>
            <w:pPr>
              <w:rPr>
                <w:rFonts w:cs="Arial"/>
              </w:rPr>
              <w:jc w:val="right"/>
            </w:pPr>
            <w:r>
              <w:rPr>
                <w:rFonts w:cs="Arial"/>
              </w:rPr>
              <w:t>(</w:t>
            </w:r>
            <w:r>
              <w:rPr>
                <w:rFonts w:cs="Arial"/>
              </w:rPr>
              <w:t>including rationale</w:t>
            </w:r>
            <w:r>
              <w:rPr>
                <w:rFonts w:cs="Arial"/>
              </w:rPr>
              <w:t>)</w:t>
            </w:r>
          </w:p>
        </w:tc>
        <w:tc>
          <w:tcPr>
            <w:tcW w:type="pct" w:w="3777"/>
            <w:vAlign w:val="center"/>
          </w:tcPr>
          <w:p>
            <w:pPr>
              <w:rPr>
                <w:rFonts w:cs="Arial"/>
              </w:rPr>
            </w:pPr>
            <w:r>
              <w:rPr>
                <w:rFonts w:cs="Arial"/>
              </w:rPr>
              <w:t xml:space="preserve">To be confirmed at DSG on </w:t>
            </w:r>
            <w:r>
              <w:rPr>
                <w:rFonts w:cs="Arial"/>
              </w:rPr>
              <w:t>26</w:t>
            </w:r>
            <w:r>
              <w:rPr>
                <w:rFonts w:cs="Arial"/>
                <w:vertAlign w:val="superscript"/>
              </w:rPr>
              <w:t>TH</w:t>
            </w:r>
            <w:r>
              <w:rPr>
                <w:rFonts w:cs="Arial"/>
              </w:rPr>
              <w:t xml:space="preserve"> </w:t>
            </w:r>
            <w:r>
              <w:rPr>
                <w:rFonts w:cs="Arial"/>
              </w:rPr>
              <w:t>April</w:t>
            </w:r>
            <w:r>
              <w:rPr>
                <w:rFonts w:cs="Arial"/>
              </w:rPr>
              <w:t xml:space="preserve"> ‘21</w:t>
            </w:r>
            <w:bookmarkStart w:id="0" w:name="_GoBack"/>
            <w:bookmarkEnd w:id="0"/>
          </w:p>
        </w:tc>
      </w:tr>
      <w:tr>
        <w:trPr>
          <w:trHeight w:hRule="atLeast" w:val="403"/>
        </w:trPr>
        <w:tc>
          <w:tcPr>
            <w:shd w:val="clear" w:fill="B3EDFB"/>
            <w:tcW w:type="pct" w:w="1223"/>
            <w:vAlign w:val="center"/>
          </w:tcPr>
          <w:p>
            <w:pPr>
              <w:rPr>
                <w:rFonts w:cs="Arial"/>
              </w:rPr>
              <w:jc w:val="right"/>
            </w:pPr>
            <w:r>
              <w:rPr>
                <w:rFonts w:cs="Arial"/>
              </w:rPr>
              <w:t>Consultation closeout:</w:t>
            </w:r>
          </w:p>
        </w:tc>
        <w:tc>
          <w:tcPr>
            <w:tcW w:type="pct" w:w="3777"/>
            <w:vAlign w:val="center"/>
          </w:tcPr>
          <w:sdt>
            <w:sdtPr>
              <w:rPr>
                <w:rFonts w:cs="Arial"/>
              </w:rPr>
              <w:id w:val="549498403"/>
              <w:date w:fullDate="2021-04-26T00:00:00Z">
                <w:dateFormat w:val="dd/MM/yyyy"/>
                <w:lid w:val="en-GB"/>
                <w:storeMappedDataAs w:val="dateTime"/>
                <w:calendar w:val="gregorian"/>
              </w:date>
            </w:sdtPr>
            <w:sdtContent>
              <w:p>
                <w:pPr/>
                <w:r>
                  <w:rPr>
                    <w:rFonts w:cs="Arial"/>
                  </w:rPr>
                  <w:t>26/04/2021</w:t>
                </w:r>
              </w:p>
            </w:sdtContent>
          </w:sdt>
        </w:tc>
      </w:tr>
      <w:tr>
        <w:trPr>
          <w:trHeight w:hRule="atLeast" w:val="403"/>
        </w:trPr>
        <w:tc>
          <w:tcPr>
            <w:shd w:val="clear" w:fill="B3EDFB"/>
            <w:tcW w:type="pct" w:w="1223"/>
            <w:vAlign w:val="center"/>
          </w:tcPr>
          <w:p>
            <w:pPr>
              <w:rPr>
                <w:rFonts w:cs="Arial"/>
              </w:rPr>
              <w:jc w:val="right"/>
            </w:pPr>
            <w:r>
              <w:rPr>
                <w:rFonts w:cs="Arial"/>
              </w:rPr>
              <w:t>Impact on Service Line(s) and funding (A6)</w:t>
            </w:r>
            <w:r>
              <w:rPr>
                <w:rFonts w:cs="Arial"/>
              </w:rPr>
              <w:t xml:space="preserve"> </w:t>
            </w:r>
            <w:r>
              <w:rPr>
                <w:rFonts w:cs="Arial"/>
              </w:rPr>
              <w:t xml:space="preserve">for </w:t>
            </w:r>
            <w:r>
              <w:rPr>
                <w:rFonts w:cs="Arial"/>
              </w:rPr>
              <w:t>each</w:t>
            </w:r>
            <w:r>
              <w:rPr>
                <w:rFonts w:cs="Arial"/>
              </w:rPr>
              <w:t xml:space="preserve"> Solution </w:t>
            </w:r>
            <w:r>
              <w:rPr>
                <w:rFonts w:cs="Arial"/>
              </w:rPr>
              <w:t>Option</w:t>
            </w:r>
            <w:r>
              <w:rPr>
                <w:rFonts w:cs="Arial"/>
              </w:rPr>
              <w:t>:</w:t>
            </w:r>
          </w:p>
        </w:tc>
        <w:tc>
          <w:tcPr>
            <w:tcW w:type="pct" w:w="3777"/>
            <w:vAlign w:val="center"/>
          </w:tcPr>
          <w:p>
            <w:pPr>
              <w:rPr>
                <w:color w:val="000000"/>
                <w:rFonts w:ascii="Arial" w:hAnsi="Arial" w:cs="Arial"/>
              </w:rPr>
              <w:spacing w:before="40" w:after="40"/>
            </w:pPr>
            <w:r>
              <w:rPr>
                <w:rFonts w:cs="Arial"/>
              </w:rPr>
              <w:t>DSC Service Area 7</w:t>
            </w:r>
            <w:r>
              <w:rPr>
                <w:rFonts w:ascii="Arial" w:hAnsi="Arial" w:cs="Arial"/>
              </w:rPr>
              <w:t xml:space="preserve">: </w:t>
            </w:r>
            <w:r>
              <w:rPr>
                <w:color w:val="000000"/>
                <w:rFonts w:ascii="Arial" w:hAnsi="Arial" w:cs="Arial"/>
              </w:rPr>
              <w:t>NTS Capacity, LDZ Capacity, Commodity, Reconciliation, Ad-Hoc Adjustment and Energy Balancing Invoices  </w:t>
            </w:r>
          </w:p>
          <w:p>
            <w:pPr>
              <w:rPr>
                <w:rFonts w:cs="Arial"/>
              </w:rPr>
              <w:spacing w:before="40" w:after="40"/>
            </w:pPr>
            <w:r>
              <w:rPr>
                <w:color w:val="000000"/>
                <w:rFonts w:ascii="Arial" w:hAnsi="Arial" w:cs="Arial"/>
              </w:rPr>
              <w:t>(</w:t>
            </w:r>
            <w:r>
              <w:t>Service Line ASGT – CS SA7 03) – DN funded through DSC Investment Line</w:t>
            </w:r>
          </w:p>
        </w:tc>
      </w:tr>
    </w:tbl>
    <w:p>
      <w:pPr/>
    </w:p>
    <w:p>
      <w:pPr/>
      <w:r>
        <w:br w:type="page"/>
      </w:r>
    </w:p>
    <w:p>
      <w:pPr>
        <w:rPr>
          <w:b w:val="1"/>
          <w:bCs w:val="1"/>
          <w:color w:val="1D3E61"/>
          <w:rFonts w:ascii="Arial" w:hAnsi="Arial" w:cs="Arial"/>
          <w:sz w:val="52"/>
          <w:szCs w:val="52"/>
        </w:rPr>
        <w:pStyle w:val="paragraph"/>
        <w:spacing w:before="0" w:beforeAutospacing="0" w:after="0" w:afterAutospacing="0"/>
      </w:pPr>
      <w:r>
        <w:rPr>
          <w:b w:val="1"/>
          <w:bCs w:val="1"/>
          <w:color w:val="1D3E61"/>
          <w:rFonts w:ascii="Arial" w:hAnsi="Arial" w:cs="Arial"/>
          <w:sz w:val="52"/>
          <w:szCs w:val="52"/>
        </w:rPr>
        <w:t>Section E: Industry Response Solution Options Review </w:t>
      </w:r>
    </w:p>
    <w:p>
      <w:pPr>
        <w:rPr>
          <w:b w:val="1"/>
          <w:bCs w:val="1"/>
          <w:color w:val="1D3E61"/>
          <w:rFonts w:ascii="Segoe UI" w:hAnsi="Segoe UI" w:cs="Segoe UI"/>
          <w:sz w:val="18"/>
          <w:szCs w:val="18"/>
        </w:rPr>
        <w:pStyle w:val="paragraph"/>
        <w:spacing w:before="0" w:beforeAutospacing="0" w:after="0" w:afterAutospacing="0"/>
      </w:pPr>
    </w:p>
    <w:p>
      <w:pPr>
        <w:rPr>
          <w:b w:val="1"/>
          <w:bCs w:val="1"/>
          <w:color w:val="3E5AA8"/>
          <w:sz w:val="28"/>
          <w:szCs w:val="28"/>
        </w:rPr>
        <w:keepLines w:val="1"/>
        <w:keepNext w:val="1"/>
        <w:spacing w:before="480" w:after="0"/>
        <w:outlineLvl w:val="0"/>
      </w:pPr>
      <w:r>
        <w:rPr>
          <w:b w:val="1"/>
          <w:bCs w:val="1"/>
          <w:color w:val="3E5AA8"/>
          <w:sz w:val="28"/>
          <w:szCs w:val="28"/>
        </w:rPr>
        <w:t>E1: Organisation’s preferred solution option</w:t>
      </w:r>
    </w:p>
    <w:tbl>
      <w:tblPr>
        <w:tblStyle w:val="Table Grid1"/>
        <w:tblInd w:type="dxa" w:w="-34"/>
        <w:tblW w:type="pct" w:w="5000"/>
        <w:tblLook w:firstColumn="1" w:firstRow="1" w:lastColumn="0" w:lastRow="0" w:noHBand="0" w:noVBand="1"/>
      </w:tblPr>
      <w:tblGrid>
        <w:gridCol w:w="2261"/>
        <w:gridCol w:w="1695"/>
        <w:gridCol w:w="5286"/>
      </w:tblGrid>
      <w:tr>
        <w:trPr>
          <w:trHeight w:hRule="atLeast" w:val="403"/>
        </w:trPr>
        <w:tc>
          <w:tcPr>
            <w:shd w:val="clear" w:fill="B2ECFB"/>
            <w:tcW w:type="pct" w:w="1223"/>
            <w:vAlign w:val="center"/>
            <w:tcBorders>
              <w:left w:val="single" w:sz="4" w:space="0" w:color="auto"/>
              <w:top w:val="single" w:sz="4" w:space="0" w:color="auto"/>
              <w:right w:val="single" w:sz="4" w:space="0" w:color="auto"/>
              <w:bottom w:val="single" w:sz="4" w:space="0" w:color="auto"/>
            </w:tcBorders>
            <w:vMerge w:val="restart"/>
          </w:tcPr>
          <w:p>
            <w:pPr>
              <w:rPr>
                <w:rFonts w:cs="Arial"/>
              </w:rPr>
              <w:jc w:val="right"/>
            </w:pPr>
            <w:r>
              <w:rPr>
                <w:rFonts w:cs="Arial"/>
              </w:rPr>
              <w:t>User Contact Details:</w:t>
            </w:r>
          </w:p>
        </w:tc>
        <w:tc>
          <w:tcPr>
            <w:shd w:val="clear" w:fill="B2ECFB"/>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Organisation:</w:t>
            </w:r>
          </w:p>
        </w:tc>
        <w:tc>
          <w:tcPr>
            <w:tcW w:type="pct" w:w="2860"/>
            <w:vAlign w:val="center"/>
            <w:tcBorders>
              <w:left w:val="single" w:sz="4" w:space="0" w:color="auto"/>
              <w:top w:val="single" w:sz="4" w:space="0" w:color="auto"/>
              <w:right w:val="single" w:sz="4" w:space="0" w:color="auto"/>
              <w:bottom w:val="single" w:sz="4" w:space="0" w:color="auto"/>
            </w:tcBorders>
          </w:tcPr>
          <w:p>
            <w:pPr>
              <w:rPr>
                <w:rFonts w:cs="Arial"/>
              </w:rPr>
            </w:pPr>
            <w:r>
              <w:rPr>
                <w:rFonts w:cs="Arial"/>
              </w:rPr>
              <w:t xml:space="preserve">Northern Gas Networks </w:t>
            </w:r>
          </w:p>
        </w:tc>
      </w:tr>
      <w:tr>
        <w:trPr>
          <w:trHeight w:hRule="atLeast" w:val="403"/>
        </w:trPr>
        <w:tc>
          <w:tcPr>
            <w:tcW w:type="auto" w:w="0"/>
            <w:vAlign w:val="center"/>
            <w:tcBorders>
              <w:left w:val="single" w:sz="4" w:space="0" w:color="auto"/>
              <w:top w:val="single" w:sz="4" w:space="0" w:color="auto"/>
              <w:right w:val="single" w:sz="4" w:space="0" w:color="auto"/>
              <w:bottom w:val="single" w:sz="4" w:space="0" w:color="auto"/>
            </w:tcBorders>
            <w:vMerge w:val="continue"/>
          </w:tcPr>
          <w:p/>
        </w:tc>
        <w:tc>
          <w:tcPr>
            <w:shd w:val="clear" w:fill="B2ECFB"/>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Name:</w:t>
            </w:r>
          </w:p>
        </w:tc>
        <w:tc>
          <w:tcPr>
            <w:tcW w:type="pct" w:w="2860"/>
            <w:vAlign w:val="center"/>
            <w:tcBorders>
              <w:left w:val="single" w:sz="4" w:space="0" w:color="auto"/>
              <w:top w:val="single" w:sz="4" w:space="0" w:color="auto"/>
              <w:right w:val="single" w:sz="4" w:space="0" w:color="auto"/>
              <w:bottom w:val="single" w:sz="4" w:space="0" w:color="auto"/>
            </w:tcBorders>
          </w:tcPr>
          <w:p>
            <w:pPr>
              <w:rPr>
                <w:rFonts w:cs="Arial"/>
              </w:rPr>
            </w:pPr>
            <w:r>
              <w:rPr>
                <w:rFonts w:cs="Arial"/>
              </w:rPr>
              <w:t xml:space="preserve">Helen Chandler </w:t>
            </w:r>
          </w:p>
        </w:tc>
      </w:tr>
      <w:tr>
        <w:trPr>
          <w:trHeight w:hRule="atLeast" w:val="403"/>
        </w:trPr>
        <w:tc>
          <w:tcPr>
            <w:tcW w:type="auto" w:w="0"/>
            <w:vAlign w:val="center"/>
            <w:tcBorders>
              <w:left w:val="single" w:sz="4" w:space="0" w:color="auto"/>
              <w:top w:val="single" w:sz="4" w:space="0" w:color="auto"/>
              <w:right w:val="single" w:sz="4" w:space="0" w:color="auto"/>
              <w:bottom w:val="single" w:sz="4" w:space="0" w:color="auto"/>
            </w:tcBorders>
            <w:vMerge w:val="continue"/>
          </w:tcPr>
          <w:p/>
        </w:tc>
        <w:tc>
          <w:tcPr>
            <w:shd w:val="clear" w:fill="B2ECFB"/>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Email:</w:t>
            </w:r>
          </w:p>
        </w:tc>
        <w:tc>
          <w:tcPr>
            <w:tcW w:type="pct" w:w="2860"/>
            <w:vAlign w:val="center"/>
            <w:tcBorders>
              <w:left w:val="single" w:sz="4" w:space="0" w:color="auto"/>
              <w:top w:val="single" w:sz="4" w:space="0" w:color="auto"/>
              <w:right w:val="single" w:sz="4" w:space="0" w:color="auto"/>
              <w:bottom w:val="single" w:sz="4" w:space="0" w:color="auto"/>
            </w:tcBorders>
          </w:tcPr>
          <w:p>
            <w:pPr>
              <w:rPr>
                <w:rFonts w:cs="Arial"/>
              </w:rPr>
            </w:pPr>
            <w:r>
              <w:rPr>
                <w:rFonts w:cs="Arial"/>
              </w:rPr>
              <w:t>hchandler@northerngas.co.uk</w:t>
            </w:r>
          </w:p>
        </w:tc>
      </w:tr>
      <w:tr>
        <w:trPr>
          <w:trHeight w:hRule="atLeast" w:val="403"/>
        </w:trPr>
        <w:tc>
          <w:tcPr>
            <w:tcW w:type="auto" w:w="0"/>
            <w:vAlign w:val="center"/>
            <w:tcBorders>
              <w:left w:val="single" w:sz="4" w:space="0" w:color="auto"/>
              <w:top w:val="single" w:sz="4" w:space="0" w:color="auto"/>
              <w:right w:val="single" w:sz="4" w:space="0" w:color="auto"/>
              <w:bottom w:val="single" w:sz="4" w:space="0" w:color="auto"/>
            </w:tcBorders>
            <w:vMerge w:val="continue"/>
          </w:tcPr>
          <w:p/>
        </w:tc>
        <w:tc>
          <w:tcPr>
            <w:shd w:val="clear" w:fill="B2ECFB"/>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Telephone:</w:t>
            </w:r>
          </w:p>
        </w:tc>
        <w:tc>
          <w:tcPr>
            <w:tcW w:type="pct" w:w="2860"/>
            <w:vAlign w:val="center"/>
            <w:tcBorders>
              <w:left w:val="single" w:sz="4" w:space="0" w:color="auto"/>
              <w:top w:val="single" w:sz="4" w:space="0" w:color="auto"/>
              <w:right w:val="single" w:sz="4" w:space="0" w:color="auto"/>
              <w:bottom w:val="single" w:sz="4" w:space="0" w:color="auto"/>
            </w:tcBorders>
          </w:tcPr>
          <w:p>
            <w:pPr>
              <w:rPr>
                <w:rFonts w:cs="Arial"/>
              </w:rPr>
            </w:pPr>
            <w:r>
              <w:rPr>
                <w:rFonts w:cs="Arial"/>
              </w:rPr>
              <w:t>07580704123</w:t>
            </w:r>
          </w:p>
        </w:tc>
      </w:tr>
      <w:tr>
        <w:trPr>
          <w:trHeight w:hRule="atLeast" w:val="1137"/>
        </w:trPr>
        <w:tc>
          <w:tcPr>
            <w:shd w:val="clear" w:fill="B2EC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 xml:space="preserve">Organisation’s preferred solution option, including rationale </w:t>
            </w:r>
            <w:r>
              <w:rPr>
                <w:rFonts w:cs="Arial"/>
              </w:rPr>
              <w:t>taking into account</w:t>
            </w:r>
            <w:r>
              <w:rPr>
                <w:rFonts w:cs="Arial"/>
              </w:rPr>
              <w:t xml:space="preserve"> costs, risks, resource etc.</w:t>
            </w:r>
          </w:p>
        </w:tc>
        <w:tc>
          <w:tcPr>
            <w:tcW w:type="pct" w:w="3777"/>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 xml:space="preserve">Whilst we see the need to automate a manual process for efficiency, all FSG payments that are outside GSoP (I&amp;C or &gt;73,200kWh) are paid in accordance with UNC Section J 3.5.10 </w:t>
            </w:r>
            <w:r>
              <w:rPr>
                <w:rFonts w:cs="Arial"/>
              </w:rPr>
              <w:br w:type="textWrapping"/>
            </w:r>
            <w:r>
              <w:rPr>
                <w:rFonts w:cs="Arial"/>
              </w:rPr>
              <w:br w:type="textWrapping"/>
            </w:r>
            <w:r>
              <w:rPr>
                <w:rFonts w:cs="Arial"/>
              </w:rPr>
              <w:t xml:space="preserve"> </w:t>
            </w:r>
            <w:r>
              <w:rPr>
                <w:rFonts w:cs="Arial"/>
              </w:rPr>
              <w:br w:type="textWrapping"/>
            </w:r>
            <w:r>
              <w:rPr>
                <w:rFonts w:cs="Arial"/>
              </w:rPr>
              <w:br w:type="textWrapping"/>
            </w:r>
            <w:r>
              <w:rPr>
                <w:rFonts w:cs="Arial"/>
              </w:rPr>
              <w:t xml:space="preserve">3.5.10 For the purposes of Section V10, the rules in paragraphs 3.5.3 and 3.5.5 (but not paragraph 3.5.8, but without prejudice to paragraph 3.5.9(a)) are Compensation Rules within Compensation Group J; and in relation thereto the 'payment month' is the second month following the month in which the relevant failure commenced.  </w:t>
            </w:r>
            <w:r>
              <w:rPr>
                <w:rFonts w:cs="Arial"/>
              </w:rPr>
              <w:br w:type="textWrapping"/>
            </w:r>
            <w:r>
              <w:rPr>
                <w:rFonts w:cs="Arial"/>
              </w:rPr>
              <w:br w:type="textWrapping"/>
            </w:r>
            <w:r>
              <w:rPr>
                <w:rFonts w:cs="Arial"/>
              </w:rPr>
              <w:t xml:space="preserve"> </w:t>
            </w:r>
            <w:r>
              <w:rPr>
                <w:rFonts w:cs="Arial"/>
              </w:rPr>
              <w:br w:type="textWrapping"/>
            </w:r>
            <w:r>
              <w:rPr>
                <w:rFonts w:cs="Arial"/>
              </w:rPr>
              <w:br w:type="textWrapping"/>
            </w:r>
            <w:r>
              <w:rPr>
                <w:rFonts w:cs="Arial"/>
              </w:rPr>
              <w:t xml:space="preserve">Based on this, speeding up the payments may put us in breach of UNC.  </w:t>
            </w:r>
          </w:p>
        </w:tc>
      </w:tr>
      <w:tr>
        <w:trPr>
          <w:trHeight w:hRule="atLeast" w:val="403"/>
        </w:trPr>
        <w:tc>
          <w:tcPr>
            <w:shd w:val="clear" w:fill="B2EC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Implementation Date:</w:t>
            </w:r>
          </w:p>
        </w:tc>
        <w:tc>
          <w:tcPr>
            <w:tcW w:type="pct" w:w="3777"/>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Defer</w:t>
            </w:r>
          </w:p>
        </w:tc>
      </w:tr>
      <w:tr>
        <w:trPr>
          <w:trHeight w:hRule="atLeast" w:val="403"/>
        </w:trPr>
        <w:tc>
          <w:tcPr>
            <w:shd w:val="clear" w:fill="B2EC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Xoserve preferred solution option:</w:t>
            </w:r>
          </w:p>
        </w:tc>
        <w:tc>
          <w:tcPr>
            <w:tcW w:type="pct" w:w="3777"/>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Defer</w:t>
            </w:r>
          </w:p>
        </w:tc>
      </w:tr>
      <w:tr>
        <w:trPr>
          <w:trHeight w:hRule="atLeast" w:val="403"/>
        </w:trPr>
        <w:tc>
          <w:tcPr>
            <w:shd w:val="clear" w:fill="B2EC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DSG preferred solution option:</w:t>
            </w:r>
          </w:p>
        </w:tc>
        <w:tc>
          <w:tcPr>
            <w:tcW w:type="pct" w:w="3777"/>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Defer</w:t>
            </w:r>
          </w:p>
        </w:tc>
      </w:tr>
      <w:tr>
        <w:trPr>
          <w:trHeight w:hRule="atLeast" w:val="403"/>
        </w:trPr>
        <w:tc>
          <w:tcPr>
            <w:shd w:val="clear" w:fill="B2EC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Publication of consultation response:</w:t>
            </w:r>
          </w:p>
        </w:tc>
        <w:tc>
          <w:tcPr>
            <w:tcW w:type="pct" w:w="3777"/>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N/A</w:t>
            </w:r>
          </w:p>
        </w:tc>
      </w:tr>
    </w:tbl>
    <w:p>
      <w:pPr>
        <w:rPr>
          <w:b w:val="1"/>
          <w:bCs w:val="1"/>
          <w:color w:val="3E5AA8"/>
          <w:rFonts w:cs="Times New Roman"/>
          <w:sz w:val="28"/>
          <w:szCs w:val="28"/>
        </w:rPr>
        <w:keepLines w:val="1"/>
        <w:keepNext w:val="1"/>
        <w:spacing w:before="480" w:after="0"/>
        <w:outlineLvl w:val="0"/>
      </w:pPr>
      <w:r>
        <w:rPr>
          <w:b w:val="1"/>
          <w:bCs w:val="1"/>
          <w:color w:val="3E5AA8"/>
          <w:sz w:val="28"/>
          <w:szCs w:val="28"/>
        </w:rPr>
        <w:t xml:space="preserve">E2: Xoserve’ s Response </w:t>
      </w:r>
    </w:p>
    <w:tbl>
      <w:tblPr>
        <w:tblStyle w:val="Table Grid1"/>
        <w:tblInd w:type="dxa" w:w="-34"/>
        <w:tblW w:type="pct" w:w="5000"/>
        <w:tblLook w:firstColumn="1" w:firstRow="1" w:lastColumn="0" w:lastRow="0" w:noHBand="0" w:noVBand="1"/>
      </w:tblPr>
      <w:tblGrid>
        <w:gridCol w:w="2261"/>
        <w:gridCol w:w="6981"/>
      </w:tblGrid>
      <w:tr>
        <w:trPr>
          <w:trHeight w:hRule="atLeast" w:val="663"/>
        </w:trPr>
        <w:tc>
          <w:tcPr>
            <w:shd w:val="clear" w:fill="B2EC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Xoserve Response to Organisations Comments:</w:t>
            </w:r>
          </w:p>
        </w:tc>
        <w:tc>
          <w:tcPr>
            <w:tcW w:type="pct" w:w="3777"/>
            <w:vAlign w:val="center"/>
            <w:tcBorders>
              <w:left w:val="single" w:sz="4" w:space="0" w:color="auto"/>
              <w:top w:val="single" w:sz="4" w:space="0" w:color="auto"/>
              <w:right w:val="single" w:sz="4" w:space="0" w:color="auto"/>
              <w:bottom w:val="single" w:sz="4" w:space="0" w:color="auto"/>
            </w:tcBorders>
          </w:tcPr>
          <w:p>
            <w:pPr>
              <w:rPr>
                <w:rFonts w:cs="Arial"/>
              </w:rPr>
            </w:pPr>
            <w:r>
              <w:rPr>
                <w:rFonts w:cs="Arial"/>
              </w:rPr>
              <w:t>Thank you for your response.</w:t>
            </w:r>
            <w:r>
              <w:rPr>
                <w:rFonts w:cs="Arial"/>
              </w:rPr>
              <w:br w:type="textWrapping"/>
            </w:r>
            <w:r>
              <w:rPr>
                <w:rFonts w:cs="Arial"/>
              </w:rPr>
              <w:br w:type="textWrapping"/>
            </w:r>
            <w:r>
              <w:rPr>
                <w:rFonts w:cs="Arial"/>
              </w:rPr>
              <w:t xml:space="preserve">The solution option will automate the manual process to ensure all ‘Standard Liability’ MPRNs are included within the relevant Failure to Supply Gas response file (FSR file). The timing of the Standard Liability payments will remain ‘as is’; in accordance with UNC Sections J 3.5.10 and V10 and the associated Compensation Rules. </w:t>
            </w:r>
            <w:r>
              <w:rPr>
                <w:rFonts w:cs="Arial"/>
              </w:rPr>
              <w:br w:type="textWrapping"/>
            </w:r>
            <w:r>
              <w:rPr>
                <w:rFonts w:cs="Arial"/>
              </w:rPr>
              <w:br w:type="textWrapping"/>
            </w:r>
            <w:r>
              <w:rPr>
                <w:rFonts w:cs="Arial"/>
              </w:rPr>
              <w:t>Your response will be further discussed at the Change Management Committee.</w:t>
            </w:r>
          </w:p>
        </w:tc>
      </w:tr>
    </w:tbl>
    <w:p>
      <w:pPr>
        <w:rPr>
          <w:rFonts w:cs="Times New Roman"/>
        </w:rPr>
      </w:pPr>
    </w:p>
    <w:p>
      <w:pPr>
        <w:rPr>
          <w:b w:val="1"/>
          <w:bCs w:val="1"/>
          <w:color w:val="3E5AA8"/>
          <w:sz w:val="28"/>
          <w:szCs w:val="28"/>
        </w:rPr>
        <w:keepLines w:val="1"/>
        <w:keepNext w:val="1"/>
        <w:spacing w:before="480" w:after="0"/>
        <w:outlineLvl w:val="0"/>
      </w:pPr>
      <w:r>
        <w:rPr>
          <w:b w:val="1"/>
          <w:bCs w:val="1"/>
          <w:color w:val="3E5AA8"/>
          <w:sz w:val="28"/>
          <w:szCs w:val="28"/>
        </w:rPr>
        <w:t>E1: Organisation’s preferred solution option</w:t>
      </w:r>
    </w:p>
    <w:tbl>
      <w:tblPr>
        <w:tblStyle w:val="Table Grid1"/>
        <w:tblInd w:type="dxa" w:w="-34"/>
        <w:tblW w:type="pct" w:w="5000"/>
        <w:tblLook w:firstColumn="1" w:firstRow="1" w:lastColumn="0" w:lastRow="0" w:noHBand="0" w:noVBand="1"/>
      </w:tblPr>
      <w:tblGrid>
        <w:gridCol w:w="2261"/>
        <w:gridCol w:w="1695"/>
        <w:gridCol w:w="5286"/>
      </w:tblGrid>
      <w:tr>
        <w:trPr>
          <w:trHeight w:hRule="atLeast" w:val="403"/>
        </w:trPr>
        <w:tc>
          <w:tcPr>
            <w:shd w:val="clear" w:fill="B2ECFB"/>
            <w:tcW w:type="pct" w:w="1223"/>
            <w:vAlign w:val="center"/>
            <w:tcBorders>
              <w:left w:val="single" w:sz="4" w:space="0" w:color="auto"/>
              <w:top w:val="single" w:sz="4" w:space="0" w:color="auto"/>
              <w:right w:val="single" w:sz="4" w:space="0" w:color="auto"/>
              <w:bottom w:val="single" w:sz="4" w:space="0" w:color="auto"/>
            </w:tcBorders>
            <w:vMerge w:val="restart"/>
          </w:tcPr>
          <w:p>
            <w:pPr>
              <w:rPr>
                <w:rFonts w:cs="Arial"/>
              </w:rPr>
              <w:jc w:val="right"/>
            </w:pPr>
            <w:r>
              <w:rPr>
                <w:rFonts w:cs="Arial"/>
              </w:rPr>
              <w:t>User Contact Details:</w:t>
            </w:r>
          </w:p>
        </w:tc>
        <w:tc>
          <w:tcPr>
            <w:shd w:val="clear" w:fill="B2ECFB"/>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Organisation:</w:t>
            </w:r>
          </w:p>
        </w:tc>
        <w:tc>
          <w:tcPr>
            <w:tcW w:type="pct" w:w="2860"/>
            <w:vAlign w:val="center"/>
            <w:tcBorders>
              <w:left w:val="single" w:sz="4" w:space="0" w:color="auto"/>
              <w:top w:val="single" w:sz="4" w:space="0" w:color="auto"/>
              <w:right w:val="single" w:sz="4" w:space="0" w:color="auto"/>
              <w:bottom w:val="single" w:sz="4" w:space="0" w:color="auto"/>
            </w:tcBorders>
          </w:tcPr>
          <w:p>
            <w:pPr>
              <w:rPr>
                <w:rFonts w:cs="Arial"/>
              </w:rPr>
            </w:pPr>
            <w:r>
              <w:rPr>
                <w:rFonts w:cs="Arial"/>
              </w:rPr>
              <w:t>SGN</w:t>
            </w:r>
          </w:p>
        </w:tc>
      </w:tr>
      <w:tr>
        <w:trPr>
          <w:trHeight w:hRule="atLeast" w:val="403"/>
        </w:trPr>
        <w:tc>
          <w:tcPr>
            <w:tcW w:type="auto" w:w="0"/>
            <w:vAlign w:val="center"/>
            <w:tcBorders>
              <w:left w:val="single" w:sz="4" w:space="0" w:color="auto"/>
              <w:top w:val="single" w:sz="4" w:space="0" w:color="auto"/>
              <w:right w:val="single" w:sz="4" w:space="0" w:color="auto"/>
              <w:bottom w:val="single" w:sz="4" w:space="0" w:color="auto"/>
            </w:tcBorders>
            <w:vMerge w:val="continue"/>
          </w:tcPr>
          <w:p/>
        </w:tc>
        <w:tc>
          <w:tcPr>
            <w:shd w:val="clear" w:fill="B2ECFB"/>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Name:</w:t>
            </w:r>
          </w:p>
        </w:tc>
        <w:tc>
          <w:tcPr>
            <w:tcW w:type="pct" w:w="2860"/>
            <w:vAlign w:val="center"/>
            <w:tcBorders>
              <w:left w:val="single" w:sz="4" w:space="0" w:color="auto"/>
              <w:top w:val="single" w:sz="4" w:space="0" w:color="auto"/>
              <w:right w:val="single" w:sz="4" w:space="0" w:color="auto"/>
              <w:bottom w:val="single" w:sz="4" w:space="0" w:color="auto"/>
            </w:tcBorders>
          </w:tcPr>
          <w:p>
            <w:pPr>
              <w:rPr>
                <w:rFonts w:cs="Arial"/>
              </w:rPr>
            </w:pPr>
            <w:r>
              <w:rPr>
                <w:rFonts w:cs="Arial"/>
              </w:rPr>
              <w:t>Sally Hardman</w:t>
            </w:r>
          </w:p>
        </w:tc>
      </w:tr>
      <w:tr>
        <w:trPr>
          <w:trHeight w:hRule="atLeast" w:val="403"/>
        </w:trPr>
        <w:tc>
          <w:tcPr>
            <w:tcW w:type="auto" w:w="0"/>
            <w:vAlign w:val="center"/>
            <w:tcBorders>
              <w:left w:val="single" w:sz="4" w:space="0" w:color="auto"/>
              <w:top w:val="single" w:sz="4" w:space="0" w:color="auto"/>
              <w:right w:val="single" w:sz="4" w:space="0" w:color="auto"/>
              <w:bottom w:val="single" w:sz="4" w:space="0" w:color="auto"/>
            </w:tcBorders>
            <w:vMerge w:val="continue"/>
          </w:tcPr>
          <w:p/>
        </w:tc>
        <w:tc>
          <w:tcPr>
            <w:shd w:val="clear" w:fill="B2ECFB"/>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Email:</w:t>
            </w:r>
          </w:p>
        </w:tc>
        <w:tc>
          <w:tcPr>
            <w:tcW w:type="pct" w:w="2860"/>
            <w:vAlign w:val="center"/>
            <w:tcBorders>
              <w:left w:val="single" w:sz="4" w:space="0" w:color="auto"/>
              <w:top w:val="single" w:sz="4" w:space="0" w:color="auto"/>
              <w:right w:val="single" w:sz="4" w:space="0" w:color="auto"/>
              <w:bottom w:val="single" w:sz="4" w:space="0" w:color="auto"/>
            </w:tcBorders>
          </w:tcPr>
          <w:p>
            <w:pPr>
              <w:rPr>
                <w:rFonts w:cs="Arial"/>
              </w:rPr>
            </w:pPr>
            <w:r>
              <w:rPr>
                <w:rFonts w:cs="Arial"/>
              </w:rPr>
              <w:t>Sally.hardman@sgn.co.uk</w:t>
            </w:r>
          </w:p>
        </w:tc>
      </w:tr>
      <w:tr>
        <w:trPr>
          <w:trHeight w:hRule="atLeast" w:val="403"/>
        </w:trPr>
        <w:tc>
          <w:tcPr>
            <w:tcW w:type="auto" w:w="0"/>
            <w:vAlign w:val="center"/>
            <w:tcBorders>
              <w:left w:val="single" w:sz="4" w:space="0" w:color="auto"/>
              <w:top w:val="single" w:sz="4" w:space="0" w:color="auto"/>
              <w:right w:val="single" w:sz="4" w:space="0" w:color="auto"/>
              <w:bottom w:val="single" w:sz="4" w:space="0" w:color="auto"/>
            </w:tcBorders>
            <w:vMerge w:val="continue"/>
          </w:tcPr>
          <w:p/>
        </w:tc>
        <w:tc>
          <w:tcPr>
            <w:shd w:val="clear" w:fill="B2ECFB"/>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Telephone:</w:t>
            </w:r>
          </w:p>
        </w:tc>
        <w:tc>
          <w:tcPr>
            <w:tcW w:type="pct" w:w="2860"/>
            <w:vAlign w:val="center"/>
            <w:tcBorders>
              <w:left w:val="single" w:sz="4" w:space="0" w:color="auto"/>
              <w:top w:val="single" w:sz="4" w:space="0" w:color="auto"/>
              <w:right w:val="single" w:sz="4" w:space="0" w:color="auto"/>
              <w:bottom w:val="single" w:sz="4" w:space="0" w:color="auto"/>
            </w:tcBorders>
          </w:tcPr>
          <w:p>
            <w:pPr>
              <w:rPr>
                <w:rFonts w:cs="Arial"/>
              </w:rPr>
            </w:pPr>
            <w:r>
              <w:rPr>
                <w:rFonts w:cs="Arial"/>
              </w:rPr>
              <w:t>07970 019027</w:t>
            </w:r>
          </w:p>
        </w:tc>
      </w:tr>
      <w:tr>
        <w:trPr>
          <w:trHeight w:hRule="atLeast" w:val="1137"/>
        </w:trPr>
        <w:tc>
          <w:tcPr>
            <w:shd w:val="clear" w:fill="B2EC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 xml:space="preserve">Organisation’s preferred solution option, including rationale </w:t>
            </w:r>
            <w:r>
              <w:rPr>
                <w:rFonts w:cs="Arial"/>
              </w:rPr>
              <w:t>taking into account</w:t>
            </w:r>
            <w:r>
              <w:rPr>
                <w:rFonts w:cs="Arial"/>
              </w:rPr>
              <w:t xml:space="preserve"> costs, risks, resource etc.</w:t>
            </w:r>
          </w:p>
        </w:tc>
        <w:tc>
          <w:tcPr>
            <w:tcW w:type="pct" w:w="3777"/>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Single solution option therefore no preference</w:t>
            </w:r>
          </w:p>
        </w:tc>
      </w:tr>
      <w:tr>
        <w:trPr>
          <w:trHeight w:hRule="atLeast" w:val="403"/>
        </w:trPr>
        <w:tc>
          <w:tcPr>
            <w:shd w:val="clear" w:fill="B2EC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Implementation Date:</w:t>
            </w:r>
          </w:p>
        </w:tc>
        <w:tc>
          <w:tcPr>
            <w:tcW w:type="pct" w:w="3777"/>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Approve</w:t>
            </w:r>
          </w:p>
        </w:tc>
      </w:tr>
      <w:tr>
        <w:trPr>
          <w:trHeight w:hRule="atLeast" w:val="403"/>
        </w:trPr>
        <w:tc>
          <w:tcPr>
            <w:shd w:val="clear" w:fill="B2EC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Xoserve preferred solution option:</w:t>
            </w:r>
          </w:p>
        </w:tc>
        <w:tc>
          <w:tcPr>
            <w:tcW w:type="pct" w:w="3777"/>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Single solution option therefore no preference</w:t>
            </w:r>
          </w:p>
        </w:tc>
      </w:tr>
      <w:tr>
        <w:trPr>
          <w:trHeight w:hRule="atLeast" w:val="403"/>
        </w:trPr>
        <w:tc>
          <w:tcPr>
            <w:shd w:val="clear" w:fill="B2EC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DSG preferred solution option:</w:t>
            </w:r>
          </w:p>
        </w:tc>
        <w:tc>
          <w:tcPr>
            <w:tcW w:type="pct" w:w="3777"/>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Single solution option therefore no preference</w:t>
            </w:r>
          </w:p>
        </w:tc>
      </w:tr>
      <w:tr>
        <w:trPr>
          <w:trHeight w:hRule="atLeast" w:val="403"/>
        </w:trPr>
        <w:tc>
          <w:tcPr>
            <w:shd w:val="clear" w:fill="B2EC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Publication of consultation response:</w:t>
            </w:r>
          </w:p>
        </w:tc>
        <w:tc>
          <w:tcPr>
            <w:tcW w:type="pct" w:w="3777"/>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N/A</w:t>
            </w:r>
          </w:p>
        </w:tc>
      </w:tr>
    </w:tbl>
    <w:p>
      <w:pPr>
        <w:rPr>
          <w:b w:val="1"/>
          <w:bCs w:val="1"/>
          <w:color w:val="3E5AA8"/>
          <w:rFonts w:cs="Times New Roman"/>
          <w:sz w:val="28"/>
          <w:szCs w:val="28"/>
        </w:rPr>
        <w:keepLines w:val="1"/>
        <w:keepNext w:val="1"/>
        <w:spacing w:before="480" w:after="0"/>
        <w:outlineLvl w:val="0"/>
      </w:pPr>
      <w:r>
        <w:rPr>
          <w:b w:val="1"/>
          <w:bCs w:val="1"/>
          <w:color w:val="3E5AA8"/>
          <w:sz w:val="28"/>
          <w:szCs w:val="28"/>
        </w:rPr>
        <w:t xml:space="preserve">E2: Xoserve’ s Response </w:t>
      </w:r>
    </w:p>
    <w:tbl>
      <w:tblPr>
        <w:tblStyle w:val="Table Grid1"/>
        <w:tblInd w:type="dxa" w:w="-34"/>
        <w:tblW w:type="pct" w:w="5000"/>
        <w:tblLook w:firstColumn="1" w:firstRow="1" w:lastColumn="0" w:lastRow="0" w:noHBand="0" w:noVBand="1"/>
      </w:tblPr>
      <w:tblGrid>
        <w:gridCol w:w="2261"/>
        <w:gridCol w:w="6981"/>
      </w:tblGrid>
      <w:tr>
        <w:trPr>
          <w:trHeight w:hRule="atLeast" w:val="663"/>
        </w:trPr>
        <w:tc>
          <w:tcPr>
            <w:shd w:val="clear" w:fill="B2EC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Xoserve Response to Organisations Comments:</w:t>
            </w:r>
          </w:p>
        </w:tc>
        <w:tc>
          <w:tcPr>
            <w:tcW w:type="pct" w:w="3777"/>
            <w:vAlign w:val="center"/>
            <w:tcBorders>
              <w:left w:val="single" w:sz="4" w:space="0" w:color="auto"/>
              <w:top w:val="single" w:sz="4" w:space="0" w:color="auto"/>
              <w:right w:val="single" w:sz="4" w:space="0" w:color="auto"/>
              <w:bottom w:val="single" w:sz="4" w:space="0" w:color="auto"/>
            </w:tcBorders>
          </w:tcPr>
          <w:p>
            <w:pPr>
              <w:rPr>
                <w:rFonts w:cs="Arial"/>
              </w:rPr>
            </w:pPr>
            <w:r>
              <w:rPr>
                <w:rFonts w:cs="Arial"/>
              </w:rPr>
              <w:t>Thank you for your representation, we will feed this into ChMC for a final decision.</w:t>
            </w:r>
          </w:p>
        </w:tc>
      </w:tr>
    </w:tbl>
    <w:p>
      <w:pPr>
        <w:rPr>
          <w:rFonts w:cs="Times New Roman"/>
        </w:rPr>
      </w:pPr>
    </w:p>
    <w:p>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1440" w:footer="708" w:gutter="0" w:header="708" w:left="1440" w:right="1440" w:top="1440"/>
      <w:pgNumType w:fmt="decimal"/>
      <w:cols w:equalWidth="1" w:num="1" w:space="708" w:sep="0"/>
      <w:headerReference w:type="default" r:id="Reb4c13c7082e46be"/>
      <w:footerReference w:type="default" r:id="R87749bfee8a343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1"/>
    <w:family w:val="auto"/>
    <w:notTrueType w:val="off"/>
    <w:pitch w:val="variable"/>
    <w:sig w:usb0="E0002EFF" w:usb1="C0007843" w:usb2="00000009" w:usb3="00000000" w:csb0="400001FF" w:csb1="FFFF0000"/>
    <w:altName w:val="Arial"/>
  </w:font>
  <w:font w:name="Segoe UI">
    <w:panose1 w:val="020B0502040204020203"/>
    <w:charset w:val="01"/>
    <w:family w:val="auto"/>
    <w:notTrueType w:val="off"/>
    <w:pitch w:val="variable"/>
    <w:sig w:usb0="E4002EFF" w:usb1="C000E47F" w:usb2="00000009" w:usb3="00000000" w:csb0="200001FF" w:csb1="00000000"/>
  </w:font>
  <w:font w:name="Times New Roman">
    <w:panose1 w:val="02020603050405020304"/>
    <w:charset w:val="01"/>
    <w:family w:val="auto"/>
    <w:notTrueType w:val="off"/>
    <w:pitch w:val="variable"/>
    <w:sig w:usb0="E0002EFF" w:usb1="C000785B" w:usb2="00000009" w:usb3="00000000" w:csb0="400001FF" w:csb1="FFFF0000"/>
  </w:font>
  <w:font w:name="Tahoma">
    <w:panose1 w:val="020B0604030504040204"/>
    <w:charset w:val="01"/>
    <w:family w:val="auto"/>
    <w:notTrueType w:val="off"/>
    <w:pitch w:val="variable"/>
    <w:sig w:usb0="E1002EFF" w:usb1="C000605B" w:usb2="00000029" w:usb3="00000000" w:csb0="200101FF" w:csb1="2028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w:t>CP_V7</w:t>
    </w:r>
    <w:r>
      <w:t>.</w:t>
    </w:r>
    <w:r>
      <w:t>0</w:t>
    </w:r>
    <w:r>
      <mc:AlternateContent>
        <mc:Choice Requires="wps">
          <w:drawing>
            <wp:anchor allowOverlap="1" layoutInCell="1" relativeHeight="251661314" locked="0" simplePos="0" distL="114300" distT="0" distR="114300" distB="0" behindDoc="0">
              <wp:simplePos x="0" y="0"/>
              <wp:positionH relativeFrom="column">
                <wp:posOffset>-914400</wp:posOffset>
              </wp:positionH>
              <wp:positionV relativeFrom="paragraph">
                <wp:posOffset>376555</wp:posOffset>
              </wp:positionV>
              <wp:extent cx="7562850" cy="257175"/>
              <wp:effectExtent l="0" t="0" r="0" b="9525"/>
              <wp:wrapNone/>
              <wp:docPr id="4" name="drawingObject4"/>
              <wp:cNvGraphicFramePr/>
              <a:graphic>
                <a:graphicData uri="http://schemas.microsoft.com/office/word/2010/wordprocessingShape">
                  <wps:wsp>
                    <wps:cNvSpPr/>
                    <wps:spPr>
                      <a:xfrm rot="0">
                        <a:ext cx="7562850"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63362" locked="0" simplePos="0" distL="114300" distT="0" distR="114300" distB="0" behindDoc="0">
              <wp:simplePos x="0" y="0"/>
              <wp:positionH relativeFrom="column">
                <wp:posOffset>3743325</wp:posOffset>
              </wp:positionH>
              <wp:positionV relativeFrom="paragraph">
                <wp:posOffset>-70485</wp:posOffset>
              </wp:positionV>
              <wp:extent cx="2066926" cy="325750"/>
              <wp:effectExtent l="0" t="0" r="0" b="0"/>
              <wp:wrapNone/>
              <wp:docPr id="1" name="drawingObject1"/>
              <wp:cNvGraphicFramePr>
                <a:graphicFrameLocks noChangeAspect="1"/>
              </wp:cNvGraphicFramePr>
              <a:graphic>
                <a:graphicData uri="http://schemas.openxmlformats.org/drawingml/2006/picture">
                  <pic:pic>
                    <pic:nvPicPr>
                      <pic:cNvPr id="2" name="Picture 2"/>
                      <pic:cNvPicPr/>
                    </pic:nvPicPr>
                    <pic:blipFill>
                      <a:blip r:embed="R08a2b995263e4edf"/>
                      <a:stretch/>
                    </pic:blipFill>
                    <pic:spPr>
                      <a:xfrm rot="0">
                        <a:ext cx="2066926" cy="325750"/>
                      </a:xfrm>
                      <a:prstGeom prst="rect">
                        <a:avLst/>
                      </a:prstGeom>
                      <a:noFill/>
                    </pic:spPr>
                  </pic:pic>
                </a:graphicData>
              </a:graphic>
            </wp:anchor>
          </w:drawing>
        </mc:Choice>
        <mc:Fallback/>
      </mc:AlternateContent>
    </w:r>
    <w:r>
      <mc:AlternateContent>
        <mc:Choice Requires="wps">
          <w:drawing>
            <wp:anchor allowOverlap="1" layoutInCell="1" relativeHeight="251659266" locked="0" simplePos="0" distL="114300" distT="0" distR="114300" distB="0" behindDoc="0">
              <wp:simplePos x="0" y="0"/>
              <wp:positionH relativeFrom="column">
                <wp:posOffset>-914400</wp:posOffset>
              </wp:positionH>
              <wp:positionV relativeFrom="paragraph">
                <wp:posOffset>-487681</wp:posOffset>
              </wp:positionV>
              <wp:extent cx="7562850" cy="257175"/>
              <wp:effectExtent l="0" t="0" r="0" b="9525"/>
              <wp:wrapNone/>
              <wp:docPr id="3" name="drawingObject3"/>
              <wp:cNvGraphicFramePr/>
              <a:graphic>
                <a:graphicData uri="http://schemas.microsoft.com/office/word/2010/wordprocessingShape">
                  <wps:wsp>
                    <wps:cNvSpPr/>
                    <wps:spPr>
                      <a:xfrm rot="0">
                        <a:ext cx="7562850" cy="257175"/>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4"/>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lang w:val="en-GB"/>
        <w:sz w:val="22"/>
        <w:szCs w:val="22"/>
      </w:rPr>
    </w:rPrDefault>
    <w:pPrDefault>
      <w:pPr>
        <w:spacing w:after="200" w:lineRule="auto" w:line="276"/>
      </w:pPr>
    </w:pPrDefault>
  </w:docDefaults>
  <w:style w:type="paragraph" w:styleId="Normal" w:default="1">
    <w:name w:val="Normal"/>
    <w:qFormat/>
    <w:rPr>
      <w:rFonts w:ascii="Arial" w:hAnsi="Arial"/>
    </w:rPr>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Fonts w:ascii="Arial" w:hAnsi="Arial"/>
    </w:rPr>
  </w:style>
  <w:style w:type="paragraph" w:styleId="heading 4">
    <w:name w:val="heading 4"/>
    <w:qFormat/>
    <w:basedOn w:val="Normal"/>
    <w:pPr>
      <w:keepLines w:val="1"/>
      <w:keepNext w:val="1"/>
      <w:spacing w:before="200" w:after="0"/>
      <w:outlineLvl w:val="3"/>
    </w:pPr>
    <w:rPr>
      <w:b w:val="1"/>
      <w:bCs w:val="1"/>
      <w:color w:val="3E5AA8"/>
      <w:rFonts w:ascii="Arial" w:hAnsi="Arial"/>
      <w:i w:val="1"/>
      <w:iCs w:val="1"/>
    </w:rPr>
  </w:style>
  <w:style w:type="paragraph" w:styleId="heading 5">
    <w:name w:val="heading 5"/>
    <w:qFormat/>
    <w:basedOn w:val="Normal"/>
    <w:pPr>
      <w:keepLines w:val="1"/>
      <w:keepNext w:val="1"/>
      <w:spacing w:before="200" w:after="0"/>
      <w:outlineLvl w:val="4"/>
    </w:pPr>
    <w:rPr>
      <w:color w:val="1F2D54"/>
      <w:rFonts w:ascii="Arial" w:hAnsi="Arial"/>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rPr>
      <w:rFonts w:ascii="Arial" w:hAnsi="Arial"/>
    </w:r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rPr>
      <w:rFonts w:ascii="Arial" w:hAnsi="Arial"/>
    </w:r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sz w:val="20"/>
      <w:szCs w:val="20"/>
    </w:rPr>
  </w:style>
  <w:style w:type="character" w:styleId="Comment Text Char">
    <w:name w:val="Comment Text Char"/>
    <w:qFormat/>
    <w:basedOn w:val="Default Paragraph Font"/>
    <w:rPr>
      <w:rFonts w:ascii="Arial" w:hAnsi="Arial"/>
      <w:sz w:val="20"/>
      <w:szCs w:val="20"/>
    </w:rPr>
  </w:style>
  <w:style w:type="paragraph" w:styleId="annotation subject">
    <w:name w:val="annotation subject"/>
    <w:qFormat/>
    <w:basedOn w:val="annotation text"/>
    <w:rPr>
      <w:b w:val="1"/>
      <w:bCs w:val="1"/>
    </w:rPr>
  </w:style>
  <w:style w:type="character" w:styleId="Comment Subject Char">
    <w:name w:val="Comment Subject Char"/>
    <w:qFormat/>
    <w:basedOn w:val="Comment Text Char"/>
    <w:rPr>
      <w:b w:val="1"/>
      <w:bCs w:val="1"/>
      <w:rFonts w:ascii="Arial" w:hAnsi="Arial"/>
      <w:sz w:val="20"/>
      <w:szCs w:val="20"/>
    </w:rPr>
  </w:style>
  <w:style w:type="character" w:styleId="Placeholder Text">
    <w:name w:val="Placeholder Text"/>
    <w:qFormat/>
    <w:basedOn w:val="Default Paragraph Font"/>
    <w:rPr>
      <w:color w:val="808080"/>
    </w:rPr>
  </w:style>
  <w:style w:type="paragraph" w:styleId="paragraph">
    <w:name w:val="paragraph"/>
    <w:qFormat/>
    <w:basedOn w:val="Normal"/>
    <w:pPr>
      <w:spacing w:before="100" w:beforeAutospacing="1" w:after="100" w:afterAutospacing="1" w:lineRule="auto" w:line="240"/>
    </w:pPr>
    <w:rPr>
      <w:rFonts w:ascii="Times New Roman" w:hAnsi="Times New Roman" w:cs="Times New Roman" w:eastAsia="Times New Roman"/>
      <w:sz w:val="24"/>
      <w:szCs w:val="24"/>
    </w:rPr>
  </w:style>
  <w:style w:type="table" w:styleId="Table Grid1">
    <w:name w:val="Table Grid1"/>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rPr>
      <w:rFonts w:ascii="Arial" w:hAnsi="Arial" w:cs="Times New Roman" w:eastAsia="Times New Roman"/>
    </w:rPr>
  </w:style>
  <w:style w:type="character" w:styleId="Unresolved Mention">
    <w:name w:val="Unresolved Mention"/>
    <w:qFormat/>
    <w:basedOn w:val="Default Paragraph Font"/>
    <w:rPr>
      <w:shd w:val="clear" w:fill="E1DFDD"/>
      <w:color w:val="605E5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mbraco.xoserve.com/media/41959/xrn5309-hlso-assessment-v11.pdf" TargetMode="External" Id="R26ec316ad73e499e" /><Relationship Type="http://schemas.openxmlformats.org/officeDocument/2006/relationships/header" Target="header1.xml" Id="Reb4c13c7082e46be" /><Relationship Type="http://schemas.openxmlformats.org/officeDocument/2006/relationships/footer" Target="footer1.xml" Id="R87749bfee8a34341" /><Relationship Type="http://schemas.openxmlformats.org/officeDocument/2006/relationships/customXml" Target="/customXml/item1.xml" Id="R75c42c19f2854879" /><Relationship Type="http://schemas.openxmlformats.org/officeDocument/2006/relationships/customXml" Target="/customXml/item2.xml" Id="R974ea73e589e49d2" /><Relationship Type="http://schemas.openxmlformats.org/officeDocument/2006/relationships/customXml" Target="/customXml/item3.xml" Id="R6abc3535faca45ec" /><Relationship Type="http://schemas.openxmlformats.org/officeDocument/2006/relationships/customXml" Target="/customXml/item4.xml" Id="R4249afe6b46d4ddc" /><Relationship Type="http://schemas.openxmlformats.org/officeDocument/2006/relationships/styles" Target="styles.xml" Id="Red621dd8f76241a6" /><Relationship Type="http://schemas.openxmlformats.org/officeDocument/2006/relationships/fontTable" Target="fontTable.xml" Id="Rf6a9aad8ed494a55" /><Relationship Type="http://schemas.openxmlformats.org/officeDocument/2006/relationships/settings" Target="settings.xml" Id="R46728d1ee9324182" /><Relationship Type="http://schemas.openxmlformats.org/officeDocument/2006/relationships/webSettings" Target="webSettings.xml" Id="R804543d2abc5456a" /></Relationships>
</file>

<file path=word/_rels/header1.xml.rels>&#65279;<?xml version="1.0" encoding="utf-8"?><Relationships xmlns="http://schemas.openxmlformats.org/package/2006/relationships"><Relationship Type="http://schemas.openxmlformats.org/officeDocument/2006/relationships/image" Target="media/eso2sbz1.png" Id="R08a2b995263e4edf" /></Relationships>
</file>

<file path=customXml/_rels/item1.xml.rels>&#65279;<?xml version="1.0" encoding="utf-8"?><Relationships xmlns="http://schemas.openxmlformats.org/package/2006/relationships"><Relationship Type="http://schemas.openxmlformats.org/officeDocument/2006/relationships/customXmlProps" Target="itemProps1.xml" Id="Rdddb25632d344d43" /></Relationships>
</file>

<file path=customXml/_rels/item2.xml.rels>&#65279;<?xml version="1.0" encoding="utf-8"?><Relationships xmlns="http://schemas.openxmlformats.org/package/2006/relationships"><Relationship Type="http://schemas.openxmlformats.org/officeDocument/2006/relationships/customXmlProps" Target="itemProps2.xml" Id="R38f17d1a7b7e4d5e" /></Relationships>
</file>

<file path=customXml/_rels/item3.xml.rels>&#65279;<?xml version="1.0" encoding="utf-8"?><Relationships xmlns="http://schemas.openxmlformats.org/package/2006/relationships"><Relationship Type="http://schemas.openxmlformats.org/officeDocument/2006/relationships/customXmlProps" Target="itemProps3.xml" Id="R2c7beda08cfd4678" /></Relationships>
</file>

<file path=customXml/_rels/item4.xml.rels>&#65279;<?xml version="1.0" encoding="utf-8"?><Relationships xmlns="http://schemas.openxmlformats.org/package/2006/relationships"><Relationship Type="http://schemas.openxmlformats.org/officeDocument/2006/relationships/customXmlProps" Target="itemProps4.xml" Id="R67971125e4ce4746"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_x006a_hd3 xmlns="5844fa40-a696-4ac9-bd38-c0330d295109" xsi:nil="true"/>
    <Customer_x0020_Contracts_x0020_Lead xmlns="5844fa40-a696-4ac9-bd38-c0330d2951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4" ma:contentTypeDescription="Create a new document." ma:contentTypeScope="" ma:versionID="33b8fecee8c4713a57430302bf85c5cc">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f5412dd98e0cafb03a0a30bd6733c8ea"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2.xml><?xml version="1.0" encoding="utf-8"?>
<ds:datastoreItem xmlns:ds="http://schemas.openxmlformats.org/officeDocument/2006/customXml" ds:itemID="{DA5FD1E4-E801-45E3-8622-5705A3614C6C}">
  <ds:schemaRefs>
    <ds:schemaRef ds:uri="http://purl.org/dc/terms/"/>
    <ds:schemaRef ds:uri="http://schemas.microsoft.com/office/2006/metadata/properties"/>
    <ds:schemaRef ds:uri="http://purl.org/dc/elements/1.1/"/>
    <ds:schemaRef ds:uri="c78a4dae-5fc0-4ed3-ad80-da51122ab114"/>
    <ds:schemaRef ds:uri="5844fa40-a696-4ac9-bd38-c0330d295109"/>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2D6BA51-66F2-4750-8646-04D6172EB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F4775B-0B7B-4CCD-9AAA-BDC6A7090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2</Pages>
  <Words>478</Words>
  <Characters>2727</Characters>
  <CharactersWithSpaces>3199</CharactersWithSpaces>
  <Lines>22</Lin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Rachel Taggart</cp:lastModifiedBy>
  <dcterms:created xsi:type="dcterms:W3CDTF">2021-03-12T09:31:00Z</dcterms:created>
  <dcterms:modified xsi:type="dcterms:W3CDTF">2021-04-12T13:42:00Z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ies>
</file>