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36001" w14:textId="77777777" w:rsidR="00550D2B" w:rsidRDefault="00B93E89">
      <w:pPr>
        <w:pStyle w:val="Title"/>
      </w:pPr>
      <w:r>
        <w:t>Section G: Change Pack</w:t>
      </w:r>
    </w:p>
    <w:p w14:paraId="4226BE09" w14:textId="77777777" w:rsidR="00550D2B" w:rsidRDefault="00B93E89">
      <w:pPr>
        <w:pStyle w:val="Heading1"/>
      </w:pPr>
      <w:r>
        <w:t>G1: Communication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BE756D" w14:paraId="5B056027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3553789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Comm Reference:</w:t>
            </w:r>
          </w:p>
        </w:tc>
        <w:tc>
          <w:tcPr>
            <w:tcW w:w="3777" w:type="pct"/>
            <w:vAlign w:val="center"/>
          </w:tcPr>
          <w:p w14:paraId="57405B8F" w14:textId="558B69E2" w:rsidR="00550D2B" w:rsidRDefault="00CE55DD">
            <w:pPr>
              <w:rPr>
                <w:rFonts w:cs="Arial"/>
              </w:rPr>
            </w:pPr>
            <w:r w:rsidRPr="00C73A85">
              <w:rPr>
                <w:rFonts w:cs="Arial"/>
                <w:szCs w:val="20"/>
              </w:rPr>
              <w:t>2827.</w:t>
            </w:r>
            <w:r w:rsidR="00DE1989">
              <w:rPr>
                <w:rFonts w:cs="Arial"/>
                <w:szCs w:val="20"/>
              </w:rPr>
              <w:t>6</w:t>
            </w:r>
            <w:r w:rsidRPr="00C73A85">
              <w:rPr>
                <w:rFonts w:cs="Arial"/>
                <w:szCs w:val="20"/>
              </w:rPr>
              <w:t xml:space="preserve"> - RT - PO</w:t>
            </w:r>
          </w:p>
        </w:tc>
      </w:tr>
      <w:tr w:rsidR="00BE756D" w14:paraId="65D6E70A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7846A4E3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Comm Title:</w:t>
            </w:r>
          </w:p>
        </w:tc>
        <w:tc>
          <w:tcPr>
            <w:tcW w:w="3777" w:type="pct"/>
            <w:vAlign w:val="center"/>
          </w:tcPr>
          <w:p w14:paraId="553A33EF" w14:textId="77777777" w:rsidR="00761DB2" w:rsidRDefault="008E71F1">
            <w:pPr>
              <w:rPr>
                <w:rFonts w:cs="Arial"/>
              </w:rPr>
            </w:pPr>
            <w:r>
              <w:rPr>
                <w:rFonts w:cs="Arial"/>
              </w:rPr>
              <w:t xml:space="preserve">XRN5072 </w:t>
            </w:r>
            <w:r w:rsidR="00502A07" w:rsidRPr="00502A07">
              <w:rPr>
                <w:rFonts w:cs="Arial"/>
              </w:rPr>
              <w:t>Application and derivation of TTZ indicator and calculation of volume and energy – all classes</w:t>
            </w:r>
            <w:r w:rsidR="000A4CDF">
              <w:rPr>
                <w:rFonts w:cs="Arial"/>
              </w:rPr>
              <w:t xml:space="preserve"> </w:t>
            </w:r>
          </w:p>
          <w:p w14:paraId="493087CF" w14:textId="52FE10A1" w:rsidR="00550D2B" w:rsidRDefault="001C66F1">
            <w:pPr>
              <w:rPr>
                <w:rFonts w:cs="Arial"/>
              </w:rPr>
            </w:pPr>
            <w:r>
              <w:rPr>
                <w:rFonts w:cs="Arial"/>
              </w:rPr>
              <w:t xml:space="preserve">Revised </w:t>
            </w:r>
            <w:r w:rsidR="000A4CDF">
              <w:rPr>
                <w:rFonts w:cs="Arial"/>
              </w:rPr>
              <w:t>Detailed Design Change Pack</w:t>
            </w:r>
          </w:p>
        </w:tc>
      </w:tr>
      <w:tr w:rsidR="00BE756D" w14:paraId="148915B0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006A587B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Comm Date:</w:t>
            </w:r>
          </w:p>
        </w:tc>
        <w:tc>
          <w:tcPr>
            <w:tcW w:w="3777" w:type="pct"/>
            <w:vAlign w:val="center"/>
          </w:tcPr>
          <w:p w14:paraId="0AD1251A" w14:textId="6069DC0A" w:rsidR="000D0654" w:rsidRDefault="00DE1989">
            <w:pPr>
              <w:rPr>
                <w:rFonts w:cs="Arial"/>
              </w:rPr>
            </w:pPr>
            <w:r>
              <w:rPr>
                <w:rFonts w:cs="Arial"/>
              </w:rPr>
              <w:t>17/05/2021</w:t>
            </w:r>
          </w:p>
        </w:tc>
      </w:tr>
    </w:tbl>
    <w:p w14:paraId="6A11CB9A" w14:textId="77777777" w:rsidR="00550D2B" w:rsidRDefault="00550D2B"/>
    <w:p w14:paraId="47BCC027" w14:textId="77777777" w:rsidR="00550D2B" w:rsidRDefault="00B93E89">
      <w:pPr>
        <w:spacing w:after="0"/>
        <w:rPr>
          <w:b/>
          <w:bCs/>
          <w:color w:val="3E5AA8"/>
          <w:sz w:val="28"/>
          <w:szCs w:val="28"/>
        </w:rPr>
      </w:pPr>
      <w:r>
        <w:rPr>
          <w:b/>
          <w:bCs/>
          <w:color w:val="3E5AA8"/>
          <w:sz w:val="28"/>
          <w:szCs w:val="28"/>
        </w:rPr>
        <w:t>G2: Change Representation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BE756D" w14:paraId="56F06AFF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2F247B39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Action Required:</w:t>
            </w:r>
          </w:p>
        </w:tc>
        <w:tc>
          <w:tcPr>
            <w:tcW w:w="3777" w:type="pct"/>
            <w:vAlign w:val="center"/>
          </w:tcPr>
          <w:p w14:paraId="2598187E" w14:textId="1088EA5B" w:rsidR="00550D2B" w:rsidRDefault="00B93E89">
            <w:pPr>
              <w:rPr>
                <w:rFonts w:cs="Arial"/>
              </w:rPr>
            </w:pPr>
            <w:r>
              <w:rPr>
                <w:rFonts w:cs="Arial"/>
              </w:rPr>
              <w:t xml:space="preserve">For </w:t>
            </w:r>
            <w:r w:rsidR="00665FF6">
              <w:rPr>
                <w:rFonts w:cs="Arial"/>
              </w:rPr>
              <w:t>information</w:t>
            </w:r>
          </w:p>
        </w:tc>
      </w:tr>
      <w:tr w:rsidR="00BE756D" w14:paraId="0E511E5A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0458E94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Close Out Date:</w:t>
            </w:r>
          </w:p>
        </w:tc>
        <w:tc>
          <w:tcPr>
            <w:tcW w:w="3777" w:type="pct"/>
            <w:vAlign w:val="center"/>
          </w:tcPr>
          <w:p w14:paraId="677BAAB7" w14:textId="047A607C" w:rsidR="00550D2B" w:rsidRDefault="00DE1989">
            <w:pPr>
              <w:rPr>
                <w:rFonts w:cs="Arial"/>
              </w:rPr>
            </w:pPr>
            <w:r>
              <w:rPr>
                <w:rFonts w:cs="Arial"/>
              </w:rPr>
              <w:t>01/06/2021</w:t>
            </w:r>
            <w:bookmarkStart w:id="0" w:name="_GoBack"/>
            <w:bookmarkEnd w:id="0"/>
          </w:p>
        </w:tc>
      </w:tr>
    </w:tbl>
    <w:p w14:paraId="59061D70" w14:textId="77777777" w:rsidR="00550D2B" w:rsidRDefault="00B93E89">
      <w:pPr>
        <w:pStyle w:val="Heading1"/>
      </w:pPr>
      <w:r>
        <w:t>G3: Change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BE756D" w14:paraId="6ACC6E20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5AA43B1C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Xoserve Reference Number: </w:t>
            </w:r>
          </w:p>
        </w:tc>
        <w:tc>
          <w:tcPr>
            <w:tcW w:w="3777" w:type="pct"/>
            <w:vAlign w:val="center"/>
          </w:tcPr>
          <w:p w14:paraId="697C90D0" w14:textId="43321850" w:rsidR="00550D2B" w:rsidRDefault="000738E2">
            <w:pPr>
              <w:rPr>
                <w:rFonts w:cs="Arial"/>
              </w:rPr>
            </w:pPr>
            <w:r>
              <w:rPr>
                <w:rFonts w:cs="Arial"/>
              </w:rPr>
              <w:t>XRN5072</w:t>
            </w:r>
          </w:p>
        </w:tc>
      </w:tr>
      <w:tr w:rsidR="00BE756D" w14:paraId="0727C187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3FA9B76A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Change Class:</w:t>
            </w:r>
          </w:p>
        </w:tc>
        <w:tc>
          <w:tcPr>
            <w:tcW w:w="3777" w:type="pct"/>
            <w:vAlign w:val="center"/>
          </w:tcPr>
          <w:p w14:paraId="6CEE25A9" w14:textId="39441EE5" w:rsidR="00550D2B" w:rsidRDefault="00DA761E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Functional System</w:t>
            </w:r>
          </w:p>
        </w:tc>
      </w:tr>
      <w:tr w:rsidR="00BE756D" w14:paraId="16FA960F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1B3818B5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ChMC Constituency Impacted:</w:t>
            </w:r>
          </w:p>
        </w:tc>
        <w:tc>
          <w:tcPr>
            <w:tcW w:w="3777" w:type="pct"/>
            <w:vAlign w:val="center"/>
          </w:tcPr>
          <w:p w14:paraId="5218A83A" w14:textId="716AAF3D" w:rsidR="00550D2B" w:rsidRDefault="0052418B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Shipper Class A; Shipper Class B; Shipper Class C</w:t>
            </w:r>
          </w:p>
        </w:tc>
      </w:tr>
      <w:tr w:rsidR="00BE756D" w14:paraId="321D377D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265B80E3" w14:textId="77777777" w:rsidR="00F20EF4" w:rsidRDefault="00F20EF4" w:rsidP="00F20EF4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Change Owner: </w:t>
            </w:r>
          </w:p>
        </w:tc>
        <w:tc>
          <w:tcPr>
            <w:tcW w:w="3777" w:type="pct"/>
            <w:vAlign w:val="center"/>
          </w:tcPr>
          <w:p w14:paraId="5DF441C4" w14:textId="77777777" w:rsidR="00F20EF4" w:rsidRDefault="00F20EF4" w:rsidP="00F20EF4">
            <w:pPr>
              <w:rPr>
                <w:rFonts w:cs="Arial"/>
              </w:rPr>
            </w:pPr>
            <w:r>
              <w:rPr>
                <w:rFonts w:cs="Arial"/>
              </w:rPr>
              <w:t>James Barlow</w:t>
            </w:r>
          </w:p>
          <w:p w14:paraId="7E8BEB2B" w14:textId="77777777" w:rsidR="00F20EF4" w:rsidRDefault="00F20EF4" w:rsidP="00F20EF4">
            <w:pPr>
              <w:rPr>
                <w:rFonts w:cs="Arial"/>
              </w:rPr>
            </w:pPr>
            <w:r w:rsidRPr="0085132F">
              <w:rPr>
                <w:rFonts w:cs="Arial"/>
              </w:rPr>
              <w:t>Customer Change Specialist</w:t>
            </w:r>
          </w:p>
          <w:p w14:paraId="58C9D132" w14:textId="77777777" w:rsidR="00F20EF4" w:rsidRDefault="0022758E" w:rsidP="00F20EF4">
            <w:hyperlink r:id="rId10" w:history="1">
              <w:r w:rsidR="00F20EF4" w:rsidRPr="006F6790">
                <w:rPr>
                  <w:rStyle w:val="Hyperlink"/>
                </w:rPr>
                <w:t>james.barlow@xoserve.com</w:t>
              </w:r>
            </w:hyperlink>
          </w:p>
          <w:p w14:paraId="0B5E0CC9" w14:textId="516B5FAD" w:rsidR="00F20EF4" w:rsidRDefault="00F20EF4" w:rsidP="00F20EF4">
            <w:pPr>
              <w:rPr>
                <w:rFonts w:cs="Arial"/>
              </w:rPr>
            </w:pPr>
            <w:r>
              <w:rPr>
                <w:rFonts w:cs="Arial"/>
              </w:rPr>
              <w:t>0121 229 2802</w:t>
            </w:r>
          </w:p>
        </w:tc>
      </w:tr>
      <w:tr w:rsidR="00BE756D" w14:paraId="2F1AADA2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25E6804B" w14:textId="77777777" w:rsidR="00F20EF4" w:rsidRDefault="00F20EF4" w:rsidP="00F20EF4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Background and Context:</w:t>
            </w:r>
          </w:p>
        </w:tc>
        <w:tc>
          <w:tcPr>
            <w:tcW w:w="3777" w:type="pct"/>
            <w:vAlign w:val="center"/>
          </w:tcPr>
          <w:p w14:paraId="11C49A61" w14:textId="4D973AE6" w:rsidR="001F3F4A" w:rsidRPr="00750B9C" w:rsidRDefault="00BC652E" w:rsidP="00602066">
            <w:pPr>
              <w:jc w:val="both"/>
              <w:rPr>
                <w:color w:val="00B050"/>
              </w:rPr>
            </w:pPr>
            <w:r w:rsidRPr="00750B9C">
              <w:rPr>
                <w:color w:val="00B050"/>
              </w:rPr>
              <w:t xml:space="preserve">Please Note: This is a </w:t>
            </w:r>
            <w:r w:rsidR="00760039">
              <w:rPr>
                <w:color w:val="00B050"/>
              </w:rPr>
              <w:t>revision</w:t>
            </w:r>
            <w:r w:rsidRPr="00750B9C">
              <w:rPr>
                <w:color w:val="00B050"/>
              </w:rPr>
              <w:t xml:space="preserve"> of the Detail Design Change Pack that was originally issued in </w:t>
            </w:r>
            <w:r w:rsidR="008729E5" w:rsidRPr="00750B9C">
              <w:rPr>
                <w:color w:val="00B050"/>
              </w:rPr>
              <w:t>March</w:t>
            </w:r>
            <w:r w:rsidRPr="00750B9C">
              <w:rPr>
                <w:color w:val="00B050"/>
              </w:rPr>
              <w:t xml:space="preserve"> </w:t>
            </w:r>
            <w:r w:rsidR="00760039">
              <w:rPr>
                <w:color w:val="00B050"/>
              </w:rPr>
              <w:t>20</w:t>
            </w:r>
            <w:r w:rsidRPr="00750B9C">
              <w:rPr>
                <w:color w:val="00B050"/>
              </w:rPr>
              <w:t xml:space="preserve">21 (2808.2 - MT - PO). </w:t>
            </w:r>
            <w:r w:rsidR="00293DC7" w:rsidRPr="00750B9C">
              <w:rPr>
                <w:color w:val="00B050"/>
              </w:rPr>
              <w:t xml:space="preserve">Following further </w:t>
            </w:r>
            <w:r w:rsidR="001F3F4A" w:rsidRPr="00750B9C">
              <w:rPr>
                <w:color w:val="00B050"/>
              </w:rPr>
              <w:t>analysis,</w:t>
            </w:r>
            <w:r w:rsidR="00293DC7" w:rsidRPr="00750B9C">
              <w:rPr>
                <w:color w:val="00B050"/>
              </w:rPr>
              <w:t xml:space="preserve"> </w:t>
            </w:r>
            <w:r w:rsidR="001F3F4A" w:rsidRPr="00750B9C">
              <w:rPr>
                <w:color w:val="00B050"/>
              </w:rPr>
              <w:t xml:space="preserve">it </w:t>
            </w:r>
            <w:r w:rsidR="007F6F98">
              <w:rPr>
                <w:color w:val="00B050"/>
              </w:rPr>
              <w:t>has been</w:t>
            </w:r>
            <w:r w:rsidR="007F6F98" w:rsidRPr="00750B9C">
              <w:rPr>
                <w:color w:val="00B050"/>
              </w:rPr>
              <w:t xml:space="preserve"> </w:t>
            </w:r>
            <w:r w:rsidR="00C14024" w:rsidRPr="00750B9C">
              <w:rPr>
                <w:color w:val="00B050"/>
              </w:rPr>
              <w:t>identified that</w:t>
            </w:r>
            <w:r w:rsidR="007F6F98">
              <w:rPr>
                <w:color w:val="00B050"/>
              </w:rPr>
              <w:t>:</w:t>
            </w:r>
            <w:r w:rsidR="00C14024" w:rsidRPr="00750B9C">
              <w:rPr>
                <w:color w:val="00B050"/>
              </w:rPr>
              <w:t xml:space="preserve"> </w:t>
            </w:r>
          </w:p>
          <w:p w14:paraId="65277A8C" w14:textId="4D47A449" w:rsidR="00B824B6" w:rsidRPr="00750B9C" w:rsidRDefault="004F437F" w:rsidP="00602066">
            <w:pPr>
              <w:pStyle w:val="ListParagraph"/>
              <w:numPr>
                <w:ilvl w:val="0"/>
                <w:numId w:val="11"/>
              </w:numPr>
              <w:jc w:val="both"/>
              <w:rPr>
                <w:color w:val="00B050"/>
              </w:rPr>
            </w:pPr>
            <w:r>
              <w:rPr>
                <w:color w:val="00B050"/>
              </w:rPr>
              <w:t>N</w:t>
            </w:r>
            <w:r w:rsidR="00C14024" w:rsidRPr="00750B9C">
              <w:rPr>
                <w:color w:val="00B050"/>
              </w:rPr>
              <w:t>o incorrect</w:t>
            </w:r>
            <w:r w:rsidR="00FD5071" w:rsidRPr="00750B9C">
              <w:rPr>
                <w:color w:val="00B050"/>
              </w:rPr>
              <w:t xml:space="preserve"> volume </w:t>
            </w:r>
            <w:r w:rsidR="003F21F1">
              <w:rPr>
                <w:color w:val="00B050"/>
              </w:rPr>
              <w:t>is</w:t>
            </w:r>
            <w:r w:rsidR="003F21F1" w:rsidRPr="00750B9C">
              <w:rPr>
                <w:color w:val="00B050"/>
              </w:rPr>
              <w:t xml:space="preserve"> </w:t>
            </w:r>
            <w:r w:rsidR="00FD5071" w:rsidRPr="00750B9C">
              <w:rPr>
                <w:color w:val="00B050"/>
              </w:rPr>
              <w:t>calculated</w:t>
            </w:r>
            <w:r w:rsidR="00C14024" w:rsidRPr="00750B9C">
              <w:rPr>
                <w:color w:val="00B050"/>
              </w:rPr>
              <w:t xml:space="preserve"> following an inserted </w:t>
            </w:r>
            <w:r w:rsidR="00403617">
              <w:rPr>
                <w:color w:val="00B050"/>
              </w:rPr>
              <w:t>C</w:t>
            </w:r>
            <w:r w:rsidR="00403617" w:rsidRPr="00750B9C">
              <w:rPr>
                <w:color w:val="00B050"/>
              </w:rPr>
              <w:t xml:space="preserve">heck </w:t>
            </w:r>
            <w:r w:rsidR="00403617">
              <w:rPr>
                <w:color w:val="00B050"/>
              </w:rPr>
              <w:t>R</w:t>
            </w:r>
            <w:r w:rsidR="00403617" w:rsidRPr="00750B9C">
              <w:rPr>
                <w:color w:val="00B050"/>
              </w:rPr>
              <w:t xml:space="preserve">ead </w:t>
            </w:r>
            <w:r w:rsidR="003F21F1">
              <w:rPr>
                <w:color w:val="00B050"/>
              </w:rPr>
              <w:t xml:space="preserve">and, </w:t>
            </w:r>
            <w:r w:rsidR="001F3F4A" w:rsidRPr="00750B9C">
              <w:rPr>
                <w:color w:val="00B050"/>
              </w:rPr>
              <w:t>therefore</w:t>
            </w:r>
            <w:r w:rsidR="003F21F1">
              <w:rPr>
                <w:color w:val="00B050"/>
              </w:rPr>
              <w:t>,</w:t>
            </w:r>
            <w:r w:rsidR="001F3F4A" w:rsidRPr="00750B9C">
              <w:rPr>
                <w:color w:val="00B050"/>
              </w:rPr>
              <w:t xml:space="preserve"> there will be no amendments made to the current logic </w:t>
            </w:r>
            <w:r w:rsidR="00FD5071" w:rsidRPr="00750B9C">
              <w:rPr>
                <w:color w:val="00B050"/>
              </w:rPr>
              <w:t>for</w:t>
            </w:r>
            <w:r w:rsidR="001F3F4A" w:rsidRPr="00750B9C">
              <w:rPr>
                <w:color w:val="00B050"/>
              </w:rPr>
              <w:t xml:space="preserve"> this scenario. </w:t>
            </w:r>
          </w:p>
          <w:p w14:paraId="4D423AAE" w14:textId="1690BB6D" w:rsidR="005D51EE" w:rsidRPr="00750B9C" w:rsidRDefault="00AF1FC1" w:rsidP="00602066">
            <w:pPr>
              <w:pStyle w:val="ListParagraph"/>
              <w:numPr>
                <w:ilvl w:val="0"/>
                <w:numId w:val="11"/>
              </w:numPr>
              <w:jc w:val="both"/>
              <w:rPr>
                <w:color w:val="00B050"/>
              </w:rPr>
            </w:pPr>
            <w:r w:rsidRPr="00750B9C">
              <w:rPr>
                <w:color w:val="00B050"/>
              </w:rPr>
              <w:t>Where there is an estimated Transfer</w:t>
            </w:r>
            <w:r w:rsidR="00DC16BB">
              <w:rPr>
                <w:color w:val="00B050"/>
              </w:rPr>
              <w:t xml:space="preserve"> </w:t>
            </w:r>
            <w:r w:rsidRPr="00750B9C">
              <w:rPr>
                <w:color w:val="00B050"/>
              </w:rPr>
              <w:t>or Class change reading</w:t>
            </w:r>
            <w:r w:rsidR="008333E6">
              <w:rPr>
                <w:color w:val="00B050"/>
              </w:rPr>
              <w:t>,</w:t>
            </w:r>
            <w:r w:rsidRPr="00750B9C">
              <w:rPr>
                <w:color w:val="00B050"/>
              </w:rPr>
              <w:t xml:space="preserve"> </w:t>
            </w:r>
            <w:r w:rsidR="00673F4C">
              <w:rPr>
                <w:color w:val="00B050"/>
              </w:rPr>
              <w:t xml:space="preserve">a </w:t>
            </w:r>
            <w:r w:rsidRPr="00750B9C">
              <w:rPr>
                <w:color w:val="00B050"/>
              </w:rPr>
              <w:t xml:space="preserve">Check </w:t>
            </w:r>
            <w:r w:rsidR="00EF533D">
              <w:rPr>
                <w:color w:val="00B050"/>
              </w:rPr>
              <w:t>R</w:t>
            </w:r>
            <w:r w:rsidR="00EF533D" w:rsidRPr="00750B9C">
              <w:rPr>
                <w:color w:val="00B050"/>
              </w:rPr>
              <w:t xml:space="preserve">ead </w:t>
            </w:r>
            <w:r w:rsidR="00673F4C">
              <w:rPr>
                <w:color w:val="00B050"/>
              </w:rPr>
              <w:t xml:space="preserve">received via the Site </w:t>
            </w:r>
            <w:r w:rsidR="00500E53">
              <w:rPr>
                <w:color w:val="00B050"/>
              </w:rPr>
              <w:t xml:space="preserve">Visit and </w:t>
            </w:r>
            <w:r w:rsidR="00673F4C">
              <w:rPr>
                <w:color w:val="00B050"/>
              </w:rPr>
              <w:t xml:space="preserve">Fault Notification (SFN) file </w:t>
            </w:r>
            <w:r w:rsidRPr="00750B9C">
              <w:rPr>
                <w:color w:val="00B050"/>
              </w:rPr>
              <w:t xml:space="preserve">is validated against the previous </w:t>
            </w:r>
            <w:r w:rsidR="00DE35C1">
              <w:rPr>
                <w:color w:val="00B050"/>
              </w:rPr>
              <w:t>C</w:t>
            </w:r>
            <w:r w:rsidRPr="00750B9C">
              <w:rPr>
                <w:color w:val="00B050"/>
              </w:rPr>
              <w:t xml:space="preserve">heck </w:t>
            </w:r>
            <w:r w:rsidR="00EF533D">
              <w:rPr>
                <w:color w:val="00B050"/>
              </w:rPr>
              <w:t>R</w:t>
            </w:r>
            <w:r w:rsidR="00EF533D" w:rsidRPr="00750B9C">
              <w:rPr>
                <w:color w:val="00B050"/>
              </w:rPr>
              <w:t xml:space="preserve">ead </w:t>
            </w:r>
            <w:r w:rsidRPr="00750B9C">
              <w:rPr>
                <w:color w:val="00B050"/>
              </w:rPr>
              <w:t xml:space="preserve">however the volume is calculated from the </w:t>
            </w:r>
            <w:r w:rsidR="003F184C">
              <w:rPr>
                <w:color w:val="00B050"/>
              </w:rPr>
              <w:t xml:space="preserve">estimated </w:t>
            </w:r>
            <w:r w:rsidRPr="00750B9C">
              <w:rPr>
                <w:color w:val="00B050"/>
              </w:rPr>
              <w:t>Transfer</w:t>
            </w:r>
            <w:r w:rsidR="00CB3D06">
              <w:rPr>
                <w:color w:val="00B050"/>
              </w:rPr>
              <w:t xml:space="preserve"> or </w:t>
            </w:r>
            <w:r w:rsidRPr="00750B9C">
              <w:rPr>
                <w:color w:val="00B050"/>
              </w:rPr>
              <w:t xml:space="preserve">Class change read. As volume is calculated to a different read than </w:t>
            </w:r>
            <w:r w:rsidR="00DF35FD">
              <w:rPr>
                <w:color w:val="00B050"/>
              </w:rPr>
              <w:t>that</w:t>
            </w:r>
            <w:r w:rsidRPr="00750B9C">
              <w:rPr>
                <w:color w:val="00B050"/>
              </w:rPr>
              <w:t xml:space="preserve"> used for validation</w:t>
            </w:r>
            <w:r w:rsidR="00F06E03">
              <w:rPr>
                <w:color w:val="00B050"/>
              </w:rPr>
              <w:t>,</w:t>
            </w:r>
            <w:r w:rsidRPr="00750B9C">
              <w:rPr>
                <w:color w:val="00B050"/>
              </w:rPr>
              <w:t xml:space="preserve"> </w:t>
            </w:r>
            <w:r w:rsidR="00497995">
              <w:rPr>
                <w:color w:val="00B050"/>
              </w:rPr>
              <w:t xml:space="preserve">a change is required to </w:t>
            </w:r>
            <w:r w:rsidRPr="00750B9C">
              <w:rPr>
                <w:color w:val="00B050"/>
              </w:rPr>
              <w:t xml:space="preserve">the </w:t>
            </w:r>
            <w:r w:rsidR="00F06E03">
              <w:rPr>
                <w:color w:val="00B050"/>
              </w:rPr>
              <w:t>volume</w:t>
            </w:r>
            <w:r w:rsidR="00F06E03" w:rsidRPr="00750B9C">
              <w:rPr>
                <w:color w:val="00B050"/>
              </w:rPr>
              <w:t xml:space="preserve"> </w:t>
            </w:r>
            <w:r w:rsidRPr="00750B9C">
              <w:rPr>
                <w:color w:val="00B050"/>
              </w:rPr>
              <w:t>calculation</w:t>
            </w:r>
            <w:r w:rsidR="000C7506">
              <w:rPr>
                <w:color w:val="00B050"/>
              </w:rPr>
              <w:t xml:space="preserve"> to </w:t>
            </w:r>
            <w:r w:rsidR="00B408F8">
              <w:rPr>
                <w:color w:val="00B050"/>
              </w:rPr>
              <w:t>derive a TTZ in line with read history</w:t>
            </w:r>
            <w:r w:rsidRPr="00750B9C">
              <w:rPr>
                <w:color w:val="00B050"/>
              </w:rPr>
              <w:t xml:space="preserve">. </w:t>
            </w:r>
          </w:p>
          <w:p w14:paraId="499757B5" w14:textId="77777777" w:rsidR="00B824B6" w:rsidRPr="00750B9C" w:rsidRDefault="00B824B6" w:rsidP="00B824B6">
            <w:pPr>
              <w:rPr>
                <w:color w:val="00B050"/>
              </w:rPr>
            </w:pPr>
          </w:p>
          <w:p w14:paraId="73EDC11A" w14:textId="38C3F622" w:rsidR="00B824B6" w:rsidRPr="00750B9C" w:rsidRDefault="00B824B6" w:rsidP="00602066">
            <w:pPr>
              <w:jc w:val="both"/>
              <w:rPr>
                <w:color w:val="00B050"/>
              </w:rPr>
            </w:pPr>
            <w:r w:rsidRPr="00750B9C">
              <w:rPr>
                <w:color w:val="00B050"/>
              </w:rPr>
              <w:t>All changes</w:t>
            </w:r>
            <w:r w:rsidR="0014017F">
              <w:rPr>
                <w:color w:val="00B050"/>
              </w:rPr>
              <w:t xml:space="preserve"> from the </w:t>
            </w:r>
            <w:r w:rsidR="00040223">
              <w:rPr>
                <w:color w:val="00B050"/>
              </w:rPr>
              <w:t>previous version of the detailed design</w:t>
            </w:r>
            <w:r w:rsidRPr="00750B9C">
              <w:rPr>
                <w:color w:val="00B050"/>
              </w:rPr>
              <w:t xml:space="preserve"> have been highlighted in </w:t>
            </w:r>
            <w:r w:rsidR="00750B9C" w:rsidRPr="00750B9C">
              <w:rPr>
                <w:color w:val="00B050"/>
              </w:rPr>
              <w:t>green</w:t>
            </w:r>
            <w:r w:rsidRPr="00750B9C">
              <w:rPr>
                <w:color w:val="00B050"/>
              </w:rPr>
              <w:t xml:space="preserve"> and</w:t>
            </w:r>
            <w:r w:rsidR="00F36D47">
              <w:rPr>
                <w:color w:val="00B050"/>
              </w:rPr>
              <w:t>,</w:t>
            </w:r>
            <w:r w:rsidRPr="00750B9C">
              <w:rPr>
                <w:color w:val="00B050"/>
              </w:rPr>
              <w:t xml:space="preserve"> where applicable</w:t>
            </w:r>
            <w:r w:rsidR="00F36D47">
              <w:rPr>
                <w:color w:val="00B050"/>
              </w:rPr>
              <w:t>,</w:t>
            </w:r>
            <w:r w:rsidRPr="00750B9C">
              <w:rPr>
                <w:color w:val="00B050"/>
              </w:rPr>
              <w:t xml:space="preserve"> </w:t>
            </w:r>
            <w:r w:rsidRPr="00750B9C">
              <w:rPr>
                <w:strike/>
                <w:color w:val="00B050"/>
              </w:rPr>
              <w:t>crossed out</w:t>
            </w:r>
            <w:r w:rsidRPr="00750B9C">
              <w:rPr>
                <w:color w:val="00B050"/>
              </w:rPr>
              <w:t xml:space="preserve"> within the Change Design Description section of this Change Pack</w:t>
            </w:r>
            <w:r w:rsidR="005743D8" w:rsidRPr="00750B9C">
              <w:rPr>
                <w:color w:val="00B050"/>
              </w:rPr>
              <w:t>. A</w:t>
            </w:r>
            <w:r w:rsidRPr="00750B9C">
              <w:rPr>
                <w:color w:val="00B050"/>
              </w:rPr>
              <w:t xml:space="preserve">ll other details remain unchanged but </w:t>
            </w:r>
            <w:r w:rsidR="00F36D47" w:rsidRPr="00750B9C">
              <w:rPr>
                <w:color w:val="00B050"/>
              </w:rPr>
              <w:t>ha</w:t>
            </w:r>
            <w:r w:rsidR="00F36D47">
              <w:rPr>
                <w:color w:val="00B050"/>
              </w:rPr>
              <w:t>ve</w:t>
            </w:r>
            <w:r w:rsidR="00F36D47" w:rsidRPr="00750B9C">
              <w:rPr>
                <w:color w:val="00B050"/>
              </w:rPr>
              <w:t xml:space="preserve"> </w:t>
            </w:r>
            <w:r w:rsidRPr="00750B9C">
              <w:rPr>
                <w:color w:val="00B050"/>
              </w:rPr>
              <w:t>been retained for your information.</w:t>
            </w:r>
          </w:p>
          <w:p w14:paraId="0315EA3A" w14:textId="77777777" w:rsidR="00B824B6" w:rsidRPr="00750B9C" w:rsidRDefault="00B824B6" w:rsidP="00B824B6">
            <w:pPr>
              <w:rPr>
                <w:color w:val="00B050"/>
              </w:rPr>
            </w:pPr>
          </w:p>
          <w:p w14:paraId="7AC75635" w14:textId="6338B6E2" w:rsidR="00B824B6" w:rsidRPr="00750B9C" w:rsidRDefault="00B824B6" w:rsidP="00602066">
            <w:pPr>
              <w:jc w:val="both"/>
              <w:rPr>
                <w:color w:val="00B050"/>
              </w:rPr>
            </w:pPr>
            <w:r w:rsidRPr="00750B9C">
              <w:rPr>
                <w:color w:val="00B050"/>
              </w:rPr>
              <w:lastRenderedPageBreak/>
              <w:t xml:space="preserve">This </w:t>
            </w:r>
            <w:r w:rsidR="00651628">
              <w:rPr>
                <w:color w:val="00B050"/>
              </w:rPr>
              <w:t>revision</w:t>
            </w:r>
            <w:r w:rsidRPr="00750B9C">
              <w:rPr>
                <w:color w:val="00B050"/>
              </w:rPr>
              <w:t xml:space="preserve"> is for information only and</w:t>
            </w:r>
            <w:r w:rsidR="00651628">
              <w:rPr>
                <w:color w:val="00B050"/>
              </w:rPr>
              <w:t>,</w:t>
            </w:r>
            <w:r w:rsidRPr="00750B9C">
              <w:rPr>
                <w:color w:val="00B050"/>
              </w:rPr>
              <w:t xml:space="preserve"> therefore</w:t>
            </w:r>
            <w:r w:rsidR="00651628">
              <w:rPr>
                <w:color w:val="00B050"/>
              </w:rPr>
              <w:t>,</w:t>
            </w:r>
            <w:r w:rsidRPr="00750B9C">
              <w:rPr>
                <w:color w:val="00B050"/>
              </w:rPr>
              <w:t xml:space="preserve"> we are not seeking representations for discussion at ChMC in June </w:t>
            </w:r>
            <w:r w:rsidR="0078570B">
              <w:rPr>
                <w:color w:val="00B050"/>
              </w:rPr>
              <w:t>20</w:t>
            </w:r>
            <w:r w:rsidRPr="00750B9C">
              <w:rPr>
                <w:color w:val="00B050"/>
              </w:rPr>
              <w:t>21</w:t>
            </w:r>
            <w:r w:rsidR="005E3487">
              <w:rPr>
                <w:color w:val="00B050"/>
              </w:rPr>
              <w:t xml:space="preserve"> </w:t>
            </w:r>
            <w:r w:rsidR="00266972">
              <w:rPr>
                <w:color w:val="00B050"/>
              </w:rPr>
              <w:t>h</w:t>
            </w:r>
            <w:r w:rsidR="005E3487">
              <w:rPr>
                <w:color w:val="00B050"/>
              </w:rPr>
              <w:t xml:space="preserve">owever, please </w:t>
            </w:r>
            <w:r w:rsidR="00266972">
              <w:rPr>
                <w:color w:val="00B050"/>
              </w:rPr>
              <w:t xml:space="preserve">submit any questions or comments through the normal </w:t>
            </w:r>
            <w:r w:rsidR="00AA1DAA">
              <w:rPr>
                <w:color w:val="00B050"/>
              </w:rPr>
              <w:t>channels.</w:t>
            </w:r>
          </w:p>
          <w:p w14:paraId="390CD5C5" w14:textId="77777777" w:rsidR="00B824B6" w:rsidRPr="00B824B6" w:rsidRDefault="00B824B6" w:rsidP="00B824B6">
            <w:pPr>
              <w:jc w:val="both"/>
              <w:rPr>
                <w:rFonts w:cs="Arial"/>
                <w:szCs w:val="20"/>
              </w:rPr>
            </w:pPr>
          </w:p>
          <w:p w14:paraId="11833ACC" w14:textId="77777777" w:rsidR="005D51EE" w:rsidRDefault="005D51EE" w:rsidP="005E221E">
            <w:pPr>
              <w:jc w:val="both"/>
              <w:rPr>
                <w:rFonts w:cs="Arial"/>
                <w:szCs w:val="20"/>
              </w:rPr>
            </w:pPr>
          </w:p>
          <w:p w14:paraId="4E896BF1" w14:textId="77777777" w:rsidR="005D51EE" w:rsidRDefault="005D51EE" w:rsidP="005E221E">
            <w:pPr>
              <w:jc w:val="both"/>
              <w:rPr>
                <w:rFonts w:cs="Arial"/>
                <w:szCs w:val="20"/>
              </w:rPr>
            </w:pPr>
          </w:p>
          <w:p w14:paraId="267D0C05" w14:textId="72735B7B" w:rsidR="00C36DEF" w:rsidRDefault="00E73B09" w:rsidP="005E221E">
            <w:pPr>
              <w:jc w:val="both"/>
              <w:rPr>
                <w:rFonts w:cs="Arial"/>
                <w:szCs w:val="20"/>
              </w:rPr>
            </w:pPr>
            <w:r w:rsidRPr="00E73B09">
              <w:rPr>
                <w:rFonts w:cs="Arial"/>
                <w:szCs w:val="20"/>
              </w:rPr>
              <w:t>Since Nexus implementation, there have been a number of scenario specific defects raised concerning the use of the</w:t>
            </w:r>
            <w:r w:rsidRPr="00E73B09" w:rsidDel="002332A3">
              <w:rPr>
                <w:rFonts w:cs="Arial"/>
                <w:szCs w:val="20"/>
              </w:rPr>
              <w:t xml:space="preserve"> </w:t>
            </w:r>
            <w:r w:rsidR="00C36DEF">
              <w:rPr>
                <w:rFonts w:cs="Arial"/>
                <w:szCs w:val="20"/>
              </w:rPr>
              <w:t xml:space="preserve">Through </w:t>
            </w:r>
            <w:proofErr w:type="gramStart"/>
            <w:r w:rsidR="00C36DEF">
              <w:rPr>
                <w:rFonts w:cs="Arial"/>
                <w:szCs w:val="20"/>
              </w:rPr>
              <w:t>The</w:t>
            </w:r>
            <w:proofErr w:type="gramEnd"/>
            <w:r w:rsidR="00C36DEF">
              <w:rPr>
                <w:rFonts w:cs="Arial"/>
                <w:szCs w:val="20"/>
              </w:rPr>
              <w:t xml:space="preserve"> Zero</w:t>
            </w:r>
            <w:r w:rsidR="002332A3">
              <w:rPr>
                <w:rFonts w:cs="Arial"/>
                <w:szCs w:val="20"/>
              </w:rPr>
              <w:t xml:space="preserve"> (TTZ</w:t>
            </w:r>
            <w:r w:rsidR="00C36DEF">
              <w:rPr>
                <w:rFonts w:cs="Arial"/>
                <w:szCs w:val="20"/>
              </w:rPr>
              <w:t>)</w:t>
            </w:r>
            <w:r w:rsidR="002332A3">
              <w:rPr>
                <w:rFonts w:cs="Arial"/>
                <w:szCs w:val="20"/>
              </w:rPr>
              <w:t>/Round The Clock (RTC)</w:t>
            </w:r>
            <w:r w:rsidR="00C36DEF">
              <w:rPr>
                <w:rFonts w:cs="Arial"/>
                <w:szCs w:val="20"/>
              </w:rPr>
              <w:t xml:space="preserve"> </w:t>
            </w:r>
            <w:r w:rsidRPr="00E73B09">
              <w:rPr>
                <w:rFonts w:cs="Arial"/>
                <w:szCs w:val="20"/>
              </w:rPr>
              <w:t xml:space="preserve">indicator provided in Meter Reading files and how the </w:t>
            </w:r>
            <w:r w:rsidR="000C2A3E">
              <w:rPr>
                <w:rFonts w:cs="Arial"/>
                <w:szCs w:val="20"/>
              </w:rPr>
              <w:t>resultant</w:t>
            </w:r>
            <w:r w:rsidRPr="00E73B09">
              <w:rPr>
                <w:rFonts w:cs="Arial"/>
                <w:szCs w:val="20"/>
              </w:rPr>
              <w:t xml:space="preserve"> volume is then being calculated. </w:t>
            </w:r>
          </w:p>
          <w:p w14:paraId="6F617C06" w14:textId="77777777" w:rsidR="00C36DEF" w:rsidRDefault="00C36DEF" w:rsidP="005E221E">
            <w:pPr>
              <w:jc w:val="both"/>
              <w:rPr>
                <w:rFonts w:cs="Arial"/>
                <w:szCs w:val="20"/>
              </w:rPr>
            </w:pPr>
          </w:p>
          <w:p w14:paraId="5F4E6E13" w14:textId="7DE7085C" w:rsidR="007713EC" w:rsidRDefault="00E73B09" w:rsidP="00997B2B">
            <w:pPr>
              <w:jc w:val="both"/>
              <w:rPr>
                <w:rFonts w:cs="Arial"/>
                <w:szCs w:val="20"/>
              </w:rPr>
            </w:pPr>
            <w:r w:rsidRPr="47C15A82">
              <w:rPr>
                <w:rFonts w:cs="Arial"/>
              </w:rPr>
              <w:t xml:space="preserve">The TTZ indicator </w:t>
            </w:r>
            <w:r w:rsidR="00313C01" w:rsidRPr="47C15A82">
              <w:rPr>
                <w:rFonts w:cs="Arial"/>
              </w:rPr>
              <w:t xml:space="preserve">is used for </w:t>
            </w:r>
            <w:r w:rsidR="009802E7" w:rsidRPr="47C15A82">
              <w:rPr>
                <w:rFonts w:cs="Arial"/>
              </w:rPr>
              <w:t xml:space="preserve">meter </w:t>
            </w:r>
            <w:r w:rsidR="00313C01" w:rsidRPr="47C15A82">
              <w:rPr>
                <w:rFonts w:cs="Arial"/>
              </w:rPr>
              <w:t>read validation t</w:t>
            </w:r>
            <w:r w:rsidR="009802E7" w:rsidRPr="47C15A82">
              <w:rPr>
                <w:rFonts w:cs="Arial"/>
              </w:rPr>
              <w:t xml:space="preserve">o </w:t>
            </w:r>
            <w:r w:rsidRPr="47C15A82">
              <w:rPr>
                <w:rFonts w:cs="Arial"/>
              </w:rPr>
              <w:t xml:space="preserve">confirm whether the meter readings provided have clocked (gone </w:t>
            </w:r>
            <w:r w:rsidR="00341CE7">
              <w:rPr>
                <w:rFonts w:cs="Arial"/>
              </w:rPr>
              <w:t>T</w:t>
            </w:r>
            <w:r w:rsidRPr="47C15A82">
              <w:rPr>
                <w:rFonts w:cs="Arial"/>
              </w:rPr>
              <w:t xml:space="preserve">hrough </w:t>
            </w:r>
            <w:proofErr w:type="gramStart"/>
            <w:r w:rsidR="00341CE7">
              <w:rPr>
                <w:rFonts w:cs="Arial"/>
              </w:rPr>
              <w:t>T</w:t>
            </w:r>
            <w:r w:rsidRPr="47C15A82">
              <w:rPr>
                <w:rFonts w:cs="Arial"/>
              </w:rPr>
              <w:t>he</w:t>
            </w:r>
            <w:proofErr w:type="gramEnd"/>
            <w:r w:rsidRPr="47C15A82">
              <w:rPr>
                <w:rFonts w:cs="Arial"/>
              </w:rPr>
              <w:t xml:space="preserve"> </w:t>
            </w:r>
            <w:r w:rsidR="00341CE7">
              <w:rPr>
                <w:rFonts w:cs="Arial"/>
              </w:rPr>
              <w:t>Z</w:t>
            </w:r>
            <w:r w:rsidRPr="47C15A82">
              <w:rPr>
                <w:rFonts w:cs="Arial"/>
              </w:rPr>
              <w:t>eros) since the last actual read</w:t>
            </w:r>
            <w:r w:rsidR="009802E7" w:rsidRPr="47C15A82">
              <w:rPr>
                <w:rFonts w:cs="Arial"/>
              </w:rPr>
              <w:t xml:space="preserve">. </w:t>
            </w:r>
            <w:r w:rsidR="00C634EE">
              <w:rPr>
                <w:rFonts w:cs="Arial"/>
              </w:rPr>
              <w:t>D</w:t>
            </w:r>
            <w:r w:rsidR="00997B2B">
              <w:t>ue</w:t>
            </w:r>
            <w:r w:rsidR="007713EC">
              <w:rPr>
                <w:rFonts w:cs="Arial"/>
                <w:szCs w:val="20"/>
              </w:rPr>
              <w:t xml:space="preserve"> to </w:t>
            </w:r>
            <w:r w:rsidR="007713EC" w:rsidRPr="00E73B09">
              <w:rPr>
                <w:rFonts w:cs="Arial"/>
                <w:szCs w:val="20"/>
              </w:rPr>
              <w:t>the inconsistent use of the TTZ and subsequent inaccurate volume calculation</w:t>
            </w:r>
            <w:r w:rsidR="007713EC">
              <w:rPr>
                <w:rFonts w:cs="Arial"/>
                <w:szCs w:val="20"/>
              </w:rPr>
              <w:t xml:space="preserve"> </w:t>
            </w:r>
            <w:r w:rsidR="00AD0101">
              <w:rPr>
                <w:rFonts w:cs="Arial"/>
                <w:szCs w:val="20"/>
              </w:rPr>
              <w:t>several</w:t>
            </w:r>
            <w:r w:rsidR="007713EC">
              <w:rPr>
                <w:rFonts w:cs="Arial"/>
                <w:szCs w:val="20"/>
              </w:rPr>
              <w:t xml:space="preserve"> processes are impacted including </w:t>
            </w:r>
            <w:r w:rsidR="007713EC" w:rsidRPr="00E73B09">
              <w:rPr>
                <w:rFonts w:cs="Arial"/>
                <w:szCs w:val="20"/>
              </w:rPr>
              <w:t xml:space="preserve">, </w:t>
            </w:r>
            <w:r w:rsidR="007713EC">
              <w:rPr>
                <w:rFonts w:cs="Arial"/>
                <w:szCs w:val="20"/>
              </w:rPr>
              <w:t xml:space="preserve">reconciliation, capacity charges, rolling </w:t>
            </w:r>
            <w:r w:rsidR="007713EC" w:rsidRPr="00E73B09">
              <w:rPr>
                <w:rFonts w:cs="Arial"/>
                <w:szCs w:val="20"/>
              </w:rPr>
              <w:t>AQ</w:t>
            </w:r>
            <w:r w:rsidR="007713EC">
              <w:rPr>
                <w:rFonts w:cs="Arial"/>
                <w:szCs w:val="20"/>
              </w:rPr>
              <w:t xml:space="preserve"> and FYAQ</w:t>
            </w:r>
            <w:r w:rsidR="007713EC" w:rsidRPr="00E73B09">
              <w:rPr>
                <w:rFonts w:cs="Arial"/>
                <w:szCs w:val="20"/>
              </w:rPr>
              <w:t xml:space="preserve"> calculation</w:t>
            </w:r>
            <w:r w:rsidR="007713EC">
              <w:rPr>
                <w:rFonts w:cs="Arial"/>
                <w:szCs w:val="20"/>
              </w:rPr>
              <w:t xml:space="preserve">s. This can </w:t>
            </w:r>
            <w:r w:rsidR="007713EC" w:rsidRPr="00E73B09">
              <w:rPr>
                <w:rFonts w:cs="Arial"/>
                <w:szCs w:val="20"/>
              </w:rPr>
              <w:t>result in potentially inaccurate EUC assignment, Daily Gas Allocation and Unidentified Gas.</w:t>
            </w:r>
            <w:r w:rsidR="007713EC">
              <w:rPr>
                <w:rFonts w:cs="Arial"/>
                <w:szCs w:val="20"/>
              </w:rPr>
              <w:t xml:space="preserve"> </w:t>
            </w:r>
          </w:p>
          <w:p w14:paraId="0775ADAA" w14:textId="0B659263" w:rsidR="00BB494A" w:rsidRDefault="00BB494A" w:rsidP="004B0D03">
            <w:pPr>
              <w:jc w:val="both"/>
              <w:rPr>
                <w:rFonts w:cs="Arial"/>
              </w:rPr>
            </w:pPr>
          </w:p>
          <w:p w14:paraId="752FB25F" w14:textId="7037CF44" w:rsidR="00BE14BD" w:rsidRDefault="00131D54" w:rsidP="004B0D03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For context</w:t>
            </w:r>
            <w:r w:rsidR="00DF64E6">
              <w:rPr>
                <w:rFonts w:cs="Arial"/>
                <w:szCs w:val="20"/>
              </w:rPr>
              <w:t xml:space="preserve">, example scenarios </w:t>
            </w:r>
            <w:r w:rsidR="00381F7C">
              <w:rPr>
                <w:rFonts w:cs="Arial"/>
                <w:szCs w:val="20"/>
              </w:rPr>
              <w:t>have been provided below</w:t>
            </w:r>
            <w:r w:rsidR="00BB494A">
              <w:rPr>
                <w:rFonts w:cs="Arial"/>
                <w:szCs w:val="20"/>
              </w:rPr>
              <w:t xml:space="preserve">. </w:t>
            </w:r>
            <w:r w:rsidR="00DF64E6">
              <w:rPr>
                <w:rFonts w:cs="Arial"/>
                <w:szCs w:val="20"/>
              </w:rPr>
              <w:t xml:space="preserve">Please note, </w:t>
            </w:r>
            <w:r w:rsidR="002D535D">
              <w:rPr>
                <w:rFonts w:cs="Arial"/>
                <w:szCs w:val="20"/>
              </w:rPr>
              <w:t>t</w:t>
            </w:r>
            <w:r w:rsidR="00BB494A">
              <w:rPr>
                <w:rFonts w:cs="Arial"/>
                <w:szCs w:val="20"/>
              </w:rPr>
              <w:t xml:space="preserve">here are multiple permutations of </w:t>
            </w:r>
            <w:r w:rsidR="000E40DD">
              <w:rPr>
                <w:rFonts w:cs="Arial"/>
                <w:szCs w:val="20"/>
              </w:rPr>
              <w:t>these examples</w:t>
            </w:r>
            <w:r w:rsidR="002D535D">
              <w:rPr>
                <w:rFonts w:cs="Arial"/>
                <w:szCs w:val="20"/>
              </w:rPr>
              <w:t xml:space="preserve"> </w:t>
            </w:r>
            <w:proofErr w:type="gramStart"/>
            <w:r w:rsidR="002D535D">
              <w:rPr>
                <w:rFonts w:cs="Arial"/>
                <w:szCs w:val="20"/>
              </w:rPr>
              <w:t>taking into account</w:t>
            </w:r>
            <w:proofErr w:type="gramEnd"/>
            <w:r w:rsidR="00BE047B">
              <w:rPr>
                <w:rFonts w:cs="Arial"/>
                <w:szCs w:val="20"/>
              </w:rPr>
              <w:t xml:space="preserve"> variables such as </w:t>
            </w:r>
            <w:r w:rsidR="007B3A10">
              <w:rPr>
                <w:rFonts w:cs="Arial"/>
                <w:szCs w:val="20"/>
              </w:rPr>
              <w:t>Supply Meter Point</w:t>
            </w:r>
            <w:r w:rsidR="005839C7">
              <w:rPr>
                <w:rFonts w:cs="Arial"/>
                <w:szCs w:val="20"/>
              </w:rPr>
              <w:t xml:space="preserve"> (SMP)</w:t>
            </w:r>
            <w:r w:rsidR="007B3A10">
              <w:rPr>
                <w:rFonts w:cs="Arial"/>
                <w:szCs w:val="20"/>
              </w:rPr>
              <w:t xml:space="preserve"> </w:t>
            </w:r>
            <w:r w:rsidR="00BE047B">
              <w:rPr>
                <w:rFonts w:cs="Arial"/>
                <w:szCs w:val="20"/>
              </w:rPr>
              <w:t>C</w:t>
            </w:r>
            <w:r w:rsidR="00283C71">
              <w:rPr>
                <w:rFonts w:cs="Arial"/>
                <w:szCs w:val="20"/>
              </w:rPr>
              <w:t>lass, read source, read order</w:t>
            </w:r>
            <w:r w:rsidR="00BE047B">
              <w:rPr>
                <w:rFonts w:cs="Arial"/>
                <w:szCs w:val="20"/>
              </w:rPr>
              <w:t xml:space="preserve">, number of estimated reads and </w:t>
            </w:r>
            <w:r w:rsidR="00494285">
              <w:rPr>
                <w:rFonts w:cs="Arial"/>
                <w:szCs w:val="20"/>
              </w:rPr>
              <w:t>existence of later actual</w:t>
            </w:r>
            <w:r w:rsidR="00502054">
              <w:rPr>
                <w:rFonts w:cs="Arial"/>
                <w:szCs w:val="20"/>
              </w:rPr>
              <w:t>, or estimated,</w:t>
            </w:r>
            <w:r w:rsidR="00494285">
              <w:rPr>
                <w:rFonts w:cs="Arial"/>
                <w:szCs w:val="20"/>
              </w:rPr>
              <w:t xml:space="preserve"> reads.</w:t>
            </w:r>
            <w:r w:rsidR="00A30907">
              <w:rPr>
                <w:rFonts w:cs="Arial"/>
                <w:szCs w:val="20"/>
              </w:rPr>
              <w:t xml:space="preserve"> </w:t>
            </w:r>
          </w:p>
          <w:p w14:paraId="5FEBE7FC" w14:textId="77777777" w:rsidR="00BE14BD" w:rsidRDefault="00BE14BD" w:rsidP="004B0D03">
            <w:pPr>
              <w:jc w:val="both"/>
              <w:rPr>
                <w:rFonts w:cs="Arial"/>
                <w:szCs w:val="20"/>
              </w:rPr>
            </w:pPr>
          </w:p>
          <w:p w14:paraId="24593844" w14:textId="4FB06ADB" w:rsidR="00437980" w:rsidRDefault="00BE14BD" w:rsidP="004B0D03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Examples provided </w:t>
            </w:r>
            <w:r w:rsidR="0069741F">
              <w:rPr>
                <w:rFonts w:cs="Arial"/>
                <w:szCs w:val="20"/>
              </w:rPr>
              <w:t xml:space="preserve">are </w:t>
            </w:r>
            <w:r w:rsidR="00A30907">
              <w:rPr>
                <w:rFonts w:cs="Arial"/>
                <w:szCs w:val="20"/>
              </w:rPr>
              <w:t>for illustrat</w:t>
            </w:r>
            <w:r w:rsidR="00AD2F79">
              <w:rPr>
                <w:rFonts w:cs="Arial"/>
                <w:szCs w:val="20"/>
              </w:rPr>
              <w:t>ive</w:t>
            </w:r>
            <w:r w:rsidR="00A30907">
              <w:rPr>
                <w:rFonts w:cs="Arial"/>
                <w:szCs w:val="20"/>
              </w:rPr>
              <w:t xml:space="preserve"> purposes</w:t>
            </w:r>
            <w:r w:rsidR="00AD2F79">
              <w:rPr>
                <w:rFonts w:cs="Arial"/>
                <w:szCs w:val="20"/>
              </w:rPr>
              <w:t xml:space="preserve"> only.</w:t>
            </w:r>
          </w:p>
          <w:p w14:paraId="5642CBE6" w14:textId="5B95102B" w:rsidR="0028018D" w:rsidRDefault="0028018D" w:rsidP="00E73B09">
            <w:pPr>
              <w:rPr>
                <w:rFonts w:cs="Arial"/>
                <w:szCs w:val="20"/>
              </w:rPr>
            </w:pPr>
          </w:p>
          <w:p w14:paraId="034502E4" w14:textId="77777777" w:rsidR="008C4D95" w:rsidRPr="008C4D95" w:rsidRDefault="008C4D95" w:rsidP="00E73B09">
            <w:pPr>
              <w:rPr>
                <w:rFonts w:cs="Arial"/>
                <w:szCs w:val="20"/>
                <w:u w:val="single"/>
              </w:rPr>
            </w:pPr>
            <w:r w:rsidRPr="008C4D95">
              <w:rPr>
                <w:rFonts w:cs="Arial"/>
                <w:szCs w:val="20"/>
                <w:u w:val="single"/>
              </w:rPr>
              <w:t>Example 1</w:t>
            </w:r>
          </w:p>
          <w:p w14:paraId="2003D08B" w14:textId="10205E9D" w:rsidR="00336A37" w:rsidRDefault="005F059F" w:rsidP="007070CB">
            <w:pPr>
              <w:jc w:val="both"/>
              <w:rPr>
                <w:rFonts w:cs="Arial"/>
              </w:rPr>
            </w:pPr>
            <w:r w:rsidRPr="65ED8C46">
              <w:rPr>
                <w:rFonts w:cs="Arial"/>
              </w:rPr>
              <w:t>A</w:t>
            </w:r>
            <w:r w:rsidR="008F4B1D">
              <w:rPr>
                <w:rFonts w:cs="Arial"/>
              </w:rPr>
              <w:t>n actual</w:t>
            </w:r>
            <w:r w:rsidR="00AC3614" w:rsidRPr="65ED8C46">
              <w:rPr>
                <w:rFonts w:cs="Arial"/>
              </w:rPr>
              <w:t xml:space="preserve"> read is p</w:t>
            </w:r>
            <w:r w:rsidR="0028018D" w:rsidRPr="65ED8C46">
              <w:rPr>
                <w:rFonts w:cs="Arial"/>
              </w:rPr>
              <w:t xml:space="preserve">rovided with a TTZ </w:t>
            </w:r>
            <w:r w:rsidR="00415A1F">
              <w:rPr>
                <w:rFonts w:cs="Arial"/>
              </w:rPr>
              <w:t xml:space="preserve">value of zero </w:t>
            </w:r>
            <w:r w:rsidR="0028018D" w:rsidRPr="65ED8C46">
              <w:rPr>
                <w:rFonts w:cs="Arial"/>
              </w:rPr>
              <w:t xml:space="preserve">following </w:t>
            </w:r>
            <w:r w:rsidR="00A21116" w:rsidRPr="65ED8C46">
              <w:rPr>
                <w:rFonts w:cs="Arial"/>
              </w:rPr>
              <w:t xml:space="preserve">two </w:t>
            </w:r>
            <w:r w:rsidRPr="65ED8C46">
              <w:rPr>
                <w:rFonts w:cs="Arial"/>
              </w:rPr>
              <w:t>estimated reads</w:t>
            </w:r>
            <w:r w:rsidR="00C428D5">
              <w:rPr>
                <w:rFonts w:cs="Arial"/>
              </w:rPr>
              <w:t xml:space="preserve"> where one of these reads has a </w:t>
            </w:r>
            <w:r w:rsidR="00283906">
              <w:rPr>
                <w:rFonts w:cs="Arial"/>
              </w:rPr>
              <w:t>TTZ of 1</w:t>
            </w:r>
            <w:r w:rsidR="00742346" w:rsidRPr="65ED8C46">
              <w:rPr>
                <w:rFonts w:cs="Arial"/>
              </w:rPr>
              <w:t>.</w:t>
            </w:r>
            <w:r w:rsidR="00742346" w:rsidRPr="65ED8C46" w:rsidDel="00212B93">
              <w:rPr>
                <w:rFonts w:cs="Arial"/>
              </w:rPr>
              <w:t xml:space="preserve"> </w:t>
            </w:r>
          </w:p>
          <w:p w14:paraId="0A1D4C10" w14:textId="6657A414" w:rsidR="00227103" w:rsidRDefault="001A4D20" w:rsidP="007070CB">
            <w:pPr>
              <w:jc w:val="center"/>
              <w:rPr>
                <w:rFonts w:cs="Arial"/>
                <w:szCs w:val="20"/>
              </w:rPr>
            </w:pPr>
            <w:r>
              <w:object w:dxaOrig="5191" w:dyaOrig="2301" w14:anchorId="512A7F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9.8pt;height:114.6pt" o:ole="">
                  <v:imagedata r:id="rId11" o:title=""/>
                </v:shape>
                <o:OLEObject Type="Embed" ProgID="Visio.Drawing.15" ShapeID="_x0000_i1025" DrawAspect="Content" ObjectID="_1682751705" r:id="rId12"/>
              </w:object>
            </w:r>
          </w:p>
          <w:p w14:paraId="641504E1" w14:textId="29A1CEBD" w:rsidR="005F059F" w:rsidRDefault="00745DFE" w:rsidP="006F712D">
            <w:pPr>
              <w:jc w:val="both"/>
              <w:rPr>
                <w:rFonts w:cs="Arial"/>
              </w:rPr>
            </w:pPr>
            <w:r w:rsidRPr="7214BF47">
              <w:rPr>
                <w:rFonts w:cs="Arial"/>
              </w:rPr>
              <w:t xml:space="preserve">In this scenario </w:t>
            </w:r>
            <w:r w:rsidR="0097103C" w:rsidRPr="7214BF47">
              <w:rPr>
                <w:rFonts w:cs="Arial"/>
              </w:rPr>
              <w:t xml:space="preserve">the </w:t>
            </w:r>
            <w:r w:rsidR="00C47E76">
              <w:rPr>
                <w:rFonts w:cs="Arial"/>
              </w:rPr>
              <w:t xml:space="preserve">provided, </w:t>
            </w:r>
            <w:r w:rsidR="0097103C" w:rsidRPr="7214BF47">
              <w:rPr>
                <w:rFonts w:cs="Arial"/>
              </w:rPr>
              <w:t>current</w:t>
            </w:r>
            <w:r w:rsidR="00C47E76">
              <w:rPr>
                <w:rFonts w:cs="Arial"/>
              </w:rPr>
              <w:t>,</w:t>
            </w:r>
            <w:r w:rsidR="0097103C" w:rsidRPr="7214BF47">
              <w:rPr>
                <w:rFonts w:cs="Arial"/>
              </w:rPr>
              <w:t xml:space="preserve"> read </w:t>
            </w:r>
            <w:r w:rsidR="003E5DB5" w:rsidRPr="7214BF47">
              <w:rPr>
                <w:rFonts w:cs="Arial"/>
              </w:rPr>
              <w:t>ha</w:t>
            </w:r>
            <w:r w:rsidR="00B31199">
              <w:rPr>
                <w:rFonts w:cs="Arial"/>
              </w:rPr>
              <w:t>s</w:t>
            </w:r>
            <w:r w:rsidR="003E5DB5" w:rsidRPr="7214BF47">
              <w:rPr>
                <w:rFonts w:cs="Arial"/>
              </w:rPr>
              <w:t xml:space="preserve"> a TTZ </w:t>
            </w:r>
            <w:r w:rsidR="0053252E">
              <w:rPr>
                <w:rFonts w:cs="Arial"/>
              </w:rPr>
              <w:t>value</w:t>
            </w:r>
            <w:r w:rsidR="003E5DB5" w:rsidRPr="7214BF47">
              <w:rPr>
                <w:rFonts w:cs="Arial"/>
              </w:rPr>
              <w:t xml:space="preserve"> </w:t>
            </w:r>
            <w:r w:rsidR="00B31199">
              <w:rPr>
                <w:rFonts w:cs="Arial"/>
              </w:rPr>
              <w:t>of zero</w:t>
            </w:r>
            <w:r w:rsidR="00D06408" w:rsidRPr="7214BF47">
              <w:rPr>
                <w:rFonts w:cs="Arial"/>
              </w:rPr>
              <w:t xml:space="preserve">. </w:t>
            </w:r>
            <w:r w:rsidR="00363E75">
              <w:rPr>
                <w:rFonts w:cs="Arial"/>
              </w:rPr>
              <w:t xml:space="preserve">When calculating </w:t>
            </w:r>
            <w:r w:rsidR="00D63974">
              <w:rPr>
                <w:rFonts w:cs="Arial"/>
              </w:rPr>
              <w:t xml:space="preserve">the volume between actual reads </w:t>
            </w:r>
            <w:r w:rsidRPr="7214BF47">
              <w:rPr>
                <w:rFonts w:cs="Arial"/>
              </w:rPr>
              <w:t xml:space="preserve">the TTZ </w:t>
            </w:r>
            <w:r w:rsidR="00B31199">
              <w:rPr>
                <w:rFonts w:cs="Arial"/>
              </w:rPr>
              <w:t>of 1</w:t>
            </w:r>
            <w:r w:rsidRPr="7214BF47">
              <w:rPr>
                <w:rFonts w:cs="Arial"/>
              </w:rPr>
              <w:t xml:space="preserve"> </w:t>
            </w:r>
            <w:r w:rsidR="0035441E">
              <w:rPr>
                <w:rFonts w:cs="Arial"/>
              </w:rPr>
              <w:t>from</w:t>
            </w:r>
            <w:r w:rsidR="0035441E" w:rsidRPr="7214BF47">
              <w:rPr>
                <w:rFonts w:cs="Arial"/>
              </w:rPr>
              <w:t xml:space="preserve"> </w:t>
            </w:r>
            <w:r w:rsidRPr="7214BF47">
              <w:rPr>
                <w:rFonts w:cs="Arial"/>
              </w:rPr>
              <w:t xml:space="preserve">the </w:t>
            </w:r>
            <w:r w:rsidR="00B31199" w:rsidDel="0035441E">
              <w:rPr>
                <w:rFonts w:cs="Arial"/>
              </w:rPr>
              <w:t>1</w:t>
            </w:r>
            <w:r w:rsidR="00B31199" w:rsidRPr="00B31199" w:rsidDel="0035441E">
              <w:rPr>
                <w:rFonts w:cs="Arial"/>
                <w:vertAlign w:val="superscript"/>
              </w:rPr>
              <w:t>st</w:t>
            </w:r>
            <w:r w:rsidR="00B31199" w:rsidDel="0035441E">
              <w:rPr>
                <w:rFonts w:cs="Arial"/>
              </w:rPr>
              <w:t xml:space="preserve"> </w:t>
            </w:r>
            <w:r w:rsidRPr="7214BF47">
              <w:rPr>
                <w:rFonts w:cs="Arial"/>
              </w:rPr>
              <w:t>estimated read</w:t>
            </w:r>
            <w:r w:rsidR="00251772" w:rsidRPr="7214BF47">
              <w:rPr>
                <w:rFonts w:cs="Arial"/>
              </w:rPr>
              <w:t xml:space="preserve"> </w:t>
            </w:r>
            <w:r w:rsidR="001B514F">
              <w:rPr>
                <w:rFonts w:cs="Arial"/>
              </w:rPr>
              <w:t xml:space="preserve">may </w:t>
            </w:r>
            <w:r w:rsidR="00A11765">
              <w:rPr>
                <w:rFonts w:cs="Arial"/>
              </w:rPr>
              <w:t xml:space="preserve">result in </w:t>
            </w:r>
            <w:r w:rsidR="004D55B1">
              <w:rPr>
                <w:rFonts w:cs="Arial"/>
              </w:rPr>
              <w:t>an incorrect volume if not</w:t>
            </w:r>
            <w:r w:rsidR="00251772" w:rsidRPr="7214BF47">
              <w:rPr>
                <w:rFonts w:cs="Arial"/>
              </w:rPr>
              <w:t xml:space="preserve"> considered </w:t>
            </w:r>
            <w:r w:rsidR="004D55B1">
              <w:rPr>
                <w:rFonts w:cs="Arial"/>
              </w:rPr>
              <w:t>correctly.</w:t>
            </w:r>
            <w:r w:rsidR="00FD41C9" w:rsidRPr="7214BF47">
              <w:rPr>
                <w:rFonts w:cs="Arial"/>
              </w:rPr>
              <w:t xml:space="preserve"> </w:t>
            </w:r>
            <w:r w:rsidR="00D06408" w:rsidRPr="7214BF47">
              <w:rPr>
                <w:rFonts w:cs="Arial"/>
              </w:rPr>
              <w:t xml:space="preserve"> </w:t>
            </w:r>
          </w:p>
          <w:p w14:paraId="26793045" w14:textId="77777777" w:rsidR="00745DFE" w:rsidRDefault="00745DFE" w:rsidP="00E73B09">
            <w:pPr>
              <w:rPr>
                <w:rFonts w:cs="Arial"/>
                <w:szCs w:val="20"/>
              </w:rPr>
            </w:pPr>
          </w:p>
          <w:p w14:paraId="611098ED" w14:textId="489A6A67" w:rsidR="00745DFE" w:rsidRPr="007070CB" w:rsidRDefault="0069741F" w:rsidP="00E73B09">
            <w:pPr>
              <w:rPr>
                <w:rFonts w:cs="Arial"/>
                <w:szCs w:val="20"/>
                <w:u w:val="single"/>
              </w:rPr>
            </w:pPr>
            <w:r w:rsidRPr="00212F18">
              <w:rPr>
                <w:rFonts w:cs="Arial"/>
                <w:szCs w:val="20"/>
                <w:u w:val="single"/>
              </w:rPr>
              <w:t>Example 2</w:t>
            </w:r>
          </w:p>
          <w:p w14:paraId="2ADC7E68" w14:textId="14CE7733" w:rsidR="00801ABB" w:rsidRDefault="00581930" w:rsidP="00757CA2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  <w:r w:rsidR="003A4167">
              <w:rPr>
                <w:rFonts w:cs="Arial"/>
                <w:szCs w:val="20"/>
              </w:rPr>
              <w:t>n existing</w:t>
            </w:r>
            <w:r w:rsidR="00B050D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read</w:t>
            </w:r>
            <w:r w:rsidR="003A4167">
              <w:rPr>
                <w:rFonts w:cs="Arial"/>
                <w:szCs w:val="20"/>
              </w:rPr>
              <w:t>, with a TTZ of zero</w:t>
            </w:r>
            <w:r w:rsidR="00D158F7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is </w:t>
            </w:r>
            <w:r w:rsidR="00B050DD">
              <w:rPr>
                <w:rFonts w:cs="Arial"/>
                <w:szCs w:val="20"/>
              </w:rPr>
              <w:t>replaced</w:t>
            </w:r>
            <w:r w:rsidR="001B03B8">
              <w:rPr>
                <w:rFonts w:cs="Arial"/>
                <w:szCs w:val="20"/>
              </w:rPr>
              <w:t xml:space="preserve"> by a read with a </w:t>
            </w:r>
            <w:r w:rsidR="00B050DD">
              <w:rPr>
                <w:rFonts w:cs="Arial"/>
                <w:szCs w:val="20"/>
              </w:rPr>
              <w:t xml:space="preserve">TTZ </w:t>
            </w:r>
            <w:r w:rsidR="00933B46">
              <w:rPr>
                <w:rFonts w:cs="Arial"/>
                <w:szCs w:val="20"/>
              </w:rPr>
              <w:t>value of 1</w:t>
            </w:r>
            <w:r w:rsidR="00D158F7">
              <w:rPr>
                <w:rFonts w:cs="Arial"/>
                <w:szCs w:val="20"/>
              </w:rPr>
              <w:t>. A later</w:t>
            </w:r>
            <w:r w:rsidR="00084198">
              <w:rPr>
                <w:rFonts w:cs="Arial"/>
                <w:szCs w:val="20"/>
              </w:rPr>
              <w:t xml:space="preserve"> estimated read, with a TTZ of 0</w:t>
            </w:r>
            <w:r w:rsidR="000443C4">
              <w:rPr>
                <w:rFonts w:cs="Arial"/>
                <w:szCs w:val="20"/>
              </w:rPr>
              <w:t>, and a subsequent</w:t>
            </w:r>
            <w:r w:rsidR="00D158F7">
              <w:rPr>
                <w:rFonts w:cs="Arial"/>
                <w:szCs w:val="20"/>
              </w:rPr>
              <w:t xml:space="preserve"> </w:t>
            </w:r>
            <w:r w:rsidR="00CA1F4E">
              <w:rPr>
                <w:rFonts w:cs="Arial"/>
                <w:szCs w:val="20"/>
              </w:rPr>
              <w:t>actual read</w:t>
            </w:r>
            <w:r w:rsidR="007D4C3C">
              <w:rPr>
                <w:rFonts w:cs="Arial"/>
                <w:szCs w:val="20"/>
              </w:rPr>
              <w:t>, with a TTZ of 1,</w:t>
            </w:r>
            <w:r w:rsidR="00D158F7">
              <w:rPr>
                <w:rFonts w:cs="Arial"/>
                <w:szCs w:val="20"/>
              </w:rPr>
              <w:t xml:space="preserve"> </w:t>
            </w:r>
            <w:r w:rsidR="007D4C3C">
              <w:rPr>
                <w:rFonts w:cs="Arial"/>
                <w:szCs w:val="20"/>
              </w:rPr>
              <w:t>are present prior to the replacement read being received</w:t>
            </w:r>
            <w:r w:rsidR="000443C4">
              <w:rPr>
                <w:rFonts w:cs="Arial"/>
                <w:szCs w:val="20"/>
              </w:rPr>
              <w:t>.</w:t>
            </w:r>
          </w:p>
          <w:p w14:paraId="08395845" w14:textId="42FE24F4" w:rsidR="0069741F" w:rsidRDefault="004A2045" w:rsidP="00DD1C41">
            <w:pPr>
              <w:jc w:val="center"/>
              <w:rPr>
                <w:rFonts w:cs="Arial"/>
                <w:szCs w:val="20"/>
              </w:rPr>
            </w:pPr>
            <w:r>
              <w:object w:dxaOrig="5191" w:dyaOrig="2291" w14:anchorId="25818F01">
                <v:shape id="_x0000_i1026" type="#_x0000_t75" style="width:259.8pt;height:115.2pt" o:ole="">
                  <v:imagedata r:id="rId13" o:title=""/>
                </v:shape>
                <o:OLEObject Type="Embed" ProgID="Visio.Drawing.15" ShapeID="_x0000_i1026" DrawAspect="Content" ObjectID="_1682751706" r:id="rId14"/>
              </w:object>
            </w:r>
          </w:p>
          <w:p w14:paraId="537E4333" w14:textId="2DE4D285" w:rsidR="0069741F" w:rsidRDefault="0069741F" w:rsidP="00E73B09">
            <w:pPr>
              <w:rPr>
                <w:rFonts w:cs="Arial"/>
                <w:szCs w:val="20"/>
              </w:rPr>
            </w:pPr>
          </w:p>
          <w:p w14:paraId="460ED543" w14:textId="51E08359" w:rsidR="00AF5E76" w:rsidRDefault="00AF5E76" w:rsidP="006F712D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 this scenario</w:t>
            </w:r>
            <w:r w:rsidR="00922A6C">
              <w:rPr>
                <w:rFonts w:cs="Arial"/>
                <w:szCs w:val="20"/>
              </w:rPr>
              <w:t>, as</w:t>
            </w:r>
            <w:r>
              <w:rPr>
                <w:rFonts w:cs="Arial"/>
                <w:szCs w:val="20"/>
              </w:rPr>
              <w:t xml:space="preserve"> the </w:t>
            </w:r>
            <w:r w:rsidR="00922A6C">
              <w:rPr>
                <w:rFonts w:cs="Arial"/>
                <w:szCs w:val="20"/>
              </w:rPr>
              <w:t xml:space="preserve">replacement </w:t>
            </w:r>
            <w:r w:rsidR="008A0B42">
              <w:rPr>
                <w:rFonts w:cs="Arial"/>
                <w:szCs w:val="20"/>
              </w:rPr>
              <w:t>read</w:t>
            </w:r>
            <w:r w:rsidR="00BB78B4">
              <w:rPr>
                <w:rFonts w:cs="Arial"/>
                <w:szCs w:val="20"/>
              </w:rPr>
              <w:t xml:space="preserve"> is higher, due to the</w:t>
            </w:r>
            <w:r>
              <w:rPr>
                <w:rFonts w:cs="Arial"/>
                <w:szCs w:val="20"/>
              </w:rPr>
              <w:t xml:space="preserve"> TTZ </w:t>
            </w:r>
            <w:r w:rsidR="00C42950">
              <w:rPr>
                <w:rFonts w:cs="Arial"/>
                <w:szCs w:val="20"/>
              </w:rPr>
              <w:t>value of 1</w:t>
            </w:r>
            <w:r w:rsidR="00BB78B4">
              <w:rPr>
                <w:rFonts w:cs="Arial"/>
                <w:szCs w:val="20"/>
              </w:rPr>
              <w:t>, than the subsequent estimated read</w:t>
            </w:r>
            <w:r w:rsidR="0001666D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</w:t>
            </w:r>
            <w:r w:rsidR="004F1E20">
              <w:rPr>
                <w:rFonts w:cs="Arial"/>
                <w:szCs w:val="20"/>
              </w:rPr>
              <w:t xml:space="preserve">if </w:t>
            </w:r>
            <w:r w:rsidR="00143C4E">
              <w:rPr>
                <w:rFonts w:cs="Arial"/>
                <w:szCs w:val="20"/>
              </w:rPr>
              <w:t xml:space="preserve">the </w:t>
            </w:r>
            <w:r w:rsidR="008D6E79">
              <w:rPr>
                <w:rFonts w:cs="Arial"/>
                <w:szCs w:val="20"/>
              </w:rPr>
              <w:t>TTZ</w:t>
            </w:r>
            <w:r w:rsidR="00E478C6">
              <w:rPr>
                <w:rFonts w:cs="Arial"/>
                <w:szCs w:val="20"/>
              </w:rPr>
              <w:t xml:space="preserve"> from the estimated read</w:t>
            </w:r>
            <w:r w:rsidR="008D6E79">
              <w:rPr>
                <w:rFonts w:cs="Arial"/>
                <w:szCs w:val="20"/>
              </w:rPr>
              <w:t xml:space="preserve"> </w:t>
            </w:r>
            <w:r w:rsidR="00143C4E">
              <w:rPr>
                <w:rFonts w:cs="Arial"/>
                <w:szCs w:val="20"/>
              </w:rPr>
              <w:t>is</w:t>
            </w:r>
            <w:r w:rsidR="004F1E20">
              <w:rPr>
                <w:rFonts w:cs="Arial"/>
                <w:szCs w:val="20"/>
              </w:rPr>
              <w:t xml:space="preserve"> utilised </w:t>
            </w:r>
            <w:r w:rsidR="00383325">
              <w:rPr>
                <w:rFonts w:cs="Arial"/>
                <w:szCs w:val="20"/>
              </w:rPr>
              <w:t xml:space="preserve">as is then the forward volume calculation, from replacement to </w:t>
            </w:r>
            <w:r w:rsidR="006F7814">
              <w:rPr>
                <w:rFonts w:cs="Arial"/>
                <w:szCs w:val="20"/>
              </w:rPr>
              <w:t xml:space="preserve">subsequent </w:t>
            </w:r>
            <w:r w:rsidR="00143C4E">
              <w:rPr>
                <w:rFonts w:cs="Arial"/>
                <w:szCs w:val="20"/>
              </w:rPr>
              <w:t xml:space="preserve">estimated </w:t>
            </w:r>
            <w:r w:rsidR="006F7814">
              <w:rPr>
                <w:rFonts w:cs="Arial"/>
                <w:szCs w:val="20"/>
              </w:rPr>
              <w:t xml:space="preserve">read, will be </w:t>
            </w:r>
            <w:r w:rsidR="001B3DC6">
              <w:rPr>
                <w:rFonts w:cs="Arial"/>
                <w:szCs w:val="20"/>
              </w:rPr>
              <w:t>incorrect</w:t>
            </w:r>
            <w:r w:rsidR="00AF3FFE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 xml:space="preserve">  </w:t>
            </w:r>
          </w:p>
          <w:p w14:paraId="497CEEBB" w14:textId="77777777" w:rsidR="0069741F" w:rsidRDefault="0069741F" w:rsidP="00E73B09">
            <w:pPr>
              <w:rPr>
                <w:rFonts w:cs="Arial"/>
                <w:szCs w:val="20"/>
              </w:rPr>
            </w:pPr>
          </w:p>
          <w:p w14:paraId="7062C987" w14:textId="4275A693" w:rsidR="008C4D95" w:rsidRPr="008C4D95" w:rsidRDefault="008C4D95" w:rsidP="00E73B09">
            <w:pPr>
              <w:rPr>
                <w:rFonts w:cs="Arial"/>
                <w:szCs w:val="20"/>
                <w:u w:val="single"/>
              </w:rPr>
            </w:pPr>
            <w:r w:rsidRPr="008C4D95">
              <w:rPr>
                <w:rFonts w:cs="Arial"/>
                <w:szCs w:val="20"/>
                <w:u w:val="single"/>
              </w:rPr>
              <w:t xml:space="preserve">Example </w:t>
            </w:r>
            <w:r w:rsidR="0069741F">
              <w:rPr>
                <w:rFonts w:cs="Arial"/>
                <w:szCs w:val="20"/>
                <w:u w:val="single"/>
              </w:rPr>
              <w:t>3</w:t>
            </w:r>
          </w:p>
          <w:p w14:paraId="64E21F76" w14:textId="016DD6B4" w:rsidR="005145DF" w:rsidRDefault="005F059F" w:rsidP="00212163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  <w:r w:rsidR="00F23341">
              <w:rPr>
                <w:rFonts w:cs="Arial"/>
                <w:szCs w:val="20"/>
              </w:rPr>
              <w:t>n actual</w:t>
            </w:r>
            <w:r>
              <w:rPr>
                <w:rFonts w:cs="Arial"/>
                <w:szCs w:val="20"/>
              </w:rPr>
              <w:t xml:space="preserve"> </w:t>
            </w:r>
            <w:r w:rsidR="00E148C8">
              <w:rPr>
                <w:rFonts w:cs="Arial"/>
                <w:szCs w:val="20"/>
              </w:rPr>
              <w:t>read is inserted</w:t>
            </w:r>
            <w:r w:rsidR="009B7619">
              <w:rPr>
                <w:rFonts w:cs="Arial"/>
                <w:szCs w:val="20"/>
              </w:rPr>
              <w:t xml:space="preserve">, with a TTZ </w:t>
            </w:r>
            <w:r w:rsidR="000D7F4C">
              <w:rPr>
                <w:rFonts w:cs="Arial"/>
                <w:szCs w:val="20"/>
              </w:rPr>
              <w:t>value of 1</w:t>
            </w:r>
            <w:r w:rsidR="009B7619">
              <w:rPr>
                <w:rFonts w:cs="Arial"/>
                <w:szCs w:val="20"/>
              </w:rPr>
              <w:t xml:space="preserve">, where </w:t>
            </w:r>
            <w:r w:rsidR="00AD7BC2">
              <w:rPr>
                <w:rFonts w:cs="Arial"/>
                <w:szCs w:val="20"/>
              </w:rPr>
              <w:t>a</w:t>
            </w:r>
            <w:r w:rsidR="00AF0FE8">
              <w:rPr>
                <w:rFonts w:cs="Arial"/>
                <w:szCs w:val="20"/>
              </w:rPr>
              <w:t xml:space="preserve">n </w:t>
            </w:r>
            <w:r w:rsidR="00DF0590">
              <w:rPr>
                <w:rFonts w:cs="Arial"/>
                <w:szCs w:val="20"/>
              </w:rPr>
              <w:t xml:space="preserve">estimated </w:t>
            </w:r>
            <w:r w:rsidR="009B7619">
              <w:rPr>
                <w:rFonts w:cs="Arial"/>
                <w:szCs w:val="20"/>
              </w:rPr>
              <w:t xml:space="preserve">read </w:t>
            </w:r>
            <w:r w:rsidR="00370526">
              <w:rPr>
                <w:rFonts w:cs="Arial"/>
                <w:szCs w:val="20"/>
              </w:rPr>
              <w:t xml:space="preserve">exists </w:t>
            </w:r>
            <w:r w:rsidR="00786CA9">
              <w:rPr>
                <w:rFonts w:cs="Arial"/>
                <w:szCs w:val="20"/>
              </w:rPr>
              <w:t>for a read date later than the</w:t>
            </w:r>
            <w:r w:rsidR="009B7619">
              <w:rPr>
                <w:rFonts w:cs="Arial"/>
                <w:szCs w:val="20"/>
              </w:rPr>
              <w:t xml:space="preserve"> inserted read</w:t>
            </w:r>
            <w:r w:rsidR="00A27CA2">
              <w:rPr>
                <w:rFonts w:cs="Arial"/>
                <w:szCs w:val="20"/>
              </w:rPr>
              <w:t>,</w:t>
            </w:r>
            <w:r w:rsidR="009B7619">
              <w:rPr>
                <w:rFonts w:cs="Arial"/>
                <w:szCs w:val="20"/>
              </w:rPr>
              <w:t xml:space="preserve"> also </w:t>
            </w:r>
            <w:r w:rsidR="00A27CA2">
              <w:rPr>
                <w:rFonts w:cs="Arial"/>
                <w:szCs w:val="20"/>
              </w:rPr>
              <w:t xml:space="preserve">with </w:t>
            </w:r>
            <w:r w:rsidR="009B7619">
              <w:rPr>
                <w:rFonts w:cs="Arial"/>
                <w:szCs w:val="20"/>
              </w:rPr>
              <w:t xml:space="preserve">a TTZ </w:t>
            </w:r>
            <w:r w:rsidR="000D7F4C">
              <w:rPr>
                <w:rFonts w:cs="Arial"/>
                <w:szCs w:val="20"/>
              </w:rPr>
              <w:t>value of 1</w:t>
            </w:r>
            <w:r w:rsidR="009B7619">
              <w:rPr>
                <w:rFonts w:cs="Arial"/>
                <w:szCs w:val="20"/>
              </w:rPr>
              <w:t>.</w:t>
            </w:r>
          </w:p>
          <w:p w14:paraId="3A1180FE" w14:textId="5724BA02" w:rsidR="00847257" w:rsidRDefault="00847257" w:rsidP="003D6C85">
            <w:pPr>
              <w:jc w:val="center"/>
              <w:rPr>
                <w:rFonts w:cs="Arial"/>
                <w:szCs w:val="20"/>
              </w:rPr>
            </w:pPr>
            <w:r>
              <w:object w:dxaOrig="4061" w:dyaOrig="2291" w14:anchorId="19F495D5">
                <v:shape id="_x0000_i1027" type="#_x0000_t75" style="width:203.4pt;height:115.2pt" o:ole="">
                  <v:imagedata r:id="rId15" o:title=""/>
                </v:shape>
                <o:OLEObject Type="Embed" ProgID="Visio.Drawing.15" ShapeID="_x0000_i1027" DrawAspect="Content" ObjectID="_1682751707" r:id="rId16"/>
              </w:object>
            </w:r>
          </w:p>
          <w:p w14:paraId="571A1AD6" w14:textId="5D441263" w:rsidR="00020BA0" w:rsidRDefault="00020BA0" w:rsidP="00233ED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 this scenario</w:t>
            </w:r>
            <w:r w:rsidR="00C14D25">
              <w:rPr>
                <w:rFonts w:cs="Arial"/>
                <w:szCs w:val="20"/>
              </w:rPr>
              <w:t>, a</w:t>
            </w:r>
            <w:r w:rsidR="001209C8">
              <w:rPr>
                <w:rFonts w:cs="Arial"/>
                <w:szCs w:val="20"/>
              </w:rPr>
              <w:t xml:space="preserve">s the </w:t>
            </w:r>
            <w:r w:rsidR="00657005">
              <w:rPr>
                <w:rFonts w:cs="Arial"/>
                <w:szCs w:val="20"/>
              </w:rPr>
              <w:t xml:space="preserve">TTZ </w:t>
            </w:r>
            <w:r w:rsidR="000D7F4C">
              <w:rPr>
                <w:rFonts w:cs="Arial"/>
                <w:szCs w:val="20"/>
              </w:rPr>
              <w:t xml:space="preserve">value of </w:t>
            </w:r>
            <w:r w:rsidR="009A774F">
              <w:rPr>
                <w:rFonts w:cs="Arial"/>
                <w:szCs w:val="20"/>
              </w:rPr>
              <w:t>both</w:t>
            </w:r>
            <w:r w:rsidR="00657005">
              <w:rPr>
                <w:rFonts w:cs="Arial"/>
                <w:szCs w:val="20"/>
              </w:rPr>
              <w:t xml:space="preserve"> the inserted</w:t>
            </w:r>
            <w:r w:rsidR="00342632">
              <w:rPr>
                <w:rFonts w:cs="Arial"/>
                <w:szCs w:val="20"/>
              </w:rPr>
              <w:t xml:space="preserve"> and </w:t>
            </w:r>
            <w:r w:rsidR="00B51C94">
              <w:rPr>
                <w:rFonts w:cs="Arial"/>
                <w:szCs w:val="20"/>
              </w:rPr>
              <w:t xml:space="preserve">subsequent </w:t>
            </w:r>
            <w:r w:rsidR="005D5960" w:rsidRPr="004508C4">
              <w:rPr>
                <w:rFonts w:cs="Arial"/>
                <w:szCs w:val="20"/>
              </w:rPr>
              <w:t>estimated</w:t>
            </w:r>
            <w:r w:rsidR="005D5960">
              <w:rPr>
                <w:rFonts w:cs="Arial"/>
                <w:szCs w:val="20"/>
              </w:rPr>
              <w:t xml:space="preserve"> </w:t>
            </w:r>
            <w:r w:rsidR="00657005">
              <w:rPr>
                <w:rFonts w:cs="Arial"/>
                <w:szCs w:val="20"/>
              </w:rPr>
              <w:t xml:space="preserve">read </w:t>
            </w:r>
            <w:r w:rsidR="005E13E4">
              <w:rPr>
                <w:rFonts w:cs="Arial"/>
                <w:szCs w:val="20"/>
              </w:rPr>
              <w:t>is 1</w:t>
            </w:r>
            <w:r w:rsidR="001209C8">
              <w:rPr>
                <w:rFonts w:cs="Arial"/>
                <w:szCs w:val="20"/>
              </w:rPr>
              <w:t>,</w:t>
            </w:r>
            <w:r w:rsidR="005E13E4">
              <w:rPr>
                <w:rFonts w:cs="Arial"/>
                <w:szCs w:val="20"/>
              </w:rPr>
              <w:t xml:space="preserve"> </w:t>
            </w:r>
            <w:r w:rsidR="001209C8">
              <w:rPr>
                <w:rFonts w:cs="Arial"/>
                <w:szCs w:val="20"/>
              </w:rPr>
              <w:t>a</w:t>
            </w:r>
            <w:r w:rsidR="00A71E93">
              <w:rPr>
                <w:rFonts w:cs="Arial"/>
                <w:szCs w:val="20"/>
              </w:rPr>
              <w:t xml:space="preserve">s per example 2, if </w:t>
            </w:r>
            <w:r w:rsidR="002B1200">
              <w:rPr>
                <w:rFonts w:cs="Arial"/>
                <w:szCs w:val="20"/>
              </w:rPr>
              <w:t>those</w:t>
            </w:r>
            <w:r w:rsidR="00A71E93">
              <w:rPr>
                <w:rFonts w:cs="Arial"/>
                <w:szCs w:val="20"/>
              </w:rPr>
              <w:t xml:space="preserve"> TTZ values are utilised as is then the forward volume calculation, from </w:t>
            </w:r>
            <w:r w:rsidR="002B1200">
              <w:rPr>
                <w:rFonts w:cs="Arial"/>
                <w:szCs w:val="20"/>
              </w:rPr>
              <w:t>inserted read</w:t>
            </w:r>
            <w:r w:rsidR="00A71E93">
              <w:rPr>
                <w:rFonts w:cs="Arial"/>
                <w:szCs w:val="20"/>
              </w:rPr>
              <w:t xml:space="preserve"> to subsequent </w:t>
            </w:r>
            <w:r w:rsidR="005D5960">
              <w:rPr>
                <w:rFonts w:cs="Arial"/>
                <w:szCs w:val="20"/>
              </w:rPr>
              <w:t xml:space="preserve">estimated </w:t>
            </w:r>
            <w:r w:rsidR="00A71E93">
              <w:rPr>
                <w:rFonts w:cs="Arial"/>
                <w:szCs w:val="20"/>
              </w:rPr>
              <w:t>read, will be incorrect.</w:t>
            </w:r>
            <w:r>
              <w:rPr>
                <w:rFonts w:cs="Arial"/>
                <w:szCs w:val="20"/>
              </w:rPr>
              <w:t xml:space="preserve">  </w:t>
            </w:r>
          </w:p>
          <w:p w14:paraId="2B9E33B6" w14:textId="77777777" w:rsidR="0046374A" w:rsidRDefault="0046374A" w:rsidP="00E73B09">
            <w:pPr>
              <w:rPr>
                <w:rFonts w:cs="Arial"/>
                <w:szCs w:val="20"/>
              </w:rPr>
            </w:pPr>
          </w:p>
          <w:p w14:paraId="7D58F1CD" w14:textId="4BE4AEFB" w:rsidR="00F20EF4" w:rsidRDefault="000B553F" w:rsidP="009E307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When raised</w:t>
            </w:r>
            <w:r w:rsidR="00DF0590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the intention of </w:t>
            </w:r>
            <w:r w:rsidR="001E790E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change</w:t>
            </w:r>
            <w:r w:rsidR="001E790E">
              <w:rPr>
                <w:rFonts w:cs="Arial"/>
              </w:rPr>
              <w:t xml:space="preserve"> was to address all </w:t>
            </w:r>
            <w:r w:rsidR="000613AB">
              <w:rPr>
                <w:rFonts w:cs="Arial"/>
              </w:rPr>
              <w:t xml:space="preserve">issues in the utilisation of the TTZ in volume </w:t>
            </w:r>
            <w:r w:rsidR="000A3024">
              <w:rPr>
                <w:rFonts w:cs="Arial"/>
              </w:rPr>
              <w:t xml:space="preserve">calculations regardless of SMP Class. However, during the </w:t>
            </w:r>
            <w:r w:rsidR="005B6831">
              <w:rPr>
                <w:rFonts w:cs="Arial"/>
              </w:rPr>
              <w:t>detailed impact assessment</w:t>
            </w:r>
            <w:r w:rsidR="004D3D64">
              <w:rPr>
                <w:rFonts w:cs="Arial"/>
              </w:rPr>
              <w:t xml:space="preserve"> it has been found that</w:t>
            </w:r>
            <w:r>
              <w:rPr>
                <w:rFonts w:cs="Arial"/>
              </w:rPr>
              <w:t xml:space="preserve"> </w:t>
            </w:r>
            <w:r w:rsidR="004D3D64">
              <w:rPr>
                <w:rFonts w:cs="Arial"/>
              </w:rPr>
              <w:t>t</w:t>
            </w:r>
            <w:r w:rsidR="00621F02" w:rsidRPr="39C474E5">
              <w:rPr>
                <w:rFonts w:cs="Arial"/>
              </w:rPr>
              <w:t xml:space="preserve">here </w:t>
            </w:r>
            <w:r w:rsidR="00C37F9D" w:rsidRPr="39C474E5">
              <w:rPr>
                <w:rFonts w:cs="Arial"/>
              </w:rPr>
              <w:t>are no i</w:t>
            </w:r>
            <w:r w:rsidR="00B543B1" w:rsidRPr="39C474E5">
              <w:rPr>
                <w:rFonts w:cs="Arial"/>
              </w:rPr>
              <w:t>ssue</w:t>
            </w:r>
            <w:r w:rsidR="00DE123B" w:rsidRPr="39C474E5">
              <w:rPr>
                <w:rFonts w:cs="Arial"/>
              </w:rPr>
              <w:t>s</w:t>
            </w:r>
            <w:r w:rsidR="00B543B1" w:rsidRPr="39C474E5">
              <w:rPr>
                <w:rFonts w:cs="Arial"/>
              </w:rPr>
              <w:t xml:space="preserve"> </w:t>
            </w:r>
            <w:r w:rsidR="00621F02" w:rsidRPr="39C474E5">
              <w:rPr>
                <w:rFonts w:cs="Arial"/>
              </w:rPr>
              <w:t>for Supply Meter Points in Class 1 and Class 2</w:t>
            </w:r>
            <w:r w:rsidR="00F11AC5" w:rsidRPr="39C474E5">
              <w:rPr>
                <w:rFonts w:cs="Arial"/>
              </w:rPr>
              <w:t xml:space="preserve"> </w:t>
            </w:r>
            <w:r w:rsidR="001B518F" w:rsidRPr="39C474E5">
              <w:rPr>
                <w:rFonts w:cs="Arial"/>
              </w:rPr>
              <w:t xml:space="preserve">as </w:t>
            </w:r>
            <w:r w:rsidR="007F4259">
              <w:rPr>
                <w:rFonts w:cs="Arial"/>
              </w:rPr>
              <w:t xml:space="preserve">better </w:t>
            </w:r>
            <w:r w:rsidR="001B518F" w:rsidRPr="39C474E5">
              <w:rPr>
                <w:rFonts w:cs="Arial"/>
              </w:rPr>
              <w:t>estimates are recalcu</w:t>
            </w:r>
            <w:r w:rsidR="00DE123B" w:rsidRPr="39C474E5">
              <w:rPr>
                <w:rFonts w:cs="Arial"/>
              </w:rPr>
              <w:t>lated</w:t>
            </w:r>
            <w:r w:rsidR="008336F5" w:rsidRPr="39C474E5">
              <w:rPr>
                <w:rFonts w:cs="Arial"/>
              </w:rPr>
              <w:t>, where appropriate, following a</w:t>
            </w:r>
            <w:r w:rsidR="002710AE">
              <w:rPr>
                <w:rFonts w:cs="Arial"/>
              </w:rPr>
              <w:t xml:space="preserve"> valid</w:t>
            </w:r>
            <w:r w:rsidR="008336F5" w:rsidRPr="39C474E5">
              <w:rPr>
                <w:rFonts w:cs="Arial"/>
              </w:rPr>
              <w:t xml:space="preserve"> actual read being loaded. </w:t>
            </w:r>
          </w:p>
          <w:p w14:paraId="4AA10F11" w14:textId="6CD52327" w:rsidR="004959F7" w:rsidRDefault="004959F7" w:rsidP="009E3073">
            <w:pPr>
              <w:jc w:val="both"/>
              <w:rPr>
                <w:rFonts w:cs="Arial"/>
              </w:rPr>
            </w:pPr>
          </w:p>
          <w:p w14:paraId="41CB4B75" w14:textId="649D8EB9" w:rsidR="00B23DFF" w:rsidRDefault="004911A1" w:rsidP="0070697D">
            <w:pPr>
              <w:rPr>
                <w:sz w:val="10"/>
                <w:szCs w:val="10"/>
              </w:rPr>
            </w:pPr>
            <w:r>
              <w:rPr>
                <w:rFonts w:cs="Arial"/>
              </w:rPr>
              <w:t xml:space="preserve">Also, in the original scope of the change, </w:t>
            </w:r>
            <w:r w:rsidR="00827DE0">
              <w:rPr>
                <w:rFonts w:cs="Arial"/>
              </w:rPr>
              <w:t xml:space="preserve">was </w:t>
            </w:r>
            <w:r w:rsidR="001A5DD2">
              <w:rPr>
                <w:rFonts w:cs="Arial"/>
              </w:rPr>
              <w:t xml:space="preserve">a requirement to </w:t>
            </w:r>
            <w:r w:rsidR="003A7355">
              <w:rPr>
                <w:rFonts w:cs="Arial"/>
              </w:rPr>
              <w:t xml:space="preserve">amend the </w:t>
            </w:r>
            <w:r w:rsidR="00F63959">
              <w:rPr>
                <w:rFonts w:cs="Arial"/>
              </w:rPr>
              <w:t xml:space="preserve">logic </w:t>
            </w:r>
            <w:r w:rsidR="007C2C64">
              <w:rPr>
                <w:rFonts w:cs="Arial"/>
              </w:rPr>
              <w:t>utilised</w:t>
            </w:r>
            <w:r w:rsidR="00F63959">
              <w:rPr>
                <w:rFonts w:cs="Arial"/>
              </w:rPr>
              <w:t xml:space="preserve"> in the estimation of </w:t>
            </w:r>
            <w:r w:rsidR="009928FE">
              <w:rPr>
                <w:rFonts w:cs="Arial"/>
              </w:rPr>
              <w:t>the TTZ value where one is not provided within an RGMA trans</w:t>
            </w:r>
            <w:r w:rsidR="0044028C">
              <w:rPr>
                <w:rFonts w:cs="Arial"/>
              </w:rPr>
              <w:t>action</w:t>
            </w:r>
            <w:r w:rsidR="007C2C64">
              <w:rPr>
                <w:rFonts w:cs="Arial"/>
              </w:rPr>
              <w:t xml:space="preserve">. </w:t>
            </w:r>
            <w:r w:rsidR="001E0A14">
              <w:rPr>
                <w:rFonts w:cs="Arial"/>
              </w:rPr>
              <w:t xml:space="preserve">During </w:t>
            </w:r>
            <w:r w:rsidR="00D20EBD">
              <w:rPr>
                <w:rFonts w:cs="Arial"/>
              </w:rPr>
              <w:t xml:space="preserve">the </w:t>
            </w:r>
            <w:r w:rsidR="00895E96">
              <w:rPr>
                <w:rFonts w:cs="Arial"/>
              </w:rPr>
              <w:t xml:space="preserve">initial </w:t>
            </w:r>
            <w:r w:rsidR="00B323A1">
              <w:rPr>
                <w:rFonts w:cs="Arial"/>
              </w:rPr>
              <w:t>impact assessment</w:t>
            </w:r>
            <w:r w:rsidR="00895E96">
              <w:rPr>
                <w:rFonts w:cs="Arial"/>
              </w:rPr>
              <w:t xml:space="preserve"> </w:t>
            </w:r>
            <w:r w:rsidR="00A56069">
              <w:rPr>
                <w:rFonts w:cs="Arial"/>
              </w:rPr>
              <w:t>i</w:t>
            </w:r>
            <w:r w:rsidR="00517FA1">
              <w:rPr>
                <w:rFonts w:cs="Arial"/>
              </w:rPr>
              <w:t>t</w:t>
            </w:r>
            <w:r w:rsidR="00A56069">
              <w:rPr>
                <w:rFonts w:cs="Arial"/>
              </w:rPr>
              <w:t xml:space="preserve"> </w:t>
            </w:r>
            <w:r w:rsidR="00910AB9">
              <w:rPr>
                <w:rFonts w:cs="Arial"/>
              </w:rPr>
              <w:t xml:space="preserve">was found that </w:t>
            </w:r>
            <w:r w:rsidR="00620258">
              <w:rPr>
                <w:rFonts w:cs="Arial"/>
              </w:rPr>
              <w:t>a change to this logic would likely in</w:t>
            </w:r>
            <w:r w:rsidR="00092AE3">
              <w:rPr>
                <w:rFonts w:cs="Arial"/>
              </w:rPr>
              <w:t xml:space="preserve">troduce more risk than it </w:t>
            </w:r>
            <w:r w:rsidR="00FE72E7">
              <w:rPr>
                <w:rFonts w:cs="Arial"/>
              </w:rPr>
              <w:t xml:space="preserve">would </w:t>
            </w:r>
            <w:r w:rsidR="007A3087">
              <w:rPr>
                <w:rFonts w:cs="Arial"/>
              </w:rPr>
              <w:t>remove</w:t>
            </w:r>
            <w:r w:rsidR="00FE72E7">
              <w:rPr>
                <w:rFonts w:cs="Arial"/>
              </w:rPr>
              <w:t xml:space="preserve"> and, ther</w:t>
            </w:r>
            <w:r w:rsidR="005D6775">
              <w:rPr>
                <w:rFonts w:cs="Arial"/>
              </w:rPr>
              <w:t>e</w:t>
            </w:r>
            <w:r w:rsidR="008625EC">
              <w:rPr>
                <w:rFonts w:cs="Arial"/>
              </w:rPr>
              <w:t>fore</w:t>
            </w:r>
            <w:r w:rsidR="00C73AC7">
              <w:rPr>
                <w:rFonts w:cs="Arial"/>
              </w:rPr>
              <w:t>, was de</w:t>
            </w:r>
            <w:r w:rsidR="001A179B">
              <w:rPr>
                <w:rFonts w:cs="Arial"/>
              </w:rPr>
              <w:t xml:space="preserve">scoped </w:t>
            </w:r>
            <w:r w:rsidR="009B13C9">
              <w:rPr>
                <w:rFonts w:cs="Arial"/>
              </w:rPr>
              <w:t>from the change</w:t>
            </w:r>
            <w:r w:rsidR="005F338F">
              <w:rPr>
                <w:rFonts w:cs="Arial"/>
              </w:rPr>
              <w:t>,</w:t>
            </w:r>
            <w:r w:rsidR="009B13C9">
              <w:rPr>
                <w:rFonts w:cs="Arial"/>
              </w:rPr>
              <w:t xml:space="preserve"> with </w:t>
            </w:r>
            <w:r w:rsidR="005F338F">
              <w:rPr>
                <w:rFonts w:cs="Arial"/>
              </w:rPr>
              <w:t xml:space="preserve">the </w:t>
            </w:r>
            <w:r w:rsidR="009B13C9">
              <w:rPr>
                <w:rFonts w:cs="Arial"/>
              </w:rPr>
              <w:t xml:space="preserve">support </w:t>
            </w:r>
            <w:r w:rsidR="005F338F">
              <w:rPr>
                <w:rFonts w:cs="Arial"/>
              </w:rPr>
              <w:t xml:space="preserve">of </w:t>
            </w:r>
            <w:r w:rsidR="009B13C9">
              <w:rPr>
                <w:rFonts w:cs="Arial"/>
              </w:rPr>
              <w:t>DSG</w:t>
            </w:r>
            <w:r w:rsidR="005F338F">
              <w:rPr>
                <w:rFonts w:cs="Arial"/>
              </w:rPr>
              <w:t>,</w:t>
            </w:r>
            <w:r w:rsidR="009B13C9">
              <w:rPr>
                <w:rFonts w:cs="Arial"/>
              </w:rPr>
              <w:t xml:space="preserve"> </w:t>
            </w:r>
            <w:r w:rsidR="00180949">
              <w:rPr>
                <w:rFonts w:cs="Arial"/>
              </w:rPr>
              <w:t>in December 2020</w:t>
            </w:r>
            <w:r w:rsidR="00305020">
              <w:rPr>
                <w:rFonts w:cs="Arial"/>
              </w:rPr>
              <w:t xml:space="preserve"> (meeting papers can be found </w:t>
            </w:r>
            <w:hyperlink r:id="rId17" w:history="1">
              <w:r w:rsidR="00305020" w:rsidRPr="00305020">
                <w:rPr>
                  <w:rStyle w:val="Hyperlink"/>
                  <w:rFonts w:cs="Arial"/>
                </w:rPr>
                <w:t>here</w:t>
              </w:r>
            </w:hyperlink>
            <w:r w:rsidR="00305020">
              <w:rPr>
                <w:rFonts w:cs="Arial"/>
              </w:rPr>
              <w:t>)</w:t>
            </w:r>
            <w:r w:rsidR="00180949">
              <w:rPr>
                <w:rFonts w:cs="Arial"/>
              </w:rPr>
              <w:t>.</w:t>
            </w:r>
            <w:r w:rsidR="00A302C1">
              <w:rPr>
                <w:rFonts w:cs="Arial"/>
              </w:rPr>
              <w:t xml:space="preserve"> </w:t>
            </w:r>
            <w:r w:rsidR="006E4DA8" w:rsidRPr="47C15A82">
              <w:rPr>
                <w:rFonts w:cs="Arial"/>
              </w:rPr>
              <w:t xml:space="preserve">However, </w:t>
            </w:r>
            <w:r w:rsidR="00D42D67">
              <w:rPr>
                <w:rFonts w:cs="Arial"/>
              </w:rPr>
              <w:t xml:space="preserve">please note, </w:t>
            </w:r>
            <w:r w:rsidR="006E4DA8" w:rsidRPr="47C15A82">
              <w:rPr>
                <w:rFonts w:cs="Arial"/>
              </w:rPr>
              <w:t xml:space="preserve">the </w:t>
            </w:r>
            <w:r w:rsidR="006E4DA8">
              <w:rPr>
                <w:rFonts w:cs="Arial"/>
              </w:rPr>
              <w:t>resultant</w:t>
            </w:r>
            <w:r w:rsidR="006E4DA8" w:rsidRPr="47C15A82">
              <w:rPr>
                <w:rFonts w:cs="Arial"/>
              </w:rPr>
              <w:t xml:space="preserve"> volume </w:t>
            </w:r>
            <w:r w:rsidR="005438C7">
              <w:rPr>
                <w:rFonts w:cs="Arial"/>
              </w:rPr>
              <w:t>calculat</w:t>
            </w:r>
            <w:r w:rsidR="00505431">
              <w:rPr>
                <w:rFonts w:cs="Arial"/>
              </w:rPr>
              <w:t>ion</w:t>
            </w:r>
            <w:r w:rsidR="005438C7">
              <w:rPr>
                <w:rFonts w:cs="Arial"/>
              </w:rPr>
              <w:t xml:space="preserve"> </w:t>
            </w:r>
            <w:r w:rsidR="00505431">
              <w:rPr>
                <w:rFonts w:cs="Arial"/>
              </w:rPr>
              <w:t xml:space="preserve">remains in scope </w:t>
            </w:r>
            <w:r w:rsidR="005438C7">
              <w:rPr>
                <w:rFonts w:cs="Arial"/>
              </w:rPr>
              <w:t xml:space="preserve">of </w:t>
            </w:r>
            <w:r w:rsidR="00505431">
              <w:rPr>
                <w:rFonts w:cs="Arial"/>
              </w:rPr>
              <w:t xml:space="preserve">the </w:t>
            </w:r>
            <w:r w:rsidR="005438C7">
              <w:rPr>
                <w:rFonts w:cs="Arial"/>
              </w:rPr>
              <w:t xml:space="preserve">change. </w:t>
            </w:r>
          </w:p>
        </w:tc>
      </w:tr>
    </w:tbl>
    <w:p w14:paraId="2D83E96F" w14:textId="77777777" w:rsidR="00550D2B" w:rsidRDefault="00B93E89">
      <w:pPr>
        <w:pStyle w:val="Heading1"/>
      </w:pPr>
      <w:r>
        <w:lastRenderedPageBreak/>
        <w:t>G4: Change Impact Assessment Dashboard (UK Link)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533861" w14:paraId="2206680F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389F090A" w14:textId="77777777" w:rsidR="001B61DD" w:rsidRDefault="001B61DD" w:rsidP="001B61D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Functional:</w:t>
            </w:r>
          </w:p>
        </w:tc>
        <w:tc>
          <w:tcPr>
            <w:tcW w:w="3777" w:type="pct"/>
            <w:shd w:val="clear" w:color="auto" w:fill="FFFFFF"/>
            <w:vAlign w:val="center"/>
          </w:tcPr>
          <w:p w14:paraId="482A8393" w14:textId="40D942FC" w:rsidR="001B61DD" w:rsidRDefault="001B61DD" w:rsidP="001B61DD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Meter Read Processing (UK Link)</w:t>
            </w:r>
          </w:p>
        </w:tc>
      </w:tr>
      <w:tr w:rsidR="00533861" w14:paraId="48F45917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AD2D021" w14:textId="77777777" w:rsidR="001B61DD" w:rsidRDefault="001B61DD" w:rsidP="001B61D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Non-Functional:</w:t>
            </w:r>
          </w:p>
        </w:tc>
        <w:tc>
          <w:tcPr>
            <w:tcW w:w="3777" w:type="pct"/>
            <w:shd w:val="clear" w:color="auto" w:fill="FFFFFF"/>
            <w:vAlign w:val="center"/>
          </w:tcPr>
          <w:p w14:paraId="3487632C" w14:textId="77777777" w:rsidR="001B61DD" w:rsidRDefault="001B61DD" w:rsidP="001B61DD">
            <w:pPr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</w:tr>
      <w:tr w:rsidR="00533861" w14:paraId="4A275524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10A937B" w14:textId="77777777" w:rsidR="001B61DD" w:rsidRDefault="001B61DD" w:rsidP="001B61D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lastRenderedPageBreak/>
              <w:t>Application:</w:t>
            </w:r>
          </w:p>
        </w:tc>
        <w:tc>
          <w:tcPr>
            <w:tcW w:w="3777" w:type="pct"/>
            <w:shd w:val="clear" w:color="auto" w:fill="FFFFFF"/>
            <w:vAlign w:val="center"/>
          </w:tcPr>
          <w:p w14:paraId="6DC8C480" w14:textId="77777777" w:rsidR="001B61DD" w:rsidRDefault="001B61DD" w:rsidP="001B61DD">
            <w:pPr>
              <w:rPr>
                <w:rFonts w:cs="Arial"/>
                <w:highlight w:val="yellow"/>
                <w:shd w:val="clear" w:color="auto" w:fill="FFFF00"/>
              </w:rPr>
            </w:pPr>
            <w:r>
              <w:rPr>
                <w:rFonts w:cs="Arial"/>
              </w:rPr>
              <w:t>SAP ISU</w:t>
            </w:r>
          </w:p>
        </w:tc>
      </w:tr>
      <w:tr w:rsidR="00533861" w14:paraId="6002E832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1FA1C9E" w14:textId="77777777" w:rsidR="001B61DD" w:rsidRDefault="001B61DD" w:rsidP="001B61D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User(s):</w:t>
            </w:r>
          </w:p>
        </w:tc>
        <w:tc>
          <w:tcPr>
            <w:tcW w:w="3777" w:type="pct"/>
            <w:shd w:val="clear" w:color="auto" w:fill="FFFFFF"/>
            <w:vAlign w:val="center"/>
          </w:tcPr>
          <w:p w14:paraId="5328D1BC" w14:textId="3B1780E7" w:rsidR="001B61DD" w:rsidRDefault="00C744AE" w:rsidP="001B61DD">
            <w:pPr>
              <w:rPr>
                <w:rFonts w:cs="Arial"/>
                <w:highlight w:val="yellow"/>
                <w:shd w:val="clear" w:color="auto" w:fill="FFFF00"/>
              </w:rPr>
            </w:pPr>
            <w:r w:rsidRPr="00817141">
              <w:rPr>
                <w:rFonts w:cs="Arial"/>
              </w:rPr>
              <w:t>Shippers</w:t>
            </w:r>
          </w:p>
        </w:tc>
      </w:tr>
      <w:tr w:rsidR="00533861" w14:paraId="2C8295AE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A92AA44" w14:textId="77777777" w:rsidR="001B61DD" w:rsidRDefault="001B61DD" w:rsidP="001B61D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Documentation:</w:t>
            </w:r>
          </w:p>
        </w:tc>
        <w:tc>
          <w:tcPr>
            <w:tcW w:w="3777" w:type="pct"/>
            <w:shd w:val="clear" w:color="auto" w:fill="FFFFFF"/>
            <w:vAlign w:val="center"/>
          </w:tcPr>
          <w:p w14:paraId="179AE652" w14:textId="3034272F" w:rsidR="001B61DD" w:rsidRDefault="00C744AE" w:rsidP="001B61DD">
            <w:pPr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</w:tr>
      <w:tr w:rsidR="00533861" w14:paraId="7502A01C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28B50F67" w14:textId="77777777" w:rsidR="001B61DD" w:rsidRDefault="001B61DD" w:rsidP="001B61D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Other:</w:t>
            </w:r>
          </w:p>
        </w:tc>
        <w:tc>
          <w:tcPr>
            <w:tcW w:w="3777" w:type="pct"/>
            <w:shd w:val="clear" w:color="auto" w:fill="FFFFFF"/>
            <w:vAlign w:val="center"/>
          </w:tcPr>
          <w:p w14:paraId="451C9811" w14:textId="5FC3FE3E" w:rsidR="001B61DD" w:rsidRDefault="00C744AE" w:rsidP="001B61DD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</w:tbl>
    <w:p w14:paraId="00C54D82" w14:textId="77777777" w:rsidR="00550D2B" w:rsidRDefault="00550D2B">
      <w:pPr>
        <w:spacing w:after="0"/>
      </w:pP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65"/>
        <w:gridCol w:w="1898"/>
        <w:gridCol w:w="2269"/>
        <w:gridCol w:w="1842"/>
        <w:gridCol w:w="2074"/>
      </w:tblGrid>
      <w:tr w:rsidR="00BE756D" w14:paraId="7457F718" w14:textId="77777777">
        <w:trPr>
          <w:trHeight w:val="403"/>
        </w:trPr>
        <w:tc>
          <w:tcPr>
            <w:tcW w:w="5000" w:type="pct"/>
            <w:gridSpan w:val="5"/>
            <w:shd w:val="clear" w:color="auto" w:fill="B3EDFB"/>
            <w:vAlign w:val="center"/>
          </w:tcPr>
          <w:p w14:paraId="2C3B271B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Files</w:t>
            </w:r>
          </w:p>
        </w:tc>
      </w:tr>
      <w:tr w:rsidR="00BE756D" w14:paraId="42E331F6" w14:textId="77777777">
        <w:trPr>
          <w:trHeight w:val="403"/>
        </w:trPr>
        <w:tc>
          <w:tcPr>
            <w:tcW w:w="533" w:type="pct"/>
            <w:shd w:val="clear" w:color="auto" w:fill="B3EDFB"/>
            <w:vAlign w:val="center"/>
          </w:tcPr>
          <w:p w14:paraId="6DAF5993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File</w:t>
            </w:r>
          </w:p>
        </w:tc>
        <w:tc>
          <w:tcPr>
            <w:tcW w:w="1049" w:type="pct"/>
            <w:shd w:val="clear" w:color="auto" w:fill="B3EDFB"/>
            <w:vAlign w:val="center"/>
          </w:tcPr>
          <w:p w14:paraId="7B0C5CC0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Parent Record</w:t>
            </w:r>
          </w:p>
        </w:tc>
        <w:tc>
          <w:tcPr>
            <w:tcW w:w="1254" w:type="pct"/>
            <w:shd w:val="clear" w:color="auto" w:fill="B3EDFB"/>
            <w:vAlign w:val="center"/>
          </w:tcPr>
          <w:p w14:paraId="244F37CC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Record</w:t>
            </w:r>
          </w:p>
        </w:tc>
        <w:tc>
          <w:tcPr>
            <w:tcW w:w="1018" w:type="pct"/>
            <w:shd w:val="clear" w:color="auto" w:fill="B3EDFB"/>
            <w:vAlign w:val="center"/>
          </w:tcPr>
          <w:p w14:paraId="0E1C654E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Data Attribute</w:t>
            </w:r>
          </w:p>
        </w:tc>
        <w:tc>
          <w:tcPr>
            <w:tcW w:w="1146" w:type="pct"/>
            <w:shd w:val="clear" w:color="auto" w:fill="B3EDFB"/>
            <w:vAlign w:val="center"/>
          </w:tcPr>
          <w:p w14:paraId="72670CCB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Hierarchy or Format</w:t>
            </w:r>
          </w:p>
          <w:p w14:paraId="7662AF12" w14:textId="77777777" w:rsidR="00550D2B" w:rsidRDefault="00B93E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Agreed</w:t>
            </w:r>
          </w:p>
        </w:tc>
      </w:tr>
      <w:tr w:rsidR="00BE756D" w14:paraId="5B6551EE" w14:textId="77777777">
        <w:trPr>
          <w:trHeight w:val="403"/>
        </w:trPr>
        <w:tc>
          <w:tcPr>
            <w:tcW w:w="533" w:type="pct"/>
            <w:shd w:val="clear" w:color="auto" w:fill="FFFFFF"/>
            <w:vAlign w:val="center"/>
          </w:tcPr>
          <w:p w14:paraId="21007DEA" w14:textId="6AF4ED3A" w:rsidR="00550D2B" w:rsidRDefault="00B61D35" w:rsidP="00E3361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  <w:tc>
          <w:tcPr>
            <w:tcW w:w="1049" w:type="pct"/>
            <w:shd w:val="clear" w:color="auto" w:fill="FFFFFF"/>
            <w:vAlign w:val="center"/>
          </w:tcPr>
          <w:p w14:paraId="2AEB41CA" w14:textId="6E6F2BD9" w:rsidR="00550D2B" w:rsidRDefault="00B61D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  <w:tc>
          <w:tcPr>
            <w:tcW w:w="1254" w:type="pct"/>
            <w:shd w:val="clear" w:color="auto" w:fill="FFFFFF"/>
            <w:vAlign w:val="center"/>
          </w:tcPr>
          <w:p w14:paraId="1E47BCAC" w14:textId="52BB83B2" w:rsidR="00550D2B" w:rsidRDefault="00B61D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  <w:tc>
          <w:tcPr>
            <w:tcW w:w="1018" w:type="pct"/>
            <w:shd w:val="clear" w:color="auto" w:fill="FFFFFF"/>
            <w:vAlign w:val="center"/>
          </w:tcPr>
          <w:p w14:paraId="411DE79A" w14:textId="366F7A8D" w:rsidR="00550D2B" w:rsidRDefault="00B61D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  <w:tc>
          <w:tcPr>
            <w:tcW w:w="1146" w:type="pct"/>
            <w:shd w:val="clear" w:color="auto" w:fill="FFFFFF"/>
            <w:vAlign w:val="center"/>
          </w:tcPr>
          <w:p w14:paraId="334AE5F9" w14:textId="07D243E2" w:rsidR="00550D2B" w:rsidRDefault="00B61D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</w:tr>
    </w:tbl>
    <w:p w14:paraId="5904F472" w14:textId="77777777" w:rsidR="00550D2B" w:rsidRDefault="00B93E89">
      <w:pPr>
        <w:pStyle w:val="Heading1"/>
      </w:pPr>
      <w:r>
        <w:t>G5: Change Design Description</w:t>
      </w:r>
    </w:p>
    <w:tbl>
      <w:tblPr>
        <w:tblStyle w:val="TableGrid"/>
        <w:tblW w:w="496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960"/>
      </w:tblGrid>
      <w:tr w:rsidR="00550D2B" w14:paraId="37213341" w14:textId="77777777">
        <w:trPr>
          <w:trHeight w:val="3102"/>
        </w:trPr>
        <w:tc>
          <w:tcPr>
            <w:tcW w:w="5000" w:type="pct"/>
            <w:vAlign w:val="center"/>
          </w:tcPr>
          <w:p w14:paraId="5FA4182E" w14:textId="0C2C032D" w:rsidR="00C93B42" w:rsidRDefault="00C93B42" w:rsidP="006F712D">
            <w:pPr>
              <w:jc w:val="both"/>
              <w:rPr>
                <w:rFonts w:cs="Arial"/>
              </w:rPr>
            </w:pPr>
            <w:r w:rsidRPr="00EB1F5C">
              <w:rPr>
                <w:rFonts w:cs="Arial"/>
              </w:rPr>
              <w:t xml:space="preserve">Within the initial Change Pack </w:t>
            </w:r>
            <w:r w:rsidR="00545B5C" w:rsidRPr="00EB1F5C">
              <w:rPr>
                <w:rFonts w:cs="Arial"/>
              </w:rPr>
              <w:t>consultation,</w:t>
            </w:r>
            <w:r w:rsidRPr="00EB1F5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 single solution option was</w:t>
            </w:r>
            <w:r w:rsidRPr="00EB1F5C">
              <w:rPr>
                <w:rFonts w:cs="Arial"/>
              </w:rPr>
              <w:t xml:space="preserve"> </w:t>
            </w:r>
            <w:r w:rsidR="002957FD" w:rsidRPr="00EB1F5C">
              <w:rPr>
                <w:rFonts w:cs="Arial"/>
              </w:rPr>
              <w:t>proposed,</w:t>
            </w:r>
            <w:r w:rsidRPr="00EB1F5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and all representations were in support of this solution which is defined below. This was ratified by Change Managers at the Change Management Committee (ChMC) meeting in </w:t>
            </w:r>
            <w:r w:rsidR="0062011D">
              <w:rPr>
                <w:rFonts w:cs="Arial"/>
              </w:rPr>
              <w:t>January</w:t>
            </w:r>
            <w:r>
              <w:rPr>
                <w:rFonts w:cs="Arial"/>
              </w:rPr>
              <w:t xml:space="preserve"> 202</w:t>
            </w:r>
            <w:r w:rsidR="0062011D">
              <w:rPr>
                <w:rFonts w:cs="Arial"/>
              </w:rPr>
              <w:t>1</w:t>
            </w:r>
            <w:r w:rsidRPr="00EB1F5C">
              <w:rPr>
                <w:rFonts w:cs="Arial"/>
              </w:rPr>
              <w:t>.</w:t>
            </w:r>
          </w:p>
          <w:p w14:paraId="0F8292B8" w14:textId="77777777" w:rsidR="0070697D" w:rsidRDefault="0070697D" w:rsidP="006F712D">
            <w:pPr>
              <w:jc w:val="both"/>
              <w:rPr>
                <w:rFonts w:cs="Arial"/>
              </w:rPr>
            </w:pPr>
          </w:p>
          <w:p w14:paraId="678E7825" w14:textId="139631A3" w:rsidR="00C93B42" w:rsidRPr="00B07540" w:rsidRDefault="00363D73" w:rsidP="00B07540">
            <w:pPr>
              <w:jc w:val="both"/>
              <w:rPr>
                <w:b/>
                <w:u w:val="single"/>
              </w:rPr>
            </w:pPr>
            <w:r w:rsidRPr="00B07540">
              <w:rPr>
                <w:b/>
                <w:u w:val="single"/>
              </w:rPr>
              <w:t>Solution Summary</w:t>
            </w:r>
          </w:p>
          <w:p w14:paraId="06CAC046" w14:textId="77777777" w:rsidR="001065C6" w:rsidRDefault="008C53DC" w:rsidP="00B07540">
            <w:pPr>
              <w:jc w:val="both"/>
              <w:rPr>
                <w:bCs/>
              </w:rPr>
            </w:pPr>
            <w:r>
              <w:rPr>
                <w:bCs/>
              </w:rPr>
              <w:t xml:space="preserve">This change seeks to </w:t>
            </w:r>
            <w:r w:rsidR="00A33488" w:rsidRPr="00B07540">
              <w:rPr>
                <w:bCs/>
              </w:rPr>
              <w:t xml:space="preserve">utilise the meter read history </w:t>
            </w:r>
            <w:r w:rsidR="00C82F30">
              <w:rPr>
                <w:bCs/>
              </w:rPr>
              <w:t xml:space="preserve">of a </w:t>
            </w:r>
            <w:r w:rsidR="0031217C">
              <w:rPr>
                <w:bCs/>
              </w:rPr>
              <w:t xml:space="preserve">given MPRN </w:t>
            </w:r>
            <w:r w:rsidR="00A33488" w:rsidRPr="00B07540">
              <w:rPr>
                <w:bCs/>
              </w:rPr>
              <w:t xml:space="preserve">to </w:t>
            </w:r>
            <w:r w:rsidR="00553E7C" w:rsidRPr="00B07540">
              <w:rPr>
                <w:bCs/>
              </w:rPr>
              <w:t>derive the correct TTZ values to use in volume calculations following the receipt o</w:t>
            </w:r>
            <w:r w:rsidR="00EA4728" w:rsidRPr="00B07540">
              <w:rPr>
                <w:bCs/>
              </w:rPr>
              <w:t>f a read</w:t>
            </w:r>
            <w:r w:rsidR="00AF4B94" w:rsidRPr="00B07540">
              <w:rPr>
                <w:bCs/>
              </w:rPr>
              <w:t xml:space="preserve"> with</w:t>
            </w:r>
            <w:r w:rsidR="00EA4728" w:rsidRPr="00B07540">
              <w:rPr>
                <w:bCs/>
              </w:rPr>
              <w:t xml:space="preserve"> or</w:t>
            </w:r>
            <w:r w:rsidR="00553E7C" w:rsidRPr="00B07540">
              <w:rPr>
                <w:bCs/>
              </w:rPr>
              <w:t xml:space="preserve">, in the case of an RGMA read submitted without a TTZ, </w:t>
            </w:r>
            <w:r w:rsidR="00EA4728" w:rsidRPr="00B07540">
              <w:rPr>
                <w:bCs/>
              </w:rPr>
              <w:t>the generation of</w:t>
            </w:r>
            <w:r w:rsidR="00CD2189">
              <w:rPr>
                <w:bCs/>
              </w:rPr>
              <w:t>,</w:t>
            </w:r>
            <w:r w:rsidR="00EA4728" w:rsidRPr="00B07540">
              <w:rPr>
                <w:bCs/>
              </w:rPr>
              <w:t xml:space="preserve"> a TTZ</w:t>
            </w:r>
            <w:r w:rsidR="00AF4B94" w:rsidRPr="00B07540">
              <w:rPr>
                <w:bCs/>
              </w:rPr>
              <w:t xml:space="preserve"> not equal to zero.</w:t>
            </w:r>
          </w:p>
          <w:p w14:paraId="2A984FD7" w14:textId="77777777" w:rsidR="001065C6" w:rsidRDefault="001065C6" w:rsidP="00B07540">
            <w:pPr>
              <w:jc w:val="both"/>
              <w:rPr>
                <w:bCs/>
              </w:rPr>
            </w:pPr>
          </w:p>
          <w:p w14:paraId="03FAE7DA" w14:textId="0B792F0B" w:rsidR="00363D73" w:rsidRPr="00B07540" w:rsidRDefault="009133C5" w:rsidP="00B07540">
            <w:pPr>
              <w:jc w:val="both"/>
              <w:rPr>
                <w:bCs/>
              </w:rPr>
            </w:pPr>
            <w:r>
              <w:rPr>
                <w:bCs/>
              </w:rPr>
              <w:t>T</w:t>
            </w:r>
            <w:r w:rsidR="00BC718E">
              <w:rPr>
                <w:bCs/>
              </w:rPr>
              <w:t xml:space="preserve">here </w:t>
            </w:r>
            <w:proofErr w:type="gramStart"/>
            <w:r w:rsidR="00BC718E">
              <w:rPr>
                <w:bCs/>
              </w:rPr>
              <w:t>are</w:t>
            </w:r>
            <w:proofErr w:type="gramEnd"/>
            <w:r w:rsidR="00BC718E">
              <w:rPr>
                <w:bCs/>
              </w:rPr>
              <w:t xml:space="preserve"> </w:t>
            </w:r>
            <w:r>
              <w:rPr>
                <w:bCs/>
              </w:rPr>
              <w:t xml:space="preserve">a large volume of scenarios to be considered </w:t>
            </w:r>
            <w:r w:rsidR="00BD2A9E">
              <w:rPr>
                <w:bCs/>
              </w:rPr>
              <w:t>when assessing the read history</w:t>
            </w:r>
            <w:r w:rsidR="009274E8">
              <w:rPr>
                <w:bCs/>
              </w:rPr>
              <w:t xml:space="preserve"> so</w:t>
            </w:r>
            <w:r w:rsidR="00BD2A9E">
              <w:rPr>
                <w:bCs/>
              </w:rPr>
              <w:t xml:space="preserve"> </w:t>
            </w:r>
            <w:r w:rsidR="009274E8">
              <w:rPr>
                <w:bCs/>
              </w:rPr>
              <w:t>t</w:t>
            </w:r>
            <w:r w:rsidR="00BA5F8B">
              <w:rPr>
                <w:bCs/>
              </w:rPr>
              <w:t>he following, using the examples defined in section</w:t>
            </w:r>
            <w:r w:rsidR="007D4DEF">
              <w:rPr>
                <w:bCs/>
              </w:rPr>
              <w:t xml:space="preserve"> G3</w:t>
            </w:r>
            <w:r w:rsidR="00BA5F8B">
              <w:rPr>
                <w:bCs/>
              </w:rPr>
              <w:t xml:space="preserve"> above, </w:t>
            </w:r>
            <w:r w:rsidR="00EA5B4E">
              <w:rPr>
                <w:bCs/>
              </w:rPr>
              <w:t xml:space="preserve">defines the </w:t>
            </w:r>
            <w:r w:rsidR="009A25D4">
              <w:rPr>
                <w:bCs/>
              </w:rPr>
              <w:t xml:space="preserve">proposed </w:t>
            </w:r>
            <w:r w:rsidR="00EA5B4E">
              <w:rPr>
                <w:bCs/>
              </w:rPr>
              <w:t>core principles</w:t>
            </w:r>
            <w:r w:rsidR="007D4DEF">
              <w:rPr>
                <w:bCs/>
              </w:rPr>
              <w:t xml:space="preserve"> </w:t>
            </w:r>
            <w:r w:rsidR="009A25D4">
              <w:rPr>
                <w:bCs/>
              </w:rPr>
              <w:t xml:space="preserve">to be </w:t>
            </w:r>
            <w:r w:rsidR="002D61A7">
              <w:rPr>
                <w:bCs/>
              </w:rPr>
              <w:t>used.</w:t>
            </w:r>
          </w:p>
          <w:p w14:paraId="69EF965F" w14:textId="77777777" w:rsidR="00363D73" w:rsidRDefault="00363D73">
            <w:pPr>
              <w:rPr>
                <w:b/>
              </w:rPr>
            </w:pPr>
          </w:p>
          <w:p w14:paraId="083409A1" w14:textId="692310C3" w:rsidR="00FB7A09" w:rsidRPr="00B07540" w:rsidRDefault="00FB7A09">
            <w:pPr>
              <w:rPr>
                <w:b/>
                <w:u w:val="single"/>
              </w:rPr>
            </w:pPr>
            <w:r w:rsidRPr="00B07540">
              <w:rPr>
                <w:b/>
                <w:u w:val="single"/>
              </w:rPr>
              <w:t>Backward Volume</w:t>
            </w:r>
          </w:p>
          <w:p w14:paraId="78C6429E" w14:textId="6AE87E0D" w:rsidR="00550D2B" w:rsidRPr="00AE3307" w:rsidRDefault="00524F07" w:rsidP="00B07540">
            <w:pPr>
              <w:jc w:val="both"/>
            </w:pPr>
            <w:r>
              <w:t xml:space="preserve">Where the read immediately </w:t>
            </w:r>
            <w:r w:rsidR="00E00E8A">
              <w:t>prior to the read being processed is not an actual read t</w:t>
            </w:r>
            <w:r w:rsidR="000C1BA2">
              <w:t xml:space="preserve">he logic for </w:t>
            </w:r>
            <w:r w:rsidR="00A764AD">
              <w:t xml:space="preserve">determining the TTZ </w:t>
            </w:r>
            <w:r w:rsidR="002D0A83">
              <w:t xml:space="preserve">for </w:t>
            </w:r>
            <w:r w:rsidR="00A764AD">
              <w:t xml:space="preserve">use </w:t>
            </w:r>
            <w:r w:rsidR="002A5A50">
              <w:t xml:space="preserve">in </w:t>
            </w:r>
            <w:r w:rsidR="000C1BA2">
              <w:t xml:space="preserve">calculating </w:t>
            </w:r>
            <w:r w:rsidR="008B2EF6" w:rsidRPr="008D28F5">
              <w:rPr>
                <w:bCs/>
              </w:rPr>
              <w:t>backward</w:t>
            </w:r>
            <w:r w:rsidR="008B2EF6">
              <w:t xml:space="preserve"> </w:t>
            </w:r>
            <w:r w:rsidR="002F01B3">
              <w:t xml:space="preserve">volume </w:t>
            </w:r>
            <w:r w:rsidR="000C1BA2">
              <w:t xml:space="preserve">will be updated </w:t>
            </w:r>
            <w:r w:rsidR="009A474D">
              <w:t>as follows</w:t>
            </w:r>
            <w:r w:rsidR="009501A1">
              <w:t>:</w:t>
            </w:r>
          </w:p>
          <w:p w14:paraId="40465F9C" w14:textId="77777777" w:rsidR="00550D2B" w:rsidRDefault="00550D2B"/>
          <w:p w14:paraId="3FC6861D" w14:textId="5F845620" w:rsidR="000B73D4" w:rsidRDefault="00442637" w:rsidP="008E32E2">
            <w:pPr>
              <w:ind w:left="216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E66A5D" w:rsidRPr="007559D8">
              <w:rPr>
                <w:lang w:val="en-US"/>
              </w:rPr>
              <w:t>TTZ</w:t>
            </w:r>
            <w:r>
              <w:rPr>
                <w:lang w:val="en-US"/>
              </w:rPr>
              <w:t xml:space="preserve"> value</w:t>
            </w:r>
            <w:r w:rsidR="00353311">
              <w:rPr>
                <w:lang w:val="en-US"/>
              </w:rPr>
              <w:t xml:space="preserve"> </w:t>
            </w:r>
            <w:r w:rsidR="00C640AE">
              <w:rPr>
                <w:lang w:val="en-US"/>
              </w:rPr>
              <w:t xml:space="preserve">of the </w:t>
            </w:r>
            <w:r w:rsidR="004E173C">
              <w:rPr>
                <w:lang w:val="en-US"/>
              </w:rPr>
              <w:t>Current Read (CR</w:t>
            </w:r>
            <w:r w:rsidR="002C1709">
              <w:rPr>
                <w:lang w:val="en-US"/>
              </w:rPr>
              <w:t>)</w:t>
            </w:r>
          </w:p>
          <w:p w14:paraId="1993EB92" w14:textId="78AEA888" w:rsidR="000B73D4" w:rsidRPr="001F24FB" w:rsidRDefault="000B73D4" w:rsidP="008E32E2">
            <w:pPr>
              <w:ind w:left="2160"/>
              <w:rPr>
                <w:u w:val="single"/>
                <w:lang w:val="en-US"/>
              </w:rPr>
            </w:pPr>
            <w:r w:rsidRPr="001F24FB">
              <w:rPr>
                <w:u w:val="single"/>
                <w:lang w:val="en-US"/>
              </w:rPr>
              <w:t>m</w:t>
            </w:r>
            <w:r w:rsidR="00353311" w:rsidRPr="001F24FB">
              <w:rPr>
                <w:u w:val="single"/>
                <w:lang w:val="en-US"/>
              </w:rPr>
              <w:t>inus</w:t>
            </w:r>
          </w:p>
          <w:p w14:paraId="00A73003" w14:textId="0782A78A" w:rsidR="00E66A5D" w:rsidRDefault="00353311" w:rsidP="008E32E2">
            <w:pPr>
              <w:ind w:left="216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442637">
              <w:rPr>
                <w:lang w:val="en-US"/>
              </w:rPr>
              <w:t>sum</w:t>
            </w:r>
            <w:r w:rsidR="00442637" w:rsidRPr="007559D8">
              <w:rPr>
                <w:lang w:val="en-US"/>
              </w:rPr>
              <w:t xml:space="preserve"> </w:t>
            </w:r>
            <w:r w:rsidR="00046579">
              <w:rPr>
                <w:lang w:val="en-US"/>
              </w:rPr>
              <w:t xml:space="preserve">of </w:t>
            </w:r>
            <w:r w:rsidR="00B4288D">
              <w:rPr>
                <w:lang w:val="en-US"/>
              </w:rPr>
              <w:t>the</w:t>
            </w:r>
            <w:r w:rsidR="00B4288D" w:rsidRPr="007559D8">
              <w:rPr>
                <w:lang w:val="en-US"/>
              </w:rPr>
              <w:t xml:space="preserve"> </w:t>
            </w:r>
            <w:r w:rsidR="00E66A5D" w:rsidRPr="007559D8">
              <w:rPr>
                <w:lang w:val="en-US"/>
              </w:rPr>
              <w:t>TTZ</w:t>
            </w:r>
            <w:r w:rsidR="00B4288D">
              <w:rPr>
                <w:lang w:val="en-US"/>
              </w:rPr>
              <w:t xml:space="preserve"> value of all read</w:t>
            </w:r>
            <w:r w:rsidR="00046579">
              <w:rPr>
                <w:lang w:val="en-US"/>
              </w:rPr>
              <w:t>s between the last actua</w:t>
            </w:r>
            <w:r w:rsidR="006E258E">
              <w:rPr>
                <w:lang w:val="en-US"/>
              </w:rPr>
              <w:t xml:space="preserve">l read and the </w:t>
            </w:r>
            <w:r w:rsidR="00B4288D">
              <w:rPr>
                <w:lang w:val="en-US"/>
              </w:rPr>
              <w:t>CR</w:t>
            </w:r>
            <w:r w:rsidR="00536100">
              <w:rPr>
                <w:lang w:val="en-US"/>
              </w:rPr>
              <w:t xml:space="preserve"> (excluding the </w:t>
            </w:r>
            <w:r w:rsidR="00224EF6">
              <w:rPr>
                <w:lang w:val="en-US"/>
              </w:rPr>
              <w:t>last actual read and the CR)</w:t>
            </w:r>
          </w:p>
          <w:p w14:paraId="08B56A40" w14:textId="052C119E" w:rsidR="006E258E" w:rsidRDefault="006E258E" w:rsidP="006E258E"/>
          <w:p w14:paraId="06AC882F" w14:textId="2D2FCF22" w:rsidR="00DE7C1F" w:rsidRDefault="005C065E" w:rsidP="006E258E">
            <w:r>
              <w:t xml:space="preserve">The following is an </w:t>
            </w:r>
            <w:r w:rsidR="00BC445C">
              <w:t>example of th</w:t>
            </w:r>
            <w:r w:rsidR="005E0FCD">
              <w:t>e new backward volume</w:t>
            </w:r>
            <w:r w:rsidR="00492A77">
              <w:t xml:space="preserve"> calculation</w:t>
            </w:r>
            <w:r w:rsidR="0032075E">
              <w:t>:</w:t>
            </w:r>
          </w:p>
          <w:p w14:paraId="2E74B2F0" w14:textId="4E016E4A" w:rsidR="0028021E" w:rsidRDefault="0028021E" w:rsidP="006E258E"/>
          <w:p w14:paraId="23D4CF44" w14:textId="74EB7219" w:rsidR="00E66A5D" w:rsidRDefault="00EF0AEF" w:rsidP="008D28F5">
            <w:pPr>
              <w:jc w:val="center"/>
            </w:pPr>
            <w:r>
              <w:object w:dxaOrig="9791" w:dyaOrig="2291" w14:anchorId="3B6F2CE3">
                <v:shape id="_x0000_i1028" type="#_x0000_t75" style="width:438pt;height:102.6pt" o:ole="">
                  <v:imagedata r:id="rId18" o:title=""/>
                </v:shape>
                <o:OLEObject Type="Embed" ProgID="Visio.Drawing.15" ShapeID="_x0000_i1028" DrawAspect="Content" ObjectID="_1682751708" r:id="rId19"/>
              </w:object>
            </w:r>
          </w:p>
          <w:p w14:paraId="2FEF8568" w14:textId="4150ACA5" w:rsidR="00550D2B" w:rsidRDefault="00550D2B"/>
          <w:p w14:paraId="4F22B9EB" w14:textId="2325409C" w:rsidR="0047666A" w:rsidRDefault="00D72780" w:rsidP="00D82FB5">
            <w:pPr>
              <w:ind w:left="2160"/>
              <w:rPr>
                <w:lang w:val="en-US"/>
              </w:rPr>
            </w:pPr>
            <w:r>
              <w:rPr>
                <w:lang w:val="en-US"/>
              </w:rPr>
              <w:t xml:space="preserve">The TTZ used to calculated </w:t>
            </w:r>
            <w:r w:rsidR="0047666A">
              <w:rPr>
                <w:lang w:val="en-US"/>
              </w:rPr>
              <w:t xml:space="preserve">volume </w:t>
            </w:r>
            <w:r>
              <w:rPr>
                <w:lang w:val="en-US"/>
              </w:rPr>
              <w:t xml:space="preserve">c. </w:t>
            </w:r>
            <w:r w:rsidR="0047666A">
              <w:rPr>
                <w:lang w:val="en-US"/>
              </w:rPr>
              <w:t xml:space="preserve">is </w:t>
            </w:r>
            <w:r>
              <w:rPr>
                <w:lang w:val="en-US"/>
              </w:rPr>
              <w:t>derived</w:t>
            </w:r>
            <w:r w:rsidR="0047666A">
              <w:rPr>
                <w:lang w:val="en-US"/>
              </w:rPr>
              <w:t xml:space="preserve"> by</w:t>
            </w:r>
          </w:p>
          <w:p w14:paraId="189EE0B2" w14:textId="44B42CAD" w:rsidR="00071C17" w:rsidRPr="00B0358C" w:rsidRDefault="009E4F39" w:rsidP="00D82FB5">
            <w:pPr>
              <w:ind w:left="2160"/>
              <w:rPr>
                <w:lang w:val="en-US"/>
              </w:rPr>
            </w:pPr>
            <w:r w:rsidRPr="00B0358C">
              <w:rPr>
                <w:lang w:val="en-US"/>
              </w:rPr>
              <w:t xml:space="preserve">TTZ of the CR </w:t>
            </w:r>
            <w:r w:rsidR="000F489A" w:rsidRPr="00B0358C">
              <w:rPr>
                <w:lang w:val="en-US"/>
              </w:rPr>
              <w:t xml:space="preserve">is </w:t>
            </w:r>
            <w:r w:rsidR="000F489A" w:rsidRPr="00B0358C">
              <w:rPr>
                <w:color w:val="FF0000"/>
                <w:lang w:val="en-US"/>
              </w:rPr>
              <w:t>0</w:t>
            </w:r>
          </w:p>
          <w:p w14:paraId="45FB1B29" w14:textId="26D4150E" w:rsidR="00BF6FEA" w:rsidRPr="001F24FB" w:rsidRDefault="0079239C" w:rsidP="00D82FB5">
            <w:pPr>
              <w:ind w:left="2160"/>
              <w:rPr>
                <w:u w:val="single"/>
                <w:lang w:val="en-US"/>
              </w:rPr>
            </w:pPr>
            <w:r w:rsidRPr="001F24FB">
              <w:rPr>
                <w:u w:val="single"/>
                <w:lang w:val="en-US"/>
              </w:rPr>
              <w:lastRenderedPageBreak/>
              <w:t>m</w:t>
            </w:r>
            <w:r w:rsidR="00C41967" w:rsidRPr="001F24FB">
              <w:rPr>
                <w:u w:val="single"/>
                <w:lang w:val="en-US"/>
              </w:rPr>
              <w:t>inus</w:t>
            </w:r>
          </w:p>
          <w:p w14:paraId="2B0140DA" w14:textId="6311B6C4" w:rsidR="00C41967" w:rsidRDefault="000E6CD8" w:rsidP="00D82FB5">
            <w:pPr>
              <w:ind w:left="2160"/>
            </w:pPr>
            <w:r w:rsidRPr="00B0358C">
              <w:rPr>
                <w:lang w:val="en-US"/>
              </w:rPr>
              <w:t>T</w:t>
            </w:r>
            <w:r w:rsidR="009E4F39" w:rsidRPr="00B0358C">
              <w:rPr>
                <w:lang w:val="en-US"/>
              </w:rPr>
              <w:t>he SUM of all TTZ</w:t>
            </w:r>
            <w:r w:rsidR="000F355C" w:rsidRPr="00B0358C">
              <w:rPr>
                <w:lang w:val="en-US"/>
              </w:rPr>
              <w:t xml:space="preserve"> values</w:t>
            </w:r>
            <w:r w:rsidR="009E4F39" w:rsidRPr="00B0358C">
              <w:rPr>
                <w:lang w:val="en-US"/>
              </w:rPr>
              <w:t xml:space="preserve"> between last actual and the current read </w:t>
            </w:r>
            <w:r w:rsidR="000F489A" w:rsidRPr="00B0358C">
              <w:rPr>
                <w:lang w:val="en-US"/>
              </w:rPr>
              <w:t>(</w:t>
            </w:r>
            <w:r w:rsidR="000F489A">
              <w:t>1</w:t>
            </w:r>
            <w:r w:rsidR="000F489A" w:rsidRPr="00B0358C">
              <w:rPr>
                <w:vertAlign w:val="superscript"/>
              </w:rPr>
              <w:t>st</w:t>
            </w:r>
            <w:r w:rsidR="000F489A">
              <w:t xml:space="preserve"> estimate is </w:t>
            </w:r>
            <w:r w:rsidR="000F489A" w:rsidRPr="00B0358C">
              <w:rPr>
                <w:color w:val="FF0000"/>
              </w:rPr>
              <w:t>1</w:t>
            </w:r>
            <w:r w:rsidR="000F489A">
              <w:t>, 2</w:t>
            </w:r>
            <w:r w:rsidR="000F489A" w:rsidRPr="00B0358C">
              <w:rPr>
                <w:vertAlign w:val="superscript"/>
              </w:rPr>
              <w:t>nd</w:t>
            </w:r>
            <w:r w:rsidR="000F489A">
              <w:t xml:space="preserve"> estimate is </w:t>
            </w:r>
            <w:r w:rsidR="000F489A" w:rsidRPr="00B0358C">
              <w:rPr>
                <w:color w:val="FF0000"/>
              </w:rPr>
              <w:t>0</w:t>
            </w:r>
            <w:r w:rsidR="00DE15E8" w:rsidRPr="00B0358C">
              <w:rPr>
                <w:color w:val="FF0000"/>
              </w:rPr>
              <w:t>)</w:t>
            </w:r>
            <w:r w:rsidR="00447799" w:rsidRPr="00447799">
              <w:t xml:space="preserve"> = </w:t>
            </w:r>
            <w:r w:rsidR="000F489A" w:rsidRPr="00B0358C">
              <w:rPr>
                <w:color w:val="FF0000"/>
              </w:rPr>
              <w:t>1</w:t>
            </w:r>
          </w:p>
          <w:p w14:paraId="0847FF50" w14:textId="51F16446" w:rsidR="00E76C6E" w:rsidRDefault="00D82FB5" w:rsidP="00D82FB5">
            <w:pPr>
              <w:ind w:left="2160"/>
            </w:pPr>
            <w:r>
              <w:t>Therefore, a</w:t>
            </w:r>
            <w:r w:rsidR="00C41967">
              <w:t xml:space="preserve"> derived TTZ </w:t>
            </w:r>
            <w:r w:rsidR="001764E1">
              <w:t xml:space="preserve">value </w:t>
            </w:r>
            <w:r w:rsidR="00C41967">
              <w:t>of</w:t>
            </w:r>
            <w:r w:rsidR="00DC640F">
              <w:t xml:space="preserve"> </w:t>
            </w:r>
            <w:r w:rsidR="00DC640F" w:rsidRPr="00305F56">
              <w:rPr>
                <w:color w:val="FF0000"/>
              </w:rPr>
              <w:t>-1</w:t>
            </w:r>
          </w:p>
          <w:p w14:paraId="3EBB8139" w14:textId="77777777" w:rsidR="001C119B" w:rsidRDefault="001C119B"/>
          <w:p w14:paraId="7BAE89E7" w14:textId="35CD1E4F" w:rsidR="00FD41C9" w:rsidRDefault="00A24C2D" w:rsidP="00910ECF">
            <w:pPr>
              <w:jc w:val="both"/>
            </w:pPr>
            <w:r>
              <w:t>T</w:t>
            </w:r>
            <w:r w:rsidR="00E44EE1">
              <w:t xml:space="preserve">he </w:t>
            </w:r>
            <w:r w:rsidR="00BB45EC">
              <w:t xml:space="preserve">derived </w:t>
            </w:r>
            <w:r w:rsidR="007309BE">
              <w:t>TTZ</w:t>
            </w:r>
            <w:r w:rsidR="009D0942">
              <w:t xml:space="preserve"> </w:t>
            </w:r>
            <w:r w:rsidR="0066067F">
              <w:t xml:space="preserve">value </w:t>
            </w:r>
            <w:r w:rsidR="00BB45EC">
              <w:t xml:space="preserve">of </w:t>
            </w:r>
            <w:r w:rsidR="00BB45EC" w:rsidRPr="00910ECF">
              <w:rPr>
                <w:color w:val="FF0000"/>
              </w:rPr>
              <w:t>-1</w:t>
            </w:r>
            <w:r w:rsidR="00BB45EC">
              <w:t xml:space="preserve"> will be </w:t>
            </w:r>
            <w:r w:rsidR="009D0942">
              <w:t xml:space="preserve">applied to the current read </w:t>
            </w:r>
            <w:r w:rsidR="00901012">
              <w:t xml:space="preserve">for </w:t>
            </w:r>
            <w:r w:rsidR="00D23DA2">
              <w:t xml:space="preserve">backward </w:t>
            </w:r>
            <w:r w:rsidR="00901012">
              <w:t>volume calculation</w:t>
            </w:r>
            <w:r w:rsidR="00924D2C" w:rsidRPr="00924D2C">
              <w:t>.</w:t>
            </w:r>
            <w:r w:rsidR="00924D2C">
              <w:rPr>
                <w:color w:val="FF0000"/>
              </w:rPr>
              <w:t xml:space="preserve"> </w:t>
            </w:r>
            <w:r w:rsidR="00DF4414">
              <w:t xml:space="preserve">As </w:t>
            </w:r>
            <w:r w:rsidR="00FD41C9">
              <w:t xml:space="preserve">volume </w:t>
            </w:r>
            <w:r w:rsidR="007078CF">
              <w:t xml:space="preserve">is </w:t>
            </w:r>
            <w:r w:rsidR="00FD41C9">
              <w:t>calculated between each read</w:t>
            </w:r>
            <w:r w:rsidR="009F4FBF">
              <w:t>, estimated and actual,</w:t>
            </w:r>
            <w:r w:rsidR="0046301A">
              <w:t xml:space="preserve"> </w:t>
            </w:r>
            <w:r w:rsidR="00DF4414">
              <w:t xml:space="preserve">the current read </w:t>
            </w:r>
            <w:r w:rsidR="00A64A2D">
              <w:t>must</w:t>
            </w:r>
            <w:r w:rsidR="00DF4414">
              <w:t xml:space="preserve"> have a negative TTZ </w:t>
            </w:r>
            <w:r w:rsidR="003C2414">
              <w:t>value</w:t>
            </w:r>
            <w:r w:rsidR="00DF4414">
              <w:t xml:space="preserve"> </w:t>
            </w:r>
            <w:r w:rsidR="00C55BCB">
              <w:t xml:space="preserve">so that </w:t>
            </w:r>
            <w:r w:rsidR="00A4739D">
              <w:t>volume</w:t>
            </w:r>
            <w:r w:rsidR="008163DE">
              <w:t xml:space="preserve"> c.</w:t>
            </w:r>
            <w:r w:rsidR="00A4739D">
              <w:t xml:space="preserve"> is calculated </w:t>
            </w:r>
            <w:r w:rsidR="0066067F">
              <w:t>as</w:t>
            </w:r>
            <w:r w:rsidR="00A4739D">
              <w:t xml:space="preserve"> </w:t>
            </w:r>
            <w:r w:rsidR="00A4739D" w:rsidRPr="00A4739D">
              <w:rPr>
                <w:color w:val="FF0000"/>
              </w:rPr>
              <w:t>-300</w:t>
            </w:r>
            <w:r w:rsidR="00F55D00">
              <w:rPr>
                <w:color w:val="FF0000"/>
              </w:rPr>
              <w:t xml:space="preserve"> </w:t>
            </w:r>
            <w:r w:rsidR="00E82714">
              <w:t>and not as</w:t>
            </w:r>
            <w:r w:rsidR="00F55D00" w:rsidRPr="00F55D00">
              <w:t xml:space="preserve"> +9700</w:t>
            </w:r>
            <w:r w:rsidR="002E0CBB">
              <w:t>.</w:t>
            </w:r>
          </w:p>
          <w:p w14:paraId="67469C9B" w14:textId="6C3C2565" w:rsidR="00482F14" w:rsidRDefault="00482F14"/>
          <w:p w14:paraId="5A738701" w14:textId="4B3DAF24" w:rsidR="009124DA" w:rsidRDefault="009124DA" w:rsidP="001F24FB">
            <w:pPr>
              <w:jc w:val="both"/>
            </w:pPr>
            <w:r>
              <w:t>For clarity, the derived TTZ value used in the volume calculation will not be stored</w:t>
            </w:r>
            <w:r w:rsidR="00D62B1F">
              <w:t>. The</w:t>
            </w:r>
            <w:r>
              <w:t xml:space="preserve"> read</w:t>
            </w:r>
            <w:r w:rsidR="00A24C2D">
              <w:t xml:space="preserve"> and the associated TTZ received,</w:t>
            </w:r>
            <w:r w:rsidR="00D62B1F">
              <w:t xml:space="preserve"> or generated</w:t>
            </w:r>
            <w:r w:rsidR="00A24C2D">
              <w:t>, will be maintained.</w:t>
            </w:r>
          </w:p>
          <w:p w14:paraId="1874D6DD" w14:textId="5563AD82" w:rsidR="00204037" w:rsidRDefault="00204037" w:rsidP="001F24FB">
            <w:pPr>
              <w:jc w:val="both"/>
            </w:pPr>
          </w:p>
          <w:p w14:paraId="41077303" w14:textId="5A8A4FB1" w:rsidR="00DA2AEF" w:rsidRPr="00910ECF" w:rsidRDefault="00DA2AEF" w:rsidP="00910ECF">
            <w:pPr>
              <w:jc w:val="both"/>
              <w:rPr>
                <w:b/>
                <w:u w:val="single"/>
              </w:rPr>
            </w:pPr>
            <w:r w:rsidRPr="00910ECF">
              <w:rPr>
                <w:b/>
                <w:u w:val="single"/>
              </w:rPr>
              <w:t>Forward Volume</w:t>
            </w:r>
          </w:p>
          <w:p w14:paraId="54FE37EC" w14:textId="52DCF9BE" w:rsidR="006E0AF2" w:rsidRDefault="00D97370" w:rsidP="00910ECF">
            <w:pPr>
              <w:jc w:val="both"/>
            </w:pPr>
            <w:r>
              <w:t xml:space="preserve">Where the current read is not the latest read </w:t>
            </w:r>
            <w:r w:rsidR="003F113E">
              <w:t xml:space="preserve">held both </w:t>
            </w:r>
            <w:r w:rsidR="002E4BDF" w:rsidRPr="005F56A4">
              <w:t>backward</w:t>
            </w:r>
            <w:r w:rsidR="00A068EE">
              <w:t xml:space="preserve"> </w:t>
            </w:r>
            <w:r w:rsidR="003F113E">
              <w:t xml:space="preserve">and forward </w:t>
            </w:r>
            <w:r w:rsidR="00A068EE">
              <w:t>volume is calculated</w:t>
            </w:r>
            <w:r w:rsidR="00A94F86">
              <w:t>. Backward volume is calculated as defined above</w:t>
            </w:r>
            <w:r w:rsidR="00261754">
              <w:t xml:space="preserve">, </w:t>
            </w:r>
            <w:r w:rsidR="00884EDF">
              <w:t xml:space="preserve">the </w:t>
            </w:r>
            <w:r w:rsidR="006E0AF2">
              <w:t xml:space="preserve">logic for determining the TTZ </w:t>
            </w:r>
            <w:r w:rsidR="00143C99">
              <w:t xml:space="preserve">value </w:t>
            </w:r>
            <w:r w:rsidR="006E0AF2">
              <w:t xml:space="preserve">for </w:t>
            </w:r>
            <w:r w:rsidR="00143C99">
              <w:t xml:space="preserve">use in </w:t>
            </w:r>
            <w:r w:rsidR="006E0AF2">
              <w:t xml:space="preserve">calculating the </w:t>
            </w:r>
            <w:r w:rsidR="000A22D1" w:rsidRPr="005F56A4">
              <w:t>forward</w:t>
            </w:r>
            <w:r w:rsidR="006E0AF2">
              <w:t xml:space="preserve"> volume </w:t>
            </w:r>
            <w:r w:rsidR="00143C99">
              <w:t xml:space="preserve">will </w:t>
            </w:r>
            <w:r w:rsidR="00591735">
              <w:t xml:space="preserve">vary </w:t>
            </w:r>
            <w:r w:rsidR="002E7FB8">
              <w:t xml:space="preserve">based </w:t>
            </w:r>
            <w:r w:rsidR="00591735">
              <w:t xml:space="preserve">on the reads </w:t>
            </w:r>
            <w:r w:rsidR="00BA25FD">
              <w:t xml:space="preserve">already </w:t>
            </w:r>
            <w:r w:rsidR="00591735">
              <w:t xml:space="preserve">present in </w:t>
            </w:r>
            <w:r w:rsidR="00034EAB">
              <w:t>UK Link</w:t>
            </w:r>
            <w:r w:rsidR="009929BE">
              <w:t>.</w:t>
            </w:r>
            <w:r w:rsidR="000A19B6">
              <w:t xml:space="preserve"> These variations are defined below.</w:t>
            </w:r>
          </w:p>
          <w:p w14:paraId="4011247A" w14:textId="440B9B6E" w:rsidR="009929BE" w:rsidRDefault="009929BE" w:rsidP="00910ECF">
            <w:pPr>
              <w:jc w:val="both"/>
            </w:pPr>
          </w:p>
          <w:p w14:paraId="42503422" w14:textId="19108828" w:rsidR="00571DC1" w:rsidRPr="00496F92" w:rsidRDefault="00034EAB" w:rsidP="00910ECF">
            <w:pPr>
              <w:jc w:val="both"/>
              <w:rPr>
                <w:lang w:val="en-US"/>
              </w:rPr>
            </w:pPr>
            <w:r>
              <w:t>It should be</w:t>
            </w:r>
            <w:r w:rsidR="00DA2AEF">
              <w:t xml:space="preserve"> note</w:t>
            </w:r>
            <w:r>
              <w:t>d,</w:t>
            </w:r>
            <w:r w:rsidR="00DA2AEF">
              <w:t xml:space="preserve"> w</w:t>
            </w:r>
            <w:r w:rsidR="00DA2AEF">
              <w:rPr>
                <w:lang w:val="en-US"/>
              </w:rPr>
              <w:t xml:space="preserve">here the </w:t>
            </w:r>
            <w:r w:rsidR="0051208A">
              <w:rPr>
                <w:lang w:val="en-US"/>
              </w:rPr>
              <w:t xml:space="preserve">received </w:t>
            </w:r>
            <w:r w:rsidR="00DA2AEF">
              <w:rPr>
                <w:lang w:val="en-US"/>
              </w:rPr>
              <w:t xml:space="preserve">read </w:t>
            </w:r>
            <w:r w:rsidR="00571DC1">
              <w:rPr>
                <w:lang w:val="en-US"/>
              </w:rPr>
              <w:t xml:space="preserve">is immediately </w:t>
            </w:r>
            <w:r w:rsidR="00526114">
              <w:rPr>
                <w:lang w:val="en-US"/>
              </w:rPr>
              <w:t xml:space="preserve">prior to </w:t>
            </w:r>
            <w:r w:rsidR="00571DC1">
              <w:rPr>
                <w:lang w:val="en-US"/>
              </w:rPr>
              <w:t>an</w:t>
            </w:r>
            <w:r w:rsidR="00526114">
              <w:rPr>
                <w:lang w:val="en-US"/>
              </w:rPr>
              <w:t xml:space="preserve"> existing</w:t>
            </w:r>
            <w:r w:rsidR="00571DC1">
              <w:rPr>
                <w:lang w:val="en-US"/>
              </w:rPr>
              <w:t xml:space="preserve"> actual</w:t>
            </w:r>
            <w:r w:rsidR="00BC4A39">
              <w:rPr>
                <w:lang w:val="en-US"/>
              </w:rPr>
              <w:t xml:space="preserve"> read</w:t>
            </w:r>
            <w:r w:rsidR="00571DC1">
              <w:rPr>
                <w:lang w:val="en-US"/>
              </w:rPr>
              <w:t xml:space="preserve"> there are no changes </w:t>
            </w:r>
            <w:r w:rsidR="00266A96">
              <w:rPr>
                <w:lang w:val="en-US"/>
              </w:rPr>
              <w:t>required</w:t>
            </w:r>
            <w:r w:rsidR="00571DC1">
              <w:rPr>
                <w:lang w:val="en-US"/>
              </w:rPr>
              <w:t xml:space="preserve"> to the </w:t>
            </w:r>
            <w:r w:rsidR="0041705E">
              <w:rPr>
                <w:lang w:val="en-US"/>
              </w:rPr>
              <w:t xml:space="preserve">existing </w:t>
            </w:r>
            <w:r w:rsidR="00571DC1">
              <w:rPr>
                <w:lang w:val="en-US"/>
              </w:rPr>
              <w:t>logic</w:t>
            </w:r>
            <w:r w:rsidR="001C0FE5">
              <w:rPr>
                <w:lang w:val="en-US"/>
              </w:rPr>
              <w:t xml:space="preserve"> as the TTZ value to be used is already derived correctly</w:t>
            </w:r>
            <w:r w:rsidR="00571DC1">
              <w:rPr>
                <w:lang w:val="en-US"/>
              </w:rPr>
              <w:t>.</w:t>
            </w:r>
          </w:p>
          <w:p w14:paraId="1A7D04F7" w14:textId="77777777" w:rsidR="00DA2AEF" w:rsidRDefault="00DA2AEF"/>
          <w:p w14:paraId="616831C5" w14:textId="33276E74" w:rsidR="00D97370" w:rsidRPr="00A801C3" w:rsidRDefault="00FD5187">
            <w:pPr>
              <w:rPr>
                <w:i/>
                <w:iCs/>
                <w:u w:val="single"/>
              </w:rPr>
            </w:pPr>
            <w:r w:rsidRPr="00A801C3">
              <w:rPr>
                <w:i/>
                <w:iCs/>
                <w:u w:val="single"/>
              </w:rPr>
              <w:t>R</w:t>
            </w:r>
            <w:r w:rsidR="009929BE" w:rsidRPr="00A801C3">
              <w:rPr>
                <w:i/>
                <w:iCs/>
                <w:u w:val="single"/>
              </w:rPr>
              <w:t xml:space="preserve">eplacement </w:t>
            </w:r>
            <w:r w:rsidR="00C84B87">
              <w:rPr>
                <w:i/>
                <w:iCs/>
                <w:u w:val="single"/>
              </w:rPr>
              <w:t>R</w:t>
            </w:r>
            <w:r w:rsidR="00C84B87" w:rsidRPr="00A801C3">
              <w:rPr>
                <w:i/>
                <w:iCs/>
                <w:u w:val="single"/>
              </w:rPr>
              <w:t xml:space="preserve">eads </w:t>
            </w:r>
          </w:p>
          <w:p w14:paraId="41BD02D6" w14:textId="3F7DEC92" w:rsidR="002108F9" w:rsidRDefault="00F400F7" w:rsidP="001F24FB">
            <w:pPr>
              <w:jc w:val="both"/>
            </w:pPr>
            <w:r>
              <w:t>In the case of a replacement read, t</w:t>
            </w:r>
            <w:r w:rsidR="000D20BC">
              <w:t xml:space="preserve">he volume </w:t>
            </w:r>
            <w:r w:rsidR="00E15DF9">
              <w:t xml:space="preserve">has </w:t>
            </w:r>
            <w:r w:rsidR="007761B0">
              <w:t xml:space="preserve">already </w:t>
            </w:r>
            <w:r w:rsidR="00E15DF9">
              <w:t xml:space="preserve">been </w:t>
            </w:r>
            <w:r w:rsidR="000D20BC">
              <w:t xml:space="preserve">calculated between </w:t>
            </w:r>
            <w:r w:rsidR="009E7599">
              <w:t xml:space="preserve">each of the reads prior to </w:t>
            </w:r>
            <w:r w:rsidR="00804C21">
              <w:t>the</w:t>
            </w:r>
            <w:r w:rsidR="009E7599">
              <w:t xml:space="preserve"> read being replaced</w:t>
            </w:r>
            <w:r w:rsidR="00E15DF9">
              <w:t xml:space="preserve">. </w:t>
            </w:r>
            <w:r w:rsidR="00EE58BC">
              <w:t xml:space="preserve">Following </w:t>
            </w:r>
            <w:r w:rsidR="006D5CF6">
              <w:t xml:space="preserve">receipt of a valid replacement read, </w:t>
            </w:r>
            <w:r w:rsidR="00A50EE5">
              <w:t>backward volume is calculated using the logic above</w:t>
            </w:r>
            <w:r w:rsidR="006D5CF6">
              <w:t xml:space="preserve"> and</w:t>
            </w:r>
            <w:r w:rsidR="00A50EE5">
              <w:t xml:space="preserve">  the </w:t>
            </w:r>
            <w:r w:rsidR="00686C6B">
              <w:t>forward volume</w:t>
            </w:r>
            <w:r w:rsidR="006D5CF6">
              <w:t>,</w:t>
            </w:r>
            <w:r w:rsidR="00686C6B">
              <w:t xml:space="preserve"> from the </w:t>
            </w:r>
            <w:r w:rsidR="00143462">
              <w:t xml:space="preserve">replacement </w:t>
            </w:r>
            <w:r w:rsidR="00686C6B">
              <w:t xml:space="preserve">read to the </w:t>
            </w:r>
            <w:r w:rsidR="00143462">
              <w:t xml:space="preserve">subsequent </w:t>
            </w:r>
            <w:r w:rsidR="00686C6B">
              <w:t>read</w:t>
            </w:r>
            <w:r w:rsidR="002108F9">
              <w:t xml:space="preserve"> will be calculated as</w:t>
            </w:r>
            <w:r w:rsidR="00F36985">
              <w:t>:</w:t>
            </w:r>
          </w:p>
          <w:p w14:paraId="1E44FC31" w14:textId="77777777" w:rsidR="005F56A4" w:rsidRDefault="005F56A4" w:rsidP="00E15DF9"/>
          <w:p w14:paraId="2DA58FF4" w14:textId="571FAD0F" w:rsidR="00DC75EF" w:rsidRDefault="0036145E" w:rsidP="008E32E2">
            <w:pPr>
              <w:ind w:left="2160"/>
            </w:pPr>
            <w:r>
              <w:t xml:space="preserve">The </w:t>
            </w:r>
            <w:r w:rsidR="008E1987">
              <w:t>total</w:t>
            </w:r>
            <w:r w:rsidR="006112F2">
              <w:t>, original, backward and forward</w:t>
            </w:r>
            <w:r w:rsidR="008E1987">
              <w:t xml:space="preserve"> volume </w:t>
            </w:r>
          </w:p>
          <w:p w14:paraId="12FD7944" w14:textId="77777777" w:rsidR="00DC75EF" w:rsidRPr="001F24FB" w:rsidRDefault="008E1987" w:rsidP="008E32E2">
            <w:pPr>
              <w:ind w:left="2160"/>
              <w:rPr>
                <w:u w:val="single"/>
              </w:rPr>
            </w:pPr>
            <w:r w:rsidRPr="001F24FB">
              <w:rPr>
                <w:u w:val="single"/>
              </w:rPr>
              <w:t xml:space="preserve">minus </w:t>
            </w:r>
          </w:p>
          <w:p w14:paraId="1A2E1DE6" w14:textId="425F9172" w:rsidR="009E7599" w:rsidRDefault="006775BF" w:rsidP="008E32E2">
            <w:pPr>
              <w:ind w:left="2160"/>
            </w:pPr>
            <w:r>
              <w:t xml:space="preserve">the </w:t>
            </w:r>
            <w:r w:rsidR="00F3632E">
              <w:t xml:space="preserve">replacement </w:t>
            </w:r>
            <w:r>
              <w:t xml:space="preserve">backward volume </w:t>
            </w:r>
            <w:r w:rsidR="00F3632E">
              <w:t>(</w:t>
            </w:r>
            <w:r w:rsidR="005F3569">
              <w:t xml:space="preserve">between </w:t>
            </w:r>
            <w:r w:rsidR="005C3A2F">
              <w:t xml:space="preserve">the </w:t>
            </w:r>
            <w:r w:rsidR="005F3569">
              <w:t>replacement</w:t>
            </w:r>
            <w:r>
              <w:t xml:space="preserve"> and the previous read</w:t>
            </w:r>
            <w:r w:rsidR="00791B04">
              <w:t>)</w:t>
            </w:r>
          </w:p>
          <w:p w14:paraId="6276E99B" w14:textId="77777777" w:rsidR="00955CAF" w:rsidRDefault="00955CAF" w:rsidP="00955CAF"/>
          <w:p w14:paraId="42D834DB" w14:textId="4ED9CEF7" w:rsidR="00955CAF" w:rsidRDefault="005C3A2F" w:rsidP="00955CAF">
            <w:r>
              <w:t>The below is a</w:t>
            </w:r>
            <w:r w:rsidR="00955CAF">
              <w:t xml:space="preserve">n example of </w:t>
            </w:r>
            <w:r w:rsidR="00114A73">
              <w:t>a replacement read scenario</w:t>
            </w:r>
            <w:r w:rsidR="00684166">
              <w:t>:</w:t>
            </w:r>
          </w:p>
          <w:p w14:paraId="4F247494" w14:textId="0E8FF989" w:rsidR="009929BE" w:rsidRDefault="009535AC">
            <w:r>
              <w:object w:dxaOrig="10120" w:dyaOrig="2291" w14:anchorId="6509C411">
                <v:shape id="_x0000_i1029" type="#_x0000_t75" style="width:438pt;height:99pt" o:ole="">
                  <v:imagedata r:id="rId20" o:title=""/>
                </v:shape>
                <o:OLEObject Type="Embed" ProgID="Visio.Drawing.15" ShapeID="_x0000_i1029" DrawAspect="Content" ObjectID="_1682751709" r:id="rId21"/>
              </w:object>
            </w:r>
          </w:p>
          <w:p w14:paraId="15A5903F" w14:textId="3325629F" w:rsidR="00CF280B" w:rsidRDefault="0088134D">
            <w:r>
              <w:object w:dxaOrig="10120" w:dyaOrig="2291" w14:anchorId="4455D703">
                <v:shape id="_x0000_i1030" type="#_x0000_t75" style="width:438pt;height:99pt" o:ole="">
                  <v:imagedata r:id="rId22" o:title=""/>
                </v:shape>
                <o:OLEObject Type="Embed" ProgID="Visio.Drawing.15" ShapeID="_x0000_i1030" DrawAspect="Content" ObjectID="_1682751710" r:id="rId23"/>
              </w:object>
            </w:r>
          </w:p>
          <w:p w14:paraId="41DD39FC" w14:textId="77777777" w:rsidR="009929BE" w:rsidRDefault="009929BE"/>
          <w:p w14:paraId="1C815BC3" w14:textId="23413357" w:rsidR="007A790D" w:rsidRDefault="004D0690" w:rsidP="00D82FB5">
            <w:pPr>
              <w:ind w:left="2160"/>
            </w:pPr>
            <w:r>
              <w:t>e</w:t>
            </w:r>
            <w:r w:rsidR="00034F89">
              <w:t xml:space="preserve">. volume </w:t>
            </w:r>
            <w:r w:rsidR="004C7214">
              <w:t>is</w:t>
            </w:r>
            <w:r w:rsidR="007A790D">
              <w:t xml:space="preserve"> calculated by</w:t>
            </w:r>
          </w:p>
          <w:p w14:paraId="1DD86F07" w14:textId="789495B0" w:rsidR="00E240EB" w:rsidRDefault="00F56288" w:rsidP="00D82FB5">
            <w:pPr>
              <w:ind w:left="2160"/>
            </w:pPr>
            <w:r>
              <w:t xml:space="preserve">Summing original </w:t>
            </w:r>
            <w:r w:rsidR="008B57E9">
              <w:t>volume</w:t>
            </w:r>
            <w:r>
              <w:t>,</w:t>
            </w:r>
            <w:r w:rsidR="00147313">
              <w:t xml:space="preserve"> </w:t>
            </w:r>
            <w:r w:rsidR="004C7214">
              <w:t>a</w:t>
            </w:r>
            <w:r>
              <w:t>.</w:t>
            </w:r>
            <w:r w:rsidR="00351815">
              <w:t xml:space="preserve"> (</w:t>
            </w:r>
            <w:r w:rsidR="00351815" w:rsidRPr="00D82FB5">
              <w:rPr>
                <w:color w:val="FF0000"/>
              </w:rPr>
              <w:t>100</w:t>
            </w:r>
            <w:r w:rsidR="00351815">
              <w:t>)</w:t>
            </w:r>
            <w:r w:rsidR="00147313">
              <w:t xml:space="preserve"> &amp; </w:t>
            </w:r>
            <w:r w:rsidR="004C7214">
              <w:t>b</w:t>
            </w:r>
            <w:r>
              <w:t>.</w:t>
            </w:r>
            <w:r w:rsidR="00351815">
              <w:t xml:space="preserve"> (</w:t>
            </w:r>
            <w:r w:rsidR="00351815" w:rsidRPr="00D82FB5">
              <w:rPr>
                <w:color w:val="FF0000"/>
              </w:rPr>
              <w:t>100</w:t>
            </w:r>
            <w:r w:rsidR="00351815">
              <w:t>)</w:t>
            </w:r>
            <w:r w:rsidR="0030134B">
              <w:t xml:space="preserve"> </w:t>
            </w:r>
            <w:r w:rsidR="00147313">
              <w:t xml:space="preserve">= </w:t>
            </w:r>
            <w:r w:rsidR="00B85A9D" w:rsidRPr="00D82FB5">
              <w:rPr>
                <w:color w:val="FF0000"/>
              </w:rPr>
              <w:t>200</w:t>
            </w:r>
          </w:p>
          <w:p w14:paraId="37E41412" w14:textId="773F7C6B" w:rsidR="003C59F3" w:rsidRPr="001F24FB" w:rsidRDefault="004C7214" w:rsidP="00D82FB5">
            <w:pPr>
              <w:ind w:left="2160"/>
              <w:rPr>
                <w:u w:val="single"/>
              </w:rPr>
            </w:pPr>
            <w:r w:rsidRPr="001F24FB">
              <w:rPr>
                <w:u w:val="single"/>
              </w:rPr>
              <w:t>m</w:t>
            </w:r>
            <w:r w:rsidR="009C17A7" w:rsidRPr="001F24FB">
              <w:rPr>
                <w:u w:val="single"/>
              </w:rPr>
              <w:t>inus</w:t>
            </w:r>
          </w:p>
          <w:p w14:paraId="1900AD3E" w14:textId="5994FBE5" w:rsidR="00DC164C" w:rsidRDefault="009A1C19" w:rsidP="00D82FB5">
            <w:pPr>
              <w:ind w:left="2160"/>
            </w:pPr>
            <w:r>
              <w:lastRenderedPageBreak/>
              <w:t xml:space="preserve">New backward </w:t>
            </w:r>
            <w:r w:rsidR="008B57E9">
              <w:t>volume</w:t>
            </w:r>
            <w:r w:rsidR="009C17A7">
              <w:t xml:space="preserve"> from </w:t>
            </w:r>
            <w:r w:rsidR="004C7214">
              <w:t>d</w:t>
            </w:r>
            <w:r>
              <w:t>.</w:t>
            </w:r>
            <w:r w:rsidR="009C17A7">
              <w:t xml:space="preserve"> </w:t>
            </w:r>
            <w:r w:rsidR="00351815">
              <w:t>(</w:t>
            </w:r>
            <w:r w:rsidR="00351815" w:rsidRPr="00D82FB5">
              <w:rPr>
                <w:color w:val="FF0000"/>
              </w:rPr>
              <w:t>400</w:t>
            </w:r>
            <w:r w:rsidR="00351815">
              <w:t>)</w:t>
            </w:r>
          </w:p>
          <w:p w14:paraId="645F980E" w14:textId="0E071276" w:rsidR="00B511D0" w:rsidRDefault="0054657B" w:rsidP="00D82FB5">
            <w:pPr>
              <w:ind w:left="2160"/>
            </w:pPr>
            <w:r>
              <w:t>F</w:t>
            </w:r>
            <w:r w:rsidR="00DC164C">
              <w:t>orward volume</w:t>
            </w:r>
            <w:r>
              <w:t>, e.</w:t>
            </w:r>
            <w:r w:rsidR="00351815">
              <w:t xml:space="preserve"> </w:t>
            </w:r>
            <w:r w:rsidR="009C17A7">
              <w:t xml:space="preserve">= </w:t>
            </w:r>
            <w:r w:rsidR="00B85A9D" w:rsidRPr="000E66E9">
              <w:rPr>
                <w:color w:val="FF0000"/>
              </w:rPr>
              <w:t>-2</w:t>
            </w:r>
            <w:r w:rsidR="009C17A7" w:rsidRPr="000E66E9">
              <w:rPr>
                <w:color w:val="FF0000"/>
              </w:rPr>
              <w:t>00</w:t>
            </w:r>
          </w:p>
          <w:p w14:paraId="6306508A" w14:textId="044CA863" w:rsidR="009C7D46" w:rsidRDefault="009C7D46" w:rsidP="00F317B3">
            <w:pPr>
              <w:jc w:val="center"/>
            </w:pPr>
          </w:p>
          <w:p w14:paraId="5542ED7A" w14:textId="4662577A" w:rsidR="005045C5" w:rsidRDefault="0045427F" w:rsidP="003038A1">
            <w:pPr>
              <w:jc w:val="both"/>
            </w:pPr>
            <w:r>
              <w:t xml:space="preserve">For clarity, </w:t>
            </w:r>
            <w:r w:rsidR="00C57F6D">
              <w:t xml:space="preserve">the consumption period holding </w:t>
            </w:r>
            <w:r>
              <w:t xml:space="preserve">volume </w:t>
            </w:r>
            <w:r w:rsidR="0079261F">
              <w:t xml:space="preserve">c. </w:t>
            </w:r>
            <w:r w:rsidR="003D6E29" w:rsidRPr="003D6E29">
              <w:t>is not affected by the replacement reading</w:t>
            </w:r>
            <w:r w:rsidR="0076542B">
              <w:t xml:space="preserve"> and, therefore, the value persists as f.</w:t>
            </w:r>
          </w:p>
          <w:p w14:paraId="41F11674" w14:textId="77777777" w:rsidR="00F34983" w:rsidRDefault="00F34983" w:rsidP="005A6985"/>
          <w:p w14:paraId="08321C3A" w14:textId="604700BF" w:rsidR="00F34983" w:rsidRPr="00983152" w:rsidRDefault="00F34983" w:rsidP="005A6985">
            <w:pPr>
              <w:rPr>
                <w:i/>
                <w:iCs/>
                <w:u w:val="single"/>
              </w:rPr>
            </w:pPr>
            <w:r w:rsidRPr="00983152">
              <w:rPr>
                <w:i/>
                <w:iCs/>
                <w:u w:val="single"/>
              </w:rPr>
              <w:t xml:space="preserve">Inserted Reads </w:t>
            </w:r>
          </w:p>
          <w:p w14:paraId="276D8E9E" w14:textId="74DB5756" w:rsidR="006B04BD" w:rsidRDefault="007341B1" w:rsidP="001F24FB">
            <w:pPr>
              <w:jc w:val="both"/>
            </w:pPr>
            <w:r>
              <w:t>W</w:t>
            </w:r>
            <w:r w:rsidR="00333FDB">
              <w:t>here a r</w:t>
            </w:r>
            <w:r w:rsidR="002F6116">
              <w:t xml:space="preserve">ead is inserted </w:t>
            </w:r>
            <w:r>
              <w:t>in-</w:t>
            </w:r>
            <w:r w:rsidR="002F6116">
              <w:t xml:space="preserve">between </w:t>
            </w:r>
            <w:r>
              <w:t xml:space="preserve">existing </w:t>
            </w:r>
            <w:r w:rsidR="002F6116">
              <w:t xml:space="preserve">reads the </w:t>
            </w:r>
            <w:r w:rsidR="006B04BD">
              <w:t xml:space="preserve">backward volume is calculated using the logic above </w:t>
            </w:r>
            <w:r w:rsidR="006F6EA1">
              <w:t xml:space="preserve">and </w:t>
            </w:r>
            <w:r w:rsidR="006B04BD">
              <w:t>the forward volume</w:t>
            </w:r>
            <w:r w:rsidR="006F6EA1">
              <w:t>,</w:t>
            </w:r>
            <w:r w:rsidR="006B04BD">
              <w:t xml:space="preserve"> from the inserted read to the </w:t>
            </w:r>
            <w:r w:rsidR="006F6EA1">
              <w:t xml:space="preserve">subsequent </w:t>
            </w:r>
            <w:r w:rsidR="006B04BD">
              <w:t>read</w:t>
            </w:r>
            <w:r w:rsidR="006F6EA1">
              <w:t>,</w:t>
            </w:r>
            <w:r w:rsidR="006B04BD">
              <w:t xml:space="preserve"> will be calculated</w:t>
            </w:r>
            <w:r w:rsidR="009C6329">
              <w:t xml:space="preserve">, </w:t>
            </w:r>
            <w:r w:rsidR="00F91E7B">
              <w:t>i</w:t>
            </w:r>
            <w:r w:rsidR="006F6EA1">
              <w:t>n line with the replacement read scenario</w:t>
            </w:r>
            <w:r w:rsidR="00F91E7B">
              <w:t xml:space="preserve"> previously defined. For context, this will be as follows:</w:t>
            </w:r>
            <w:r w:rsidR="00DC75EF">
              <w:t xml:space="preserve"> </w:t>
            </w:r>
          </w:p>
          <w:p w14:paraId="310516A5" w14:textId="77777777" w:rsidR="006B04BD" w:rsidRDefault="006B04BD" w:rsidP="006B04BD"/>
          <w:p w14:paraId="6C5D6E36" w14:textId="31388158" w:rsidR="00A7241D" w:rsidRDefault="00A7241D" w:rsidP="008E32E2">
            <w:pPr>
              <w:ind w:left="2160"/>
            </w:pPr>
            <w:r>
              <w:t xml:space="preserve">The volume </w:t>
            </w:r>
            <w:r w:rsidR="00294135">
              <w:t>between the original reads</w:t>
            </w:r>
          </w:p>
          <w:p w14:paraId="575A07C0" w14:textId="77777777" w:rsidR="00A7241D" w:rsidRPr="001F24FB" w:rsidRDefault="00A7241D" w:rsidP="008E32E2">
            <w:pPr>
              <w:ind w:left="2160"/>
              <w:rPr>
                <w:u w:val="single"/>
              </w:rPr>
            </w:pPr>
            <w:r w:rsidRPr="001F24FB">
              <w:rPr>
                <w:u w:val="single"/>
              </w:rPr>
              <w:t xml:space="preserve">minus </w:t>
            </w:r>
          </w:p>
          <w:p w14:paraId="33E82D96" w14:textId="2A7321F8" w:rsidR="00A7241D" w:rsidRDefault="00A7241D" w:rsidP="008E32E2">
            <w:pPr>
              <w:ind w:left="2160"/>
            </w:pPr>
            <w:r>
              <w:t xml:space="preserve">the </w:t>
            </w:r>
            <w:r w:rsidR="00545596">
              <w:t>new</w:t>
            </w:r>
            <w:r>
              <w:t xml:space="preserve"> backward volume (between the </w:t>
            </w:r>
            <w:r w:rsidR="00294135">
              <w:t>inserted read</w:t>
            </w:r>
            <w:r>
              <w:t xml:space="preserve"> and the previous read</w:t>
            </w:r>
            <w:r w:rsidR="00791B04">
              <w:t>)</w:t>
            </w:r>
          </w:p>
          <w:p w14:paraId="1EF4910E" w14:textId="77777777" w:rsidR="006B04BD" w:rsidRPr="00F34983" w:rsidRDefault="006B04BD" w:rsidP="005A6985">
            <w:pPr>
              <w:rPr>
                <w:u w:val="single"/>
              </w:rPr>
            </w:pPr>
          </w:p>
          <w:p w14:paraId="35EDE0F4" w14:textId="48256C5A" w:rsidR="005A6985" w:rsidRDefault="007E7F16" w:rsidP="005A6985">
            <w:r>
              <w:t xml:space="preserve">The below is </w:t>
            </w:r>
            <w:r w:rsidR="00AB09DA">
              <w:t xml:space="preserve">an </w:t>
            </w:r>
            <w:r w:rsidR="005A6985">
              <w:t xml:space="preserve">example of </w:t>
            </w:r>
            <w:r w:rsidR="00795224">
              <w:t>a</w:t>
            </w:r>
            <w:r w:rsidR="00293966">
              <w:t>n</w:t>
            </w:r>
            <w:r w:rsidR="00795224">
              <w:t xml:space="preserve"> inserted </w:t>
            </w:r>
            <w:r w:rsidR="00293966">
              <w:t>read</w:t>
            </w:r>
            <w:r w:rsidR="00F34983">
              <w:t xml:space="preserve"> scenario</w:t>
            </w:r>
            <w:r w:rsidR="00AB09DA">
              <w:t>:</w:t>
            </w:r>
          </w:p>
          <w:p w14:paraId="30D48CB3" w14:textId="78763E31" w:rsidR="005A6985" w:rsidRDefault="00026095" w:rsidP="00083579">
            <w:pPr>
              <w:jc w:val="center"/>
            </w:pPr>
            <w:r>
              <w:object w:dxaOrig="7461" w:dyaOrig="2331" w14:anchorId="0E29E657">
                <v:shape id="_x0000_i1031" type="#_x0000_t75" style="width:373.2pt;height:117pt" o:ole="">
                  <v:imagedata r:id="rId24" o:title=""/>
                </v:shape>
                <o:OLEObject Type="Embed" ProgID="Visio.Drawing.15" ShapeID="_x0000_i1031" DrawAspect="Content" ObjectID="_1682751711" r:id="rId25"/>
              </w:object>
            </w:r>
          </w:p>
          <w:p w14:paraId="601A1AEA" w14:textId="1742648E" w:rsidR="00604943" w:rsidRDefault="00604943" w:rsidP="0079239C">
            <w:pPr>
              <w:ind w:left="2880"/>
            </w:pPr>
            <w:r>
              <w:t>c</w:t>
            </w:r>
            <w:r w:rsidR="00026095">
              <w:t>.</w:t>
            </w:r>
            <w:r w:rsidR="007A403D">
              <w:t xml:space="preserve"> </w:t>
            </w:r>
            <w:r w:rsidR="00026095">
              <w:t>volume</w:t>
            </w:r>
            <w:r>
              <w:t xml:space="preserve"> is calculated by </w:t>
            </w:r>
          </w:p>
          <w:p w14:paraId="5F5B233E" w14:textId="2919507B" w:rsidR="009C6329" w:rsidRDefault="00545596" w:rsidP="0079239C">
            <w:pPr>
              <w:ind w:left="2880"/>
            </w:pPr>
            <w:r>
              <w:t xml:space="preserve">Original volume from </w:t>
            </w:r>
            <w:r w:rsidR="00644103">
              <w:t xml:space="preserve">volume </w:t>
            </w:r>
            <w:r w:rsidR="00604943">
              <w:t>a</w:t>
            </w:r>
            <w:r w:rsidR="00C37A6B">
              <w:t xml:space="preserve">. </w:t>
            </w:r>
            <w:r>
              <w:t xml:space="preserve"> = </w:t>
            </w:r>
            <w:r w:rsidR="00604943">
              <w:t>(</w:t>
            </w:r>
            <w:r w:rsidR="00574B74" w:rsidRPr="00574B74">
              <w:rPr>
                <w:color w:val="FF0000"/>
              </w:rPr>
              <w:t>3</w:t>
            </w:r>
            <w:r w:rsidR="00604943" w:rsidRPr="00E77132">
              <w:rPr>
                <w:color w:val="FF0000"/>
              </w:rPr>
              <w:t>00</w:t>
            </w:r>
            <w:r w:rsidR="00604943">
              <w:t xml:space="preserve">) </w:t>
            </w:r>
          </w:p>
          <w:p w14:paraId="018CBD52" w14:textId="77777777" w:rsidR="009C6329" w:rsidRPr="001F24FB" w:rsidRDefault="00604943" w:rsidP="0079239C">
            <w:pPr>
              <w:ind w:left="2880"/>
              <w:rPr>
                <w:u w:val="single"/>
              </w:rPr>
            </w:pPr>
            <w:r w:rsidRPr="001F24FB">
              <w:rPr>
                <w:u w:val="single"/>
              </w:rPr>
              <w:t xml:space="preserve">minus </w:t>
            </w:r>
          </w:p>
          <w:p w14:paraId="661DC320" w14:textId="57F93F69" w:rsidR="00C37A6B" w:rsidRDefault="009F7E0C" w:rsidP="0079239C">
            <w:pPr>
              <w:ind w:left="2880"/>
            </w:pPr>
            <w:r>
              <w:t xml:space="preserve">New backward </w:t>
            </w:r>
            <w:r w:rsidR="008B57E9">
              <w:t>volume</w:t>
            </w:r>
            <w:r w:rsidR="00E509FF">
              <w:t>, b. =</w:t>
            </w:r>
            <w:r w:rsidR="00604943">
              <w:t xml:space="preserve"> (</w:t>
            </w:r>
            <w:r w:rsidR="00574B74" w:rsidRPr="00574B74">
              <w:rPr>
                <w:color w:val="FF0000"/>
              </w:rPr>
              <w:t>40</w:t>
            </w:r>
            <w:r w:rsidR="008C0DF8" w:rsidRPr="008C0DF8">
              <w:rPr>
                <w:color w:val="FF0000"/>
              </w:rPr>
              <w:t>0</w:t>
            </w:r>
            <w:r w:rsidR="00604943">
              <w:t xml:space="preserve">) </w:t>
            </w:r>
          </w:p>
          <w:p w14:paraId="64875A99" w14:textId="471CBE34" w:rsidR="00604943" w:rsidRDefault="0058453A" w:rsidP="0079239C">
            <w:pPr>
              <w:ind w:left="2880"/>
            </w:pPr>
            <w:r>
              <w:t>Forward</w:t>
            </w:r>
            <w:r w:rsidR="0054657B">
              <w:t xml:space="preserve"> </w:t>
            </w:r>
            <w:r w:rsidR="00C37A6B">
              <w:t>volume</w:t>
            </w:r>
            <w:r w:rsidR="000C3B57">
              <w:t>, c.</w:t>
            </w:r>
            <w:r w:rsidR="00C37A6B">
              <w:t xml:space="preserve"> </w:t>
            </w:r>
            <w:r w:rsidR="00604943">
              <w:t xml:space="preserve">= </w:t>
            </w:r>
            <w:r w:rsidR="008C0DF8" w:rsidRPr="008C0DF8">
              <w:rPr>
                <w:color w:val="FF0000"/>
              </w:rPr>
              <w:t>-</w:t>
            </w:r>
            <w:r w:rsidR="00F712D4">
              <w:rPr>
                <w:color w:val="FF0000"/>
              </w:rPr>
              <w:t>1</w:t>
            </w:r>
            <w:r w:rsidR="00604943" w:rsidRPr="00E77132">
              <w:rPr>
                <w:color w:val="FF0000"/>
              </w:rPr>
              <w:t>00</w:t>
            </w:r>
          </w:p>
          <w:p w14:paraId="29D8B436" w14:textId="77777777" w:rsidR="00FB0EA4" w:rsidRDefault="00FB0EA4"/>
          <w:p w14:paraId="7A912453" w14:textId="4D182D26" w:rsidR="00F414EE" w:rsidRPr="00FF6D84" w:rsidRDefault="002551C8" w:rsidP="00F414EE">
            <w:pPr>
              <w:rPr>
                <w:i/>
                <w:iCs/>
                <w:strike/>
                <w:u w:val="single"/>
              </w:rPr>
            </w:pPr>
            <w:r w:rsidRPr="00FF6D84">
              <w:rPr>
                <w:i/>
                <w:iCs/>
                <w:strike/>
                <w:u w:val="single"/>
              </w:rPr>
              <w:t xml:space="preserve">Inserted </w:t>
            </w:r>
            <w:r w:rsidR="00F414EE" w:rsidRPr="00FF6D84">
              <w:rPr>
                <w:i/>
                <w:iCs/>
                <w:strike/>
                <w:u w:val="single"/>
              </w:rPr>
              <w:t>Check Reads</w:t>
            </w:r>
          </w:p>
          <w:p w14:paraId="376A69B6" w14:textId="27244E93" w:rsidR="00254120" w:rsidRPr="00FF6D84" w:rsidRDefault="008F4A96" w:rsidP="004C23E1">
            <w:pPr>
              <w:jc w:val="both"/>
              <w:rPr>
                <w:strike/>
              </w:rPr>
            </w:pPr>
            <w:r w:rsidRPr="00FF6D84">
              <w:rPr>
                <w:strike/>
              </w:rPr>
              <w:t>In the scenario where a check read, that is</w:t>
            </w:r>
            <w:r w:rsidR="009C0BEE" w:rsidRPr="00FF6D84">
              <w:rPr>
                <w:strike/>
              </w:rPr>
              <w:t>,</w:t>
            </w:r>
            <w:r w:rsidRPr="00FF6D84">
              <w:rPr>
                <w:strike/>
              </w:rPr>
              <w:t xml:space="preserve"> a read triggering</w:t>
            </w:r>
            <w:r w:rsidR="00B8073D" w:rsidRPr="00FF6D84">
              <w:rPr>
                <w:strike/>
              </w:rPr>
              <w:t xml:space="preserve"> Check to Check reconciliation</w:t>
            </w:r>
            <w:r w:rsidR="00994DF8" w:rsidRPr="00FF6D84">
              <w:rPr>
                <w:strike/>
              </w:rPr>
              <w:t>, is inserted</w:t>
            </w:r>
            <w:r w:rsidR="00F82F51" w:rsidRPr="00FF6D84">
              <w:rPr>
                <w:strike/>
              </w:rPr>
              <w:t xml:space="preserve"> prior to the</w:t>
            </w:r>
            <w:r w:rsidR="00377D3E" w:rsidRPr="00FF6D84">
              <w:rPr>
                <w:strike/>
              </w:rPr>
              <w:t xml:space="preserve"> </w:t>
            </w:r>
            <w:r w:rsidR="00EC1034" w:rsidRPr="00FF6D84">
              <w:rPr>
                <w:strike/>
              </w:rPr>
              <w:t>latest</w:t>
            </w:r>
            <w:r w:rsidR="00EF1FAD" w:rsidRPr="00FF6D84">
              <w:rPr>
                <w:strike/>
              </w:rPr>
              <w:t xml:space="preserve"> </w:t>
            </w:r>
            <w:r w:rsidR="00377D3E" w:rsidRPr="00FF6D84">
              <w:rPr>
                <w:strike/>
              </w:rPr>
              <w:t>read</w:t>
            </w:r>
            <w:r w:rsidR="00DC0F57" w:rsidRPr="00FF6D84">
              <w:rPr>
                <w:strike/>
              </w:rPr>
              <w:t xml:space="preserve">, the volume </w:t>
            </w:r>
            <w:r w:rsidR="00D6626C" w:rsidRPr="00FF6D84">
              <w:rPr>
                <w:strike/>
              </w:rPr>
              <w:t>forward from the inserted read to the latest read</w:t>
            </w:r>
            <w:r w:rsidR="00377D3E" w:rsidRPr="00FF6D84">
              <w:rPr>
                <w:strike/>
              </w:rPr>
              <w:t xml:space="preserve"> </w:t>
            </w:r>
            <w:r w:rsidR="00254120" w:rsidRPr="00FF6D84">
              <w:rPr>
                <w:strike/>
              </w:rPr>
              <w:t>will be calculated as</w:t>
            </w:r>
            <w:r w:rsidR="00D6626C" w:rsidRPr="00FF6D84">
              <w:rPr>
                <w:strike/>
              </w:rPr>
              <w:t>:</w:t>
            </w:r>
          </w:p>
          <w:p w14:paraId="2D2B7CCA" w14:textId="08BAEAC9" w:rsidR="00F414EE" w:rsidRPr="00FF6D84" w:rsidRDefault="00E53BEB" w:rsidP="004C23E1">
            <w:pPr>
              <w:jc w:val="both"/>
              <w:rPr>
                <w:strike/>
              </w:rPr>
            </w:pPr>
            <w:r w:rsidRPr="00FF6D84">
              <w:rPr>
                <w:strike/>
              </w:rPr>
              <w:t xml:space="preserve"> </w:t>
            </w:r>
          </w:p>
          <w:p w14:paraId="79731B41" w14:textId="5436F055" w:rsidR="00D6626C" w:rsidRPr="00FF6D84" w:rsidRDefault="00D60198" w:rsidP="002D604E">
            <w:pPr>
              <w:ind w:left="1440"/>
              <w:rPr>
                <w:strike/>
              </w:rPr>
            </w:pPr>
            <w:r w:rsidRPr="00FF6D84">
              <w:rPr>
                <w:strike/>
              </w:rPr>
              <w:t>T</w:t>
            </w:r>
            <w:r w:rsidR="00F414EE" w:rsidRPr="00FF6D84">
              <w:rPr>
                <w:strike/>
              </w:rPr>
              <w:t xml:space="preserve">otal volume between </w:t>
            </w:r>
            <w:r w:rsidRPr="00FF6D84">
              <w:rPr>
                <w:strike/>
              </w:rPr>
              <w:t>previous</w:t>
            </w:r>
            <w:r w:rsidR="0020290B" w:rsidRPr="00FF6D84">
              <w:rPr>
                <w:strike/>
              </w:rPr>
              <w:t xml:space="preserve"> check </w:t>
            </w:r>
            <w:r w:rsidR="00F414EE" w:rsidRPr="00FF6D84">
              <w:rPr>
                <w:strike/>
              </w:rPr>
              <w:t>rea</w:t>
            </w:r>
            <w:r w:rsidR="0083193C" w:rsidRPr="00FF6D84">
              <w:rPr>
                <w:strike/>
              </w:rPr>
              <w:t>d</w:t>
            </w:r>
            <w:r w:rsidR="00F414EE" w:rsidRPr="00FF6D84">
              <w:rPr>
                <w:strike/>
              </w:rPr>
              <w:t xml:space="preserve"> </w:t>
            </w:r>
            <w:r w:rsidR="00341C10" w:rsidRPr="00FF6D84">
              <w:rPr>
                <w:strike/>
              </w:rPr>
              <w:t>and the latest read</w:t>
            </w:r>
          </w:p>
          <w:p w14:paraId="4A2009E3" w14:textId="0082B611" w:rsidR="00D6626C" w:rsidRPr="00FF6D84" w:rsidRDefault="004C23E1" w:rsidP="002D604E">
            <w:pPr>
              <w:ind w:left="1440"/>
              <w:rPr>
                <w:strike/>
              </w:rPr>
            </w:pPr>
            <w:r w:rsidRPr="00FF6D84">
              <w:rPr>
                <w:strike/>
                <w:u w:val="single"/>
              </w:rPr>
              <w:t>m</w:t>
            </w:r>
            <w:r w:rsidR="00F414EE" w:rsidRPr="00FF6D84">
              <w:rPr>
                <w:strike/>
                <w:u w:val="single"/>
              </w:rPr>
              <w:t>inus</w:t>
            </w:r>
          </w:p>
          <w:p w14:paraId="785F15F0" w14:textId="4205CDCB" w:rsidR="00F414EE" w:rsidRPr="00FF6D84" w:rsidRDefault="00D60198" w:rsidP="002D604E">
            <w:pPr>
              <w:ind w:left="1440"/>
              <w:rPr>
                <w:strike/>
              </w:rPr>
            </w:pPr>
            <w:r w:rsidRPr="00FF6D84">
              <w:rPr>
                <w:strike/>
              </w:rPr>
              <w:t>V</w:t>
            </w:r>
            <w:r w:rsidR="00F414EE" w:rsidRPr="00FF6D84">
              <w:rPr>
                <w:strike/>
              </w:rPr>
              <w:t xml:space="preserve">olume between the inserted </w:t>
            </w:r>
            <w:r w:rsidR="00B05B1D" w:rsidRPr="00FF6D84">
              <w:rPr>
                <w:strike/>
              </w:rPr>
              <w:t xml:space="preserve">and previous </w:t>
            </w:r>
            <w:r w:rsidR="0020290B" w:rsidRPr="00FF6D84">
              <w:rPr>
                <w:strike/>
              </w:rPr>
              <w:t xml:space="preserve">check </w:t>
            </w:r>
            <w:r w:rsidR="00F414EE" w:rsidRPr="00FF6D84">
              <w:rPr>
                <w:strike/>
              </w:rPr>
              <w:t>read</w:t>
            </w:r>
            <w:r w:rsidR="00B05B1D" w:rsidRPr="00FF6D84">
              <w:rPr>
                <w:strike/>
              </w:rPr>
              <w:t>s</w:t>
            </w:r>
          </w:p>
          <w:p w14:paraId="72D9A01B" w14:textId="77777777" w:rsidR="00F414EE" w:rsidRPr="00FF6D84" w:rsidRDefault="00F414EE" w:rsidP="00F414EE">
            <w:pPr>
              <w:rPr>
                <w:strike/>
              </w:rPr>
            </w:pPr>
          </w:p>
          <w:p w14:paraId="21E018D5" w14:textId="795382E7" w:rsidR="00F414EE" w:rsidRPr="00FF6D84" w:rsidRDefault="00012848" w:rsidP="00F414EE">
            <w:pPr>
              <w:rPr>
                <w:strike/>
              </w:rPr>
            </w:pPr>
            <w:r w:rsidRPr="00FF6D84">
              <w:rPr>
                <w:strike/>
              </w:rPr>
              <w:t xml:space="preserve">The below is an </w:t>
            </w:r>
            <w:r w:rsidR="00F414EE" w:rsidRPr="00FF6D84">
              <w:rPr>
                <w:strike/>
              </w:rPr>
              <w:t xml:space="preserve">example of </w:t>
            </w:r>
            <w:r w:rsidRPr="00FF6D84">
              <w:rPr>
                <w:strike/>
              </w:rPr>
              <w:t>an inserted check read scenario:</w:t>
            </w:r>
          </w:p>
          <w:p w14:paraId="5A553B43" w14:textId="12CF5B59" w:rsidR="002723AB" w:rsidRDefault="002723AB"/>
          <w:p w14:paraId="37F02F49" w14:textId="2F9BF90E" w:rsidR="002723AB" w:rsidRPr="006274BD" w:rsidRDefault="002E5CE6" w:rsidP="00D01BF4">
            <w:pPr>
              <w:jc w:val="center"/>
              <w:rPr>
                <w:strike/>
              </w:rPr>
            </w:pPr>
            <w:r w:rsidRPr="006274BD">
              <w:rPr>
                <w:strike/>
              </w:rPr>
              <w:object w:dxaOrig="7341" w:dyaOrig="2320" w14:anchorId="56C3C651">
                <v:shape id="_x0000_i1032" type="#_x0000_t75" style="width:366.6pt;height:116.4pt" o:ole="">
                  <v:imagedata r:id="rId26" o:title=""/>
                </v:shape>
                <o:OLEObject Type="Embed" ProgID="Visio.Drawing.15" ShapeID="_x0000_i1032" DrawAspect="Content" ObjectID="_1682751712" r:id="rId27"/>
              </w:object>
            </w:r>
          </w:p>
          <w:p w14:paraId="7D408AE4" w14:textId="252537C6" w:rsidR="00A84C8E" w:rsidRPr="006274BD" w:rsidRDefault="00EB19CB" w:rsidP="00D01BF4">
            <w:pPr>
              <w:jc w:val="center"/>
              <w:rPr>
                <w:strike/>
              </w:rPr>
            </w:pPr>
            <w:r w:rsidRPr="006274BD">
              <w:rPr>
                <w:strike/>
              </w:rPr>
              <w:object w:dxaOrig="9301" w:dyaOrig="2320" w14:anchorId="0EC8EE5D">
                <v:shape id="_x0000_i1033" type="#_x0000_t75" style="width:437.4pt;height:109.2pt" o:ole="">
                  <v:imagedata r:id="rId28" o:title=""/>
                </v:shape>
                <o:OLEObject Type="Embed" ProgID="Visio.Drawing.15" ShapeID="_x0000_i1033" DrawAspect="Content" ObjectID="_1682751713" r:id="rId29"/>
              </w:object>
            </w:r>
          </w:p>
          <w:p w14:paraId="478CACBE" w14:textId="41FC5F7F" w:rsidR="00A84C8E" w:rsidRPr="00FF6D84" w:rsidRDefault="00A84C8E" w:rsidP="00314526">
            <w:pPr>
              <w:ind w:left="2160"/>
              <w:rPr>
                <w:strike/>
              </w:rPr>
            </w:pPr>
            <w:r w:rsidRPr="00FF6D84">
              <w:rPr>
                <w:strike/>
              </w:rPr>
              <w:t>g</w:t>
            </w:r>
            <w:r w:rsidR="00100371" w:rsidRPr="00FF6D84">
              <w:rPr>
                <w:strike/>
              </w:rPr>
              <w:t>. volume</w:t>
            </w:r>
            <w:r w:rsidRPr="00FF6D84">
              <w:rPr>
                <w:strike/>
              </w:rPr>
              <w:t xml:space="preserve"> is calculated by </w:t>
            </w:r>
          </w:p>
          <w:p w14:paraId="7ACBC545" w14:textId="2503CEE0" w:rsidR="00A84C8E" w:rsidRPr="00FF6D84" w:rsidRDefault="00012848" w:rsidP="00314526">
            <w:pPr>
              <w:ind w:left="2160"/>
              <w:rPr>
                <w:strike/>
              </w:rPr>
            </w:pPr>
            <w:r w:rsidRPr="00FF6D84">
              <w:rPr>
                <w:strike/>
              </w:rPr>
              <w:t xml:space="preserve">Summing </w:t>
            </w:r>
            <w:r w:rsidR="00297778" w:rsidRPr="00FF6D84">
              <w:rPr>
                <w:strike/>
              </w:rPr>
              <w:t>volume</w:t>
            </w:r>
            <w:r w:rsidR="00A84C8E" w:rsidRPr="00FF6D84">
              <w:rPr>
                <w:strike/>
              </w:rPr>
              <w:t xml:space="preserve"> a</w:t>
            </w:r>
            <w:r w:rsidR="008323EF" w:rsidRPr="00FF6D84">
              <w:rPr>
                <w:strike/>
              </w:rPr>
              <w:t>.</w:t>
            </w:r>
            <w:r w:rsidR="00A84C8E" w:rsidRPr="00FF6D84">
              <w:rPr>
                <w:strike/>
              </w:rPr>
              <w:t xml:space="preserve"> (</w:t>
            </w:r>
            <w:r w:rsidR="00A84C8E" w:rsidRPr="00FF6D84">
              <w:rPr>
                <w:strike/>
                <w:color w:val="FF0000"/>
              </w:rPr>
              <w:t>100</w:t>
            </w:r>
            <w:r w:rsidR="00A84C8E" w:rsidRPr="00FF6D84">
              <w:rPr>
                <w:strike/>
              </w:rPr>
              <w:t>)</w:t>
            </w:r>
            <w:r w:rsidR="00F91ACF" w:rsidRPr="00FF6D84">
              <w:rPr>
                <w:strike/>
              </w:rPr>
              <w:t xml:space="preserve">, </w:t>
            </w:r>
            <w:r w:rsidR="00A84C8E" w:rsidRPr="00FF6D84">
              <w:rPr>
                <w:strike/>
              </w:rPr>
              <w:t>b</w:t>
            </w:r>
            <w:r w:rsidR="008323EF" w:rsidRPr="00FF6D84">
              <w:rPr>
                <w:strike/>
              </w:rPr>
              <w:t>.</w:t>
            </w:r>
            <w:r w:rsidR="00F91ACF" w:rsidRPr="00FF6D84">
              <w:rPr>
                <w:strike/>
              </w:rPr>
              <w:t xml:space="preserve"> </w:t>
            </w:r>
            <w:r w:rsidR="00A84C8E" w:rsidRPr="00FF6D84">
              <w:rPr>
                <w:strike/>
              </w:rPr>
              <w:t>(</w:t>
            </w:r>
            <w:r w:rsidR="00A84C8E" w:rsidRPr="00FF6D84">
              <w:rPr>
                <w:strike/>
                <w:color w:val="FF0000"/>
              </w:rPr>
              <w:t>100</w:t>
            </w:r>
            <w:r w:rsidR="00A84C8E" w:rsidRPr="00FF6D84">
              <w:rPr>
                <w:strike/>
              </w:rPr>
              <w:t>)</w:t>
            </w:r>
            <w:r w:rsidR="00F91ACF" w:rsidRPr="00FF6D84">
              <w:rPr>
                <w:strike/>
              </w:rPr>
              <w:t xml:space="preserve"> &amp; c</w:t>
            </w:r>
            <w:r w:rsidR="008323EF" w:rsidRPr="00FF6D84">
              <w:rPr>
                <w:strike/>
              </w:rPr>
              <w:t>.</w:t>
            </w:r>
            <w:r w:rsidR="00F91ACF" w:rsidRPr="00FF6D84">
              <w:rPr>
                <w:strike/>
              </w:rPr>
              <w:t xml:space="preserve"> (</w:t>
            </w:r>
            <w:r w:rsidR="00F91ACF" w:rsidRPr="00FF6D84">
              <w:rPr>
                <w:strike/>
                <w:color w:val="FF0000"/>
              </w:rPr>
              <w:t>300</w:t>
            </w:r>
            <w:r w:rsidR="00F91ACF" w:rsidRPr="00FF6D84">
              <w:rPr>
                <w:strike/>
              </w:rPr>
              <w:t>)</w:t>
            </w:r>
            <w:r w:rsidR="00A84C8E" w:rsidRPr="00FF6D84">
              <w:rPr>
                <w:strike/>
              </w:rPr>
              <w:t xml:space="preserve"> = </w:t>
            </w:r>
            <w:r w:rsidR="00F91ACF" w:rsidRPr="00FF6D84">
              <w:rPr>
                <w:strike/>
                <w:color w:val="FF0000"/>
              </w:rPr>
              <w:t>500</w:t>
            </w:r>
            <w:r w:rsidR="00546E82" w:rsidRPr="00FF6D84">
              <w:rPr>
                <w:strike/>
                <w:color w:val="FF0000"/>
              </w:rPr>
              <w:t xml:space="preserve">  </w:t>
            </w:r>
          </w:p>
          <w:p w14:paraId="08E308D1" w14:textId="77777777" w:rsidR="008323EF" w:rsidRPr="00FF6D84" w:rsidRDefault="00A84C8E" w:rsidP="00314526">
            <w:pPr>
              <w:ind w:left="2160"/>
              <w:rPr>
                <w:strike/>
              </w:rPr>
            </w:pPr>
            <w:r w:rsidRPr="00FF6D84">
              <w:rPr>
                <w:strike/>
                <w:u w:val="single"/>
              </w:rPr>
              <w:t>minus</w:t>
            </w:r>
          </w:p>
          <w:p w14:paraId="765BD682" w14:textId="334511D2" w:rsidR="00A84C8E" w:rsidRPr="00FF6D84" w:rsidRDefault="00BF172F" w:rsidP="00314526">
            <w:pPr>
              <w:ind w:left="2160"/>
              <w:rPr>
                <w:strike/>
                <w:color w:val="FF0000"/>
              </w:rPr>
            </w:pPr>
            <w:r w:rsidRPr="00FF6D84">
              <w:rPr>
                <w:strike/>
              </w:rPr>
              <w:t xml:space="preserve">Volume </w:t>
            </w:r>
            <w:r w:rsidR="00A84C8E" w:rsidRPr="00FF6D84">
              <w:rPr>
                <w:strike/>
              </w:rPr>
              <w:t>d</w:t>
            </w:r>
            <w:r w:rsidRPr="00FF6D84">
              <w:rPr>
                <w:strike/>
              </w:rPr>
              <w:t>.</w:t>
            </w:r>
            <w:r w:rsidR="00A84C8E" w:rsidRPr="00FF6D84">
              <w:rPr>
                <w:strike/>
              </w:rPr>
              <w:t xml:space="preserve"> (</w:t>
            </w:r>
            <w:r w:rsidR="00814202" w:rsidRPr="00FF6D84">
              <w:rPr>
                <w:strike/>
                <w:color w:val="FF0000"/>
              </w:rPr>
              <w:t>100</w:t>
            </w:r>
            <w:r w:rsidR="00A84C8E" w:rsidRPr="00FF6D84">
              <w:rPr>
                <w:strike/>
              </w:rPr>
              <w:t>)</w:t>
            </w:r>
            <w:r w:rsidR="00814202" w:rsidRPr="00FF6D84">
              <w:rPr>
                <w:strike/>
              </w:rPr>
              <w:t>, e</w:t>
            </w:r>
            <w:r w:rsidRPr="00FF6D84">
              <w:rPr>
                <w:strike/>
              </w:rPr>
              <w:t>.</w:t>
            </w:r>
            <w:r w:rsidR="00814202" w:rsidRPr="00FF6D84">
              <w:rPr>
                <w:strike/>
              </w:rPr>
              <w:t xml:space="preserve"> (</w:t>
            </w:r>
            <w:r w:rsidR="00814202" w:rsidRPr="00FF6D84">
              <w:rPr>
                <w:strike/>
                <w:color w:val="FF0000"/>
              </w:rPr>
              <w:t>100</w:t>
            </w:r>
            <w:r w:rsidR="00814202" w:rsidRPr="00FF6D84">
              <w:rPr>
                <w:strike/>
              </w:rPr>
              <w:t>) &amp; f</w:t>
            </w:r>
            <w:r w:rsidRPr="00FF6D84">
              <w:rPr>
                <w:strike/>
              </w:rPr>
              <w:t>.</w:t>
            </w:r>
            <w:r w:rsidR="00814202" w:rsidRPr="00FF6D84">
              <w:rPr>
                <w:strike/>
              </w:rPr>
              <w:t xml:space="preserve"> (</w:t>
            </w:r>
            <w:r w:rsidR="00814202" w:rsidRPr="00FF6D84">
              <w:rPr>
                <w:strike/>
                <w:color w:val="FF0000"/>
              </w:rPr>
              <w:t>200</w:t>
            </w:r>
            <w:r w:rsidR="00814202" w:rsidRPr="00FF6D84">
              <w:rPr>
                <w:strike/>
              </w:rPr>
              <w:t>)</w:t>
            </w:r>
            <w:r w:rsidR="00A84C8E" w:rsidRPr="00FF6D84">
              <w:rPr>
                <w:strike/>
              </w:rPr>
              <w:t xml:space="preserve"> = </w:t>
            </w:r>
            <w:r w:rsidR="00103E6A" w:rsidRPr="00FF6D84">
              <w:rPr>
                <w:strike/>
                <w:color w:val="FF0000"/>
              </w:rPr>
              <w:t>4</w:t>
            </w:r>
            <w:r w:rsidR="00A84C8E" w:rsidRPr="00FF6D84">
              <w:rPr>
                <w:strike/>
                <w:color w:val="FF0000"/>
              </w:rPr>
              <w:t>00</w:t>
            </w:r>
          </w:p>
          <w:p w14:paraId="16B39734" w14:textId="1D75810C" w:rsidR="00271287" w:rsidRPr="00FF6D84" w:rsidRDefault="00103E6A" w:rsidP="00314526">
            <w:pPr>
              <w:ind w:left="2160"/>
              <w:rPr>
                <w:strike/>
              </w:rPr>
            </w:pPr>
            <w:r w:rsidRPr="00FF6D84">
              <w:rPr>
                <w:strike/>
              </w:rPr>
              <w:t>T</w:t>
            </w:r>
            <w:r w:rsidR="00EB19CB" w:rsidRPr="00FF6D84">
              <w:rPr>
                <w:strike/>
              </w:rPr>
              <w:t xml:space="preserve">herefore </w:t>
            </w:r>
            <w:r w:rsidR="00271287" w:rsidRPr="00FF6D84">
              <w:rPr>
                <w:strike/>
              </w:rPr>
              <w:t>volume</w:t>
            </w:r>
            <w:r w:rsidRPr="00FF6D84">
              <w:rPr>
                <w:strike/>
              </w:rPr>
              <w:t xml:space="preserve"> g.</w:t>
            </w:r>
            <w:r w:rsidR="00271287" w:rsidRPr="00FF6D84">
              <w:rPr>
                <w:strike/>
              </w:rPr>
              <w:t xml:space="preserve"> = </w:t>
            </w:r>
            <w:r w:rsidRPr="00FF6D84">
              <w:rPr>
                <w:strike/>
                <w:color w:val="FF0000"/>
              </w:rPr>
              <w:t>1</w:t>
            </w:r>
            <w:r w:rsidR="00271287" w:rsidRPr="00FF6D84">
              <w:rPr>
                <w:strike/>
                <w:color w:val="FF0000"/>
              </w:rPr>
              <w:t>00</w:t>
            </w:r>
          </w:p>
          <w:p w14:paraId="5CC3CD01" w14:textId="0FD156F2" w:rsidR="00550D2B" w:rsidRPr="00FF6D84" w:rsidRDefault="00550D2B">
            <w:pPr>
              <w:rPr>
                <w:strike/>
                <w:color w:val="3E5AA8"/>
                <w:u w:val="single"/>
              </w:rPr>
            </w:pPr>
          </w:p>
          <w:p w14:paraId="7C200216" w14:textId="6E8A33BB" w:rsidR="00CE326D" w:rsidRDefault="00B81A11" w:rsidP="00CE326D">
            <w:pPr>
              <w:rPr>
                <w:rFonts w:cs="Arial"/>
                <w:strike/>
              </w:rPr>
            </w:pPr>
            <w:r w:rsidRPr="00FF6D84">
              <w:rPr>
                <w:rFonts w:cs="Arial"/>
                <w:strike/>
              </w:rPr>
              <w:t xml:space="preserve">There is no change to </w:t>
            </w:r>
            <w:r w:rsidR="007F00DE" w:rsidRPr="00FF6D84">
              <w:rPr>
                <w:rFonts w:cs="Arial"/>
                <w:strike/>
              </w:rPr>
              <w:t xml:space="preserve">the </w:t>
            </w:r>
            <w:r w:rsidR="00BE6AD4" w:rsidRPr="00FF6D84">
              <w:rPr>
                <w:rFonts w:cs="Arial"/>
                <w:strike/>
              </w:rPr>
              <w:t xml:space="preserve">backward </w:t>
            </w:r>
            <w:r w:rsidR="007F00DE" w:rsidRPr="00FF6D84">
              <w:rPr>
                <w:rFonts w:cs="Arial"/>
                <w:strike/>
              </w:rPr>
              <w:t xml:space="preserve">check to check volume </w:t>
            </w:r>
            <w:r w:rsidR="002954D5" w:rsidRPr="00FF6D84">
              <w:rPr>
                <w:rFonts w:cs="Arial"/>
                <w:strike/>
              </w:rPr>
              <w:t xml:space="preserve">calculation logic </w:t>
            </w:r>
            <w:r w:rsidR="00636B9D" w:rsidRPr="00FF6D84">
              <w:rPr>
                <w:rFonts w:cs="Arial"/>
                <w:strike/>
              </w:rPr>
              <w:t xml:space="preserve">as this </w:t>
            </w:r>
            <w:r w:rsidR="00D366C9" w:rsidRPr="00FF6D84">
              <w:rPr>
                <w:rFonts w:cs="Arial"/>
                <w:strike/>
              </w:rPr>
              <w:t>utilises</w:t>
            </w:r>
            <w:r w:rsidR="00636B9D" w:rsidRPr="00FF6D84">
              <w:rPr>
                <w:rFonts w:cs="Arial"/>
                <w:strike/>
              </w:rPr>
              <w:t xml:space="preserve"> actual </w:t>
            </w:r>
            <w:r w:rsidR="00D366C9" w:rsidRPr="00FF6D84">
              <w:rPr>
                <w:rFonts w:cs="Arial"/>
                <w:strike/>
              </w:rPr>
              <w:t xml:space="preserve">meter </w:t>
            </w:r>
            <w:r w:rsidR="00636B9D" w:rsidRPr="00FF6D84">
              <w:rPr>
                <w:rFonts w:cs="Arial"/>
                <w:strike/>
              </w:rPr>
              <w:t>reads.</w:t>
            </w:r>
            <w:r w:rsidR="007F00DE" w:rsidRPr="00FF6D84">
              <w:rPr>
                <w:rFonts w:cs="Arial"/>
                <w:strike/>
              </w:rPr>
              <w:t xml:space="preserve"> </w:t>
            </w:r>
          </w:p>
          <w:p w14:paraId="46EF8B1D" w14:textId="6EB8ACE0" w:rsidR="000E4561" w:rsidRDefault="000E4561" w:rsidP="00CE326D">
            <w:pPr>
              <w:rPr>
                <w:rFonts w:cs="Arial"/>
                <w:strike/>
              </w:rPr>
            </w:pPr>
          </w:p>
          <w:p w14:paraId="7DEADFF5" w14:textId="1479BA8A" w:rsidR="000E4561" w:rsidRPr="00E478AF" w:rsidRDefault="000E4561" w:rsidP="000E4561">
            <w:pPr>
              <w:rPr>
                <w:b/>
                <w:iCs/>
                <w:color w:val="00B050"/>
                <w:u w:val="single"/>
              </w:rPr>
            </w:pPr>
            <w:r w:rsidRPr="00E478AF">
              <w:rPr>
                <w:b/>
                <w:iCs/>
                <w:color w:val="00B050"/>
                <w:u w:val="single"/>
              </w:rPr>
              <w:t>Check to Check Volume</w:t>
            </w:r>
            <w:r w:rsidR="0019744C" w:rsidRPr="00E478AF">
              <w:rPr>
                <w:b/>
                <w:iCs/>
                <w:color w:val="00B050"/>
                <w:u w:val="single"/>
              </w:rPr>
              <w:t xml:space="preserve"> following a</w:t>
            </w:r>
            <w:r w:rsidR="002236A5" w:rsidRPr="00E478AF">
              <w:rPr>
                <w:b/>
                <w:iCs/>
                <w:color w:val="00B050"/>
                <w:u w:val="single"/>
              </w:rPr>
              <w:t xml:space="preserve"> </w:t>
            </w:r>
            <w:r w:rsidR="00360FA4">
              <w:rPr>
                <w:b/>
                <w:iCs/>
                <w:color w:val="00B050"/>
                <w:u w:val="single"/>
              </w:rPr>
              <w:t xml:space="preserve">Site </w:t>
            </w:r>
            <w:r w:rsidR="00500E53">
              <w:rPr>
                <w:b/>
                <w:iCs/>
                <w:color w:val="00B050"/>
                <w:u w:val="single"/>
              </w:rPr>
              <w:t xml:space="preserve">Visit and </w:t>
            </w:r>
            <w:r w:rsidR="00360FA4">
              <w:rPr>
                <w:b/>
                <w:iCs/>
                <w:color w:val="00B050"/>
                <w:u w:val="single"/>
              </w:rPr>
              <w:t>Fault Notification (</w:t>
            </w:r>
            <w:r w:rsidR="002236A5" w:rsidRPr="00E478AF">
              <w:rPr>
                <w:b/>
                <w:iCs/>
                <w:color w:val="00B050"/>
                <w:u w:val="single"/>
              </w:rPr>
              <w:t>SFN</w:t>
            </w:r>
            <w:r w:rsidR="00360FA4">
              <w:rPr>
                <w:b/>
                <w:iCs/>
                <w:color w:val="00B050"/>
                <w:u w:val="single"/>
              </w:rPr>
              <w:t>)</w:t>
            </w:r>
            <w:r w:rsidR="002236A5" w:rsidRPr="00E478AF">
              <w:rPr>
                <w:b/>
                <w:iCs/>
                <w:color w:val="00B050"/>
                <w:u w:val="single"/>
              </w:rPr>
              <w:t xml:space="preserve"> read</w:t>
            </w:r>
          </w:p>
          <w:p w14:paraId="292784B9" w14:textId="72BD19D1" w:rsidR="00E8407D" w:rsidRPr="00E478AF" w:rsidRDefault="00DA6ECA" w:rsidP="000E4561">
            <w:pPr>
              <w:jc w:val="both"/>
              <w:rPr>
                <w:color w:val="00B050"/>
              </w:rPr>
            </w:pPr>
            <w:r w:rsidRPr="00E478AF">
              <w:rPr>
                <w:color w:val="00B050"/>
                <w:lang w:val="en-US"/>
              </w:rPr>
              <w:t>A read received via the SFN file</w:t>
            </w:r>
            <w:r w:rsidR="006B6B11" w:rsidRPr="00E478AF">
              <w:rPr>
                <w:color w:val="00B050"/>
                <w:lang w:val="en-US"/>
              </w:rPr>
              <w:t xml:space="preserve"> </w:t>
            </w:r>
            <w:r w:rsidR="00116F7F">
              <w:rPr>
                <w:color w:val="00B050"/>
                <w:lang w:val="en-US"/>
              </w:rPr>
              <w:t>will be validated against the previous Check Read</w:t>
            </w:r>
            <w:r w:rsidR="002B6FCA">
              <w:rPr>
                <w:color w:val="00B050"/>
                <w:lang w:val="en-US"/>
              </w:rPr>
              <w:t xml:space="preserve"> and, where deemed Valid, </w:t>
            </w:r>
            <w:r w:rsidR="00834044">
              <w:rPr>
                <w:color w:val="00B050"/>
                <w:lang w:val="en-US"/>
              </w:rPr>
              <w:t xml:space="preserve">will </w:t>
            </w:r>
            <w:r w:rsidR="006B6B11" w:rsidRPr="00E478AF">
              <w:rPr>
                <w:color w:val="00B050"/>
                <w:lang w:val="en-US"/>
              </w:rPr>
              <w:t xml:space="preserve">trigger Check to Check reconciliation. </w:t>
            </w:r>
            <w:r w:rsidR="002B6FCA">
              <w:rPr>
                <w:color w:val="00B050"/>
                <w:lang w:val="en-US"/>
              </w:rPr>
              <w:t>In the case</w:t>
            </w:r>
            <w:r w:rsidR="00524712">
              <w:rPr>
                <w:color w:val="00B050"/>
                <w:lang w:val="en-US"/>
              </w:rPr>
              <w:t xml:space="preserve"> </w:t>
            </w:r>
            <w:r w:rsidR="006B7CC4">
              <w:rPr>
                <w:color w:val="00B050"/>
                <w:lang w:val="en-US"/>
              </w:rPr>
              <w:t>w</w:t>
            </w:r>
            <w:r w:rsidR="006B7CC4" w:rsidRPr="00E478AF">
              <w:rPr>
                <w:color w:val="00B050"/>
                <w:lang w:val="en-US"/>
              </w:rPr>
              <w:t xml:space="preserve">here </w:t>
            </w:r>
            <w:r w:rsidR="000E4561" w:rsidRPr="00E478AF">
              <w:rPr>
                <w:color w:val="00B050"/>
                <w:lang w:val="en-US"/>
              </w:rPr>
              <w:t>there is an estimated Transfer or Class change reading</w:t>
            </w:r>
            <w:r w:rsidR="006451BE">
              <w:rPr>
                <w:color w:val="00B050"/>
                <w:lang w:val="en-US"/>
              </w:rPr>
              <w:t xml:space="preserve"> within the Check to Check period then</w:t>
            </w:r>
            <w:r w:rsidR="000E4561" w:rsidRPr="00E478AF">
              <w:rPr>
                <w:color w:val="00B050"/>
                <w:lang w:val="en-US"/>
              </w:rPr>
              <w:t xml:space="preserve"> the </w:t>
            </w:r>
            <w:r w:rsidR="00E8407D" w:rsidRPr="00E478AF">
              <w:rPr>
                <w:color w:val="00B050"/>
              </w:rPr>
              <w:t xml:space="preserve">logic for determining the TTZ for use in calculating </w:t>
            </w:r>
            <w:r w:rsidR="00180448" w:rsidRPr="00E478AF">
              <w:rPr>
                <w:color w:val="00B050"/>
              </w:rPr>
              <w:t xml:space="preserve">the Check to Check </w:t>
            </w:r>
            <w:r w:rsidR="00E8407D" w:rsidRPr="00E478AF">
              <w:rPr>
                <w:color w:val="00B050"/>
              </w:rPr>
              <w:t>volume</w:t>
            </w:r>
            <w:r w:rsidR="00180448" w:rsidRPr="00E478AF">
              <w:rPr>
                <w:color w:val="00B050"/>
              </w:rPr>
              <w:t xml:space="preserve"> </w:t>
            </w:r>
            <w:r w:rsidR="00E8407D" w:rsidRPr="00E478AF">
              <w:rPr>
                <w:color w:val="00B050"/>
              </w:rPr>
              <w:t>will be as follows:</w:t>
            </w:r>
          </w:p>
          <w:p w14:paraId="5405C5DE" w14:textId="7C84CA75" w:rsidR="00180448" w:rsidRPr="00E478AF" w:rsidRDefault="00180448" w:rsidP="000E4561">
            <w:pPr>
              <w:jc w:val="both"/>
              <w:rPr>
                <w:color w:val="00B050"/>
              </w:rPr>
            </w:pPr>
          </w:p>
          <w:p w14:paraId="1956252C" w14:textId="57C01D26" w:rsidR="001E0666" w:rsidRPr="001E0666" w:rsidRDefault="001E0666" w:rsidP="001E0666">
            <w:pPr>
              <w:ind w:left="2160"/>
              <w:rPr>
                <w:color w:val="00B050"/>
              </w:rPr>
            </w:pPr>
            <w:r w:rsidRPr="001E0666">
              <w:rPr>
                <w:color w:val="00B050"/>
              </w:rPr>
              <w:t>TTZ of the Current Check Read</w:t>
            </w:r>
          </w:p>
          <w:p w14:paraId="18DCBDA9" w14:textId="002B1AF1" w:rsidR="001E0666" w:rsidRPr="001E0666" w:rsidRDefault="001E0666" w:rsidP="001E0666">
            <w:pPr>
              <w:ind w:left="2160"/>
              <w:rPr>
                <w:color w:val="00B050"/>
                <w:u w:val="single"/>
              </w:rPr>
            </w:pPr>
            <w:r w:rsidRPr="001E0666">
              <w:rPr>
                <w:color w:val="00B050"/>
                <w:u w:val="single"/>
              </w:rPr>
              <w:t>minus</w:t>
            </w:r>
          </w:p>
          <w:p w14:paraId="6764CA78" w14:textId="051E583D" w:rsidR="001E0666" w:rsidRPr="001E0666" w:rsidRDefault="001E0666" w:rsidP="001E0666">
            <w:pPr>
              <w:ind w:left="2160"/>
              <w:rPr>
                <w:color w:val="00B050"/>
              </w:rPr>
            </w:pPr>
            <w:r w:rsidRPr="001E0666">
              <w:rPr>
                <w:color w:val="00B050"/>
              </w:rPr>
              <w:t>the SUM of all TTZs between the previous Check Read and</w:t>
            </w:r>
            <w:r w:rsidR="00490245">
              <w:rPr>
                <w:color w:val="00B050"/>
              </w:rPr>
              <w:t xml:space="preserve">, up to and </w:t>
            </w:r>
            <w:r w:rsidR="000D2EA3">
              <w:rPr>
                <w:color w:val="00B050"/>
              </w:rPr>
              <w:t>including</w:t>
            </w:r>
            <w:r w:rsidR="003F34CB">
              <w:rPr>
                <w:color w:val="00B050"/>
              </w:rPr>
              <w:t>,</w:t>
            </w:r>
            <w:r w:rsidR="000D2EA3">
              <w:rPr>
                <w:color w:val="00B050"/>
              </w:rPr>
              <w:t xml:space="preserve"> the</w:t>
            </w:r>
            <w:r w:rsidRPr="001E0666">
              <w:rPr>
                <w:color w:val="00B050"/>
              </w:rPr>
              <w:t xml:space="preserve"> estimated Transfer or Class Change read</w:t>
            </w:r>
          </w:p>
          <w:p w14:paraId="0D57F187" w14:textId="6B29DFE2" w:rsidR="00180448" w:rsidRPr="00E478AF" w:rsidRDefault="001E0666" w:rsidP="001E0666">
            <w:pPr>
              <w:ind w:left="2160"/>
              <w:rPr>
                <w:color w:val="00B050"/>
              </w:rPr>
            </w:pPr>
            <w:r w:rsidRPr="00E478AF">
              <w:rPr>
                <w:color w:val="00B050"/>
              </w:rPr>
              <w:t>(</w:t>
            </w:r>
            <w:r w:rsidR="003F34CB">
              <w:rPr>
                <w:color w:val="00B050"/>
              </w:rPr>
              <w:t xml:space="preserve">for clarity, </w:t>
            </w:r>
            <w:r w:rsidRPr="00E478AF">
              <w:rPr>
                <w:color w:val="00B050"/>
              </w:rPr>
              <w:t>this includes the TTZ on the estimated Transfer or Class change</w:t>
            </w:r>
            <w:r w:rsidR="00B36179">
              <w:rPr>
                <w:color w:val="00B050"/>
              </w:rPr>
              <w:t xml:space="preserve"> read</w:t>
            </w:r>
            <w:r w:rsidRPr="00E478AF">
              <w:rPr>
                <w:color w:val="00B050"/>
              </w:rPr>
              <w:t xml:space="preserve"> but excludes the TTZ on the previous Check Read)</w:t>
            </w:r>
          </w:p>
          <w:p w14:paraId="73C5CF4F" w14:textId="77777777" w:rsidR="00E8407D" w:rsidRPr="00E478AF" w:rsidRDefault="00E8407D" w:rsidP="000E4561">
            <w:pPr>
              <w:jc w:val="both"/>
              <w:rPr>
                <w:color w:val="00B050"/>
                <w:lang w:val="en-US"/>
              </w:rPr>
            </w:pPr>
          </w:p>
          <w:p w14:paraId="5CAA8CB0" w14:textId="37C365E3" w:rsidR="00097588" w:rsidRPr="00E478AF" w:rsidRDefault="00097588" w:rsidP="00097588">
            <w:pPr>
              <w:rPr>
                <w:color w:val="00B050"/>
              </w:rPr>
            </w:pPr>
            <w:r w:rsidRPr="00E478AF">
              <w:rPr>
                <w:color w:val="00B050"/>
              </w:rPr>
              <w:t xml:space="preserve">The below is an example of </w:t>
            </w:r>
            <w:r w:rsidR="0032298E">
              <w:rPr>
                <w:color w:val="00B050"/>
              </w:rPr>
              <w:t>a</w:t>
            </w:r>
            <w:r w:rsidR="009C5AE9">
              <w:rPr>
                <w:color w:val="00B050"/>
              </w:rPr>
              <w:t>n</w:t>
            </w:r>
            <w:r w:rsidR="0032298E">
              <w:rPr>
                <w:color w:val="00B050"/>
              </w:rPr>
              <w:t xml:space="preserve"> </w:t>
            </w:r>
            <w:r w:rsidR="00966DCC">
              <w:rPr>
                <w:color w:val="00B050"/>
              </w:rPr>
              <w:t>SFN Check</w:t>
            </w:r>
            <w:r w:rsidRPr="00E478AF">
              <w:rPr>
                <w:color w:val="00B050"/>
              </w:rPr>
              <w:t xml:space="preserve"> </w:t>
            </w:r>
            <w:r w:rsidR="00966DCC">
              <w:rPr>
                <w:color w:val="00B050"/>
              </w:rPr>
              <w:t>R</w:t>
            </w:r>
            <w:r w:rsidRPr="00E478AF">
              <w:rPr>
                <w:color w:val="00B050"/>
              </w:rPr>
              <w:t>ead scenario:</w:t>
            </w:r>
          </w:p>
          <w:p w14:paraId="02E542A3" w14:textId="77777777" w:rsidR="00E8407D" w:rsidRDefault="00E8407D" w:rsidP="000E4561">
            <w:pPr>
              <w:jc w:val="both"/>
              <w:rPr>
                <w:lang w:val="en-US"/>
              </w:rPr>
            </w:pPr>
          </w:p>
          <w:p w14:paraId="3DCD094F" w14:textId="58396CE7" w:rsidR="000E4561" w:rsidRDefault="000E4561" w:rsidP="00CE326D"/>
          <w:p w14:paraId="7637B7EB" w14:textId="252019DC" w:rsidR="001117B5" w:rsidRPr="00FF6D84" w:rsidRDefault="001117B5" w:rsidP="00CE326D">
            <w:pPr>
              <w:rPr>
                <w:rFonts w:cs="Arial"/>
                <w:strike/>
              </w:rPr>
            </w:pPr>
            <w:r>
              <w:object w:dxaOrig="8550" w:dyaOrig="2511" w14:anchorId="6B0E780A">
                <v:shape id="_x0000_i1034" type="#_x0000_t75" style="width:426.6pt;height:126.6pt" o:ole="">
                  <v:imagedata r:id="rId30" o:title=""/>
                </v:shape>
                <o:OLEObject Type="Embed" ProgID="Visio.Drawing.15" ShapeID="_x0000_i1034" DrawAspect="Content" ObjectID="_1682751714" r:id="rId31"/>
              </w:object>
            </w:r>
          </w:p>
          <w:p w14:paraId="6975CD95" w14:textId="3C7D1F83" w:rsidR="00BD013D" w:rsidRDefault="00BD013D">
            <w:pPr>
              <w:rPr>
                <w:b/>
                <w:bCs/>
                <w:u w:val="single"/>
              </w:rPr>
            </w:pPr>
          </w:p>
          <w:p w14:paraId="47B98EB8" w14:textId="02B90BB2" w:rsidR="00A55C1F" w:rsidRPr="00E478AF" w:rsidRDefault="00284703" w:rsidP="00A55C1F">
            <w:pPr>
              <w:ind w:left="2160"/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e. TTZ is calculated by</w:t>
            </w:r>
          </w:p>
          <w:p w14:paraId="7D4F782F" w14:textId="2BCEBF54" w:rsidR="00A55C1F" w:rsidRPr="001E0666" w:rsidRDefault="00A55C1F" w:rsidP="00A55C1F">
            <w:pPr>
              <w:ind w:left="2160"/>
              <w:rPr>
                <w:color w:val="00B050"/>
              </w:rPr>
            </w:pPr>
            <w:r w:rsidRPr="001E0666">
              <w:rPr>
                <w:color w:val="00B050"/>
              </w:rPr>
              <w:t>TTZ of the Current Check Read</w:t>
            </w:r>
            <w:r w:rsidR="002C196A" w:rsidRPr="00E478AF">
              <w:rPr>
                <w:color w:val="00B050"/>
              </w:rPr>
              <w:t xml:space="preserve"> </w:t>
            </w:r>
            <w:r w:rsidR="000B6E10">
              <w:rPr>
                <w:color w:val="00B050"/>
              </w:rPr>
              <w:t>e.</w:t>
            </w:r>
            <w:r w:rsidR="00793B0E">
              <w:rPr>
                <w:color w:val="00B050"/>
              </w:rPr>
              <w:t xml:space="preserve"> = </w:t>
            </w:r>
            <w:r w:rsidR="002C196A" w:rsidRPr="00CF2D92">
              <w:rPr>
                <w:color w:val="FF0000"/>
              </w:rPr>
              <w:t>1</w:t>
            </w:r>
          </w:p>
          <w:p w14:paraId="6CC29BEE" w14:textId="77777777" w:rsidR="00A55C1F" w:rsidRPr="001E0666" w:rsidRDefault="00A55C1F" w:rsidP="00A55C1F">
            <w:pPr>
              <w:ind w:left="2160"/>
              <w:rPr>
                <w:color w:val="00B050"/>
                <w:u w:val="single"/>
              </w:rPr>
            </w:pPr>
            <w:r w:rsidRPr="001E0666">
              <w:rPr>
                <w:color w:val="00B050"/>
                <w:u w:val="single"/>
              </w:rPr>
              <w:t>minus</w:t>
            </w:r>
          </w:p>
          <w:p w14:paraId="00E4F938" w14:textId="1867D0A9" w:rsidR="00A55C1F" w:rsidRPr="00E478AF" w:rsidRDefault="000B6E10" w:rsidP="00A55C1F">
            <w:pPr>
              <w:ind w:left="2160"/>
              <w:rPr>
                <w:color w:val="00B050"/>
              </w:rPr>
            </w:pPr>
            <w:r w:rsidRPr="001E0666">
              <w:rPr>
                <w:color w:val="00B050"/>
              </w:rPr>
              <w:t>the SUM of all TTZs between the previous Check Read and</w:t>
            </w:r>
            <w:r>
              <w:rPr>
                <w:color w:val="00B050"/>
              </w:rPr>
              <w:t>, up to and including, the</w:t>
            </w:r>
            <w:r w:rsidRPr="001E0666">
              <w:rPr>
                <w:color w:val="00B050"/>
              </w:rPr>
              <w:t xml:space="preserve"> estimated Transfer or Class Change read</w:t>
            </w:r>
            <w:r w:rsidRPr="001E0666" w:rsidDel="000B6E10">
              <w:rPr>
                <w:color w:val="00B050"/>
              </w:rPr>
              <w:t xml:space="preserve"> </w:t>
            </w:r>
            <w:r w:rsidR="00BE686C" w:rsidRPr="00E478AF">
              <w:rPr>
                <w:color w:val="00B050"/>
              </w:rPr>
              <w:t>b</w:t>
            </w:r>
            <w:r>
              <w:rPr>
                <w:color w:val="00B050"/>
              </w:rPr>
              <w:t>.</w:t>
            </w:r>
            <w:r w:rsidR="00BE686C" w:rsidRPr="00E478AF">
              <w:rPr>
                <w:color w:val="00B050"/>
              </w:rPr>
              <w:t xml:space="preserve"> </w:t>
            </w:r>
            <w:r w:rsidR="00CE2C88">
              <w:rPr>
                <w:color w:val="00B050"/>
              </w:rPr>
              <w:t>(</w:t>
            </w:r>
            <w:r w:rsidR="00BE686C" w:rsidRPr="00CF2D92">
              <w:rPr>
                <w:color w:val="FF0000"/>
              </w:rPr>
              <w:t>0</w:t>
            </w:r>
            <w:r w:rsidR="00CE2C88">
              <w:rPr>
                <w:color w:val="00B050"/>
              </w:rPr>
              <w:t>)</w:t>
            </w:r>
            <w:r w:rsidR="00BE686C" w:rsidRPr="00E478AF">
              <w:rPr>
                <w:color w:val="00B050"/>
              </w:rPr>
              <w:t xml:space="preserve">, </w:t>
            </w:r>
            <w:r w:rsidR="00891659">
              <w:rPr>
                <w:color w:val="00B050"/>
              </w:rPr>
              <w:t>c.</w:t>
            </w:r>
            <w:r w:rsidR="00785FA7" w:rsidRPr="00E478AF">
              <w:rPr>
                <w:color w:val="00B050"/>
              </w:rPr>
              <w:t xml:space="preserve"> </w:t>
            </w:r>
            <w:r w:rsidR="00CE2C88">
              <w:rPr>
                <w:color w:val="00B050"/>
              </w:rPr>
              <w:t>(</w:t>
            </w:r>
            <w:r w:rsidR="00785FA7" w:rsidRPr="00CF2D92">
              <w:rPr>
                <w:color w:val="FF0000"/>
              </w:rPr>
              <w:t>1</w:t>
            </w:r>
            <w:r w:rsidR="00785FA7" w:rsidRPr="00E478AF">
              <w:rPr>
                <w:color w:val="00B050"/>
              </w:rPr>
              <w:t xml:space="preserve">) = </w:t>
            </w:r>
            <w:r w:rsidR="00785FA7" w:rsidRPr="00CF2D92">
              <w:rPr>
                <w:color w:val="FF0000"/>
              </w:rPr>
              <w:t>1</w:t>
            </w:r>
          </w:p>
          <w:p w14:paraId="0F9D597B" w14:textId="61BC979E" w:rsidR="00785FA7" w:rsidRPr="00E478AF" w:rsidRDefault="00785FA7" w:rsidP="00785FA7">
            <w:pPr>
              <w:ind w:left="2160"/>
              <w:rPr>
                <w:color w:val="00B050"/>
              </w:rPr>
            </w:pPr>
            <w:r w:rsidRPr="00E478AF">
              <w:rPr>
                <w:color w:val="00B050"/>
              </w:rPr>
              <w:t>Therefore,</w:t>
            </w:r>
            <w:r w:rsidR="00106E80">
              <w:rPr>
                <w:color w:val="00B050"/>
              </w:rPr>
              <w:t xml:space="preserve"> TTZ</w:t>
            </w:r>
            <w:r w:rsidRPr="00E478AF">
              <w:rPr>
                <w:color w:val="00B050"/>
              </w:rPr>
              <w:t xml:space="preserve"> </w:t>
            </w:r>
            <w:r w:rsidR="008113DA">
              <w:rPr>
                <w:color w:val="00B050"/>
              </w:rPr>
              <w:t>e.</w:t>
            </w:r>
            <w:r w:rsidR="005B4848">
              <w:rPr>
                <w:color w:val="00B050"/>
              </w:rPr>
              <w:t xml:space="preserve"> =</w:t>
            </w:r>
            <w:r w:rsidRPr="00E478AF">
              <w:rPr>
                <w:color w:val="00B050"/>
              </w:rPr>
              <w:t xml:space="preserve"> </w:t>
            </w:r>
            <w:r w:rsidRPr="00C7479B">
              <w:rPr>
                <w:color w:val="FF0000"/>
              </w:rPr>
              <w:t>0</w:t>
            </w:r>
          </w:p>
          <w:p w14:paraId="222CC8D0" w14:textId="2B20A815" w:rsidR="004B13FF" w:rsidRPr="00E478AF" w:rsidRDefault="004B13FF" w:rsidP="00785FA7">
            <w:pPr>
              <w:ind w:left="2160"/>
              <w:rPr>
                <w:color w:val="00B050"/>
              </w:rPr>
            </w:pPr>
          </w:p>
          <w:p w14:paraId="5F4DBFEC" w14:textId="3D725072" w:rsidR="003514FC" w:rsidRDefault="005F6085" w:rsidP="002D1763">
            <w:pPr>
              <w:jc w:val="both"/>
              <w:rPr>
                <w:color w:val="00B050"/>
              </w:rPr>
            </w:pPr>
            <w:r w:rsidRPr="00E478AF">
              <w:rPr>
                <w:color w:val="00B050"/>
              </w:rPr>
              <w:lastRenderedPageBreak/>
              <w:t>T</w:t>
            </w:r>
            <w:r w:rsidR="004B13FF" w:rsidRPr="00E478AF">
              <w:rPr>
                <w:color w:val="00B050"/>
              </w:rPr>
              <w:t>he</w:t>
            </w:r>
            <w:r w:rsidR="00CF5AB3">
              <w:rPr>
                <w:color w:val="00B050"/>
              </w:rPr>
              <w:t xml:space="preserve"> TTZ of the</w:t>
            </w:r>
            <w:r w:rsidR="004B13FF" w:rsidRPr="00E478AF">
              <w:rPr>
                <w:color w:val="00B050"/>
              </w:rPr>
              <w:t xml:space="preserve"> current </w:t>
            </w:r>
            <w:r w:rsidR="007259C5">
              <w:rPr>
                <w:color w:val="00B050"/>
              </w:rPr>
              <w:t>C</w:t>
            </w:r>
            <w:r w:rsidR="007259C5" w:rsidRPr="00E478AF">
              <w:rPr>
                <w:color w:val="00B050"/>
              </w:rPr>
              <w:t xml:space="preserve">heck </w:t>
            </w:r>
            <w:r w:rsidR="007259C5">
              <w:rPr>
                <w:color w:val="00B050"/>
              </w:rPr>
              <w:t>R</w:t>
            </w:r>
            <w:r w:rsidR="007259C5" w:rsidRPr="00E478AF">
              <w:rPr>
                <w:color w:val="00B050"/>
              </w:rPr>
              <w:t xml:space="preserve">ead </w:t>
            </w:r>
            <w:r w:rsidR="004B13FF" w:rsidRPr="00E478AF">
              <w:rPr>
                <w:color w:val="00B050"/>
              </w:rPr>
              <w:t xml:space="preserve">must </w:t>
            </w:r>
            <w:r w:rsidR="00CF5AB3">
              <w:rPr>
                <w:color w:val="00B050"/>
              </w:rPr>
              <w:t>be derived</w:t>
            </w:r>
            <w:r w:rsidR="00CF5AB3" w:rsidRPr="00E478AF">
              <w:rPr>
                <w:color w:val="00B050"/>
              </w:rPr>
              <w:t xml:space="preserve"> </w:t>
            </w:r>
            <w:r w:rsidR="004B13FF" w:rsidRPr="00E478AF">
              <w:rPr>
                <w:color w:val="00B050"/>
              </w:rPr>
              <w:t>a</w:t>
            </w:r>
            <w:r w:rsidR="00CF5AB3">
              <w:rPr>
                <w:color w:val="00B050"/>
              </w:rPr>
              <w:t>s</w:t>
            </w:r>
            <w:r w:rsidR="004B13FF" w:rsidRPr="00E478AF">
              <w:rPr>
                <w:color w:val="00B050"/>
              </w:rPr>
              <w:t xml:space="preserve"> </w:t>
            </w:r>
            <w:r w:rsidRPr="00602066">
              <w:rPr>
                <w:color w:val="FF0000"/>
              </w:rPr>
              <w:t>0</w:t>
            </w:r>
            <w:r w:rsidRPr="00E478AF">
              <w:rPr>
                <w:color w:val="00B050"/>
              </w:rPr>
              <w:t xml:space="preserve"> </w:t>
            </w:r>
            <w:r w:rsidR="004B13FF" w:rsidRPr="00E478AF">
              <w:rPr>
                <w:color w:val="00B050"/>
              </w:rPr>
              <w:t xml:space="preserve">so that </w:t>
            </w:r>
            <w:r w:rsidRPr="00E478AF">
              <w:rPr>
                <w:color w:val="00B050"/>
              </w:rPr>
              <w:t>the</w:t>
            </w:r>
            <w:r w:rsidR="00986BA3">
              <w:rPr>
                <w:color w:val="00B050"/>
              </w:rPr>
              <w:t xml:space="preserve"> portion of the</w:t>
            </w:r>
            <w:r w:rsidRPr="00E478AF">
              <w:rPr>
                <w:color w:val="00B050"/>
              </w:rPr>
              <w:t xml:space="preserve"> Check to Check </w:t>
            </w:r>
            <w:r w:rsidR="004B13FF" w:rsidRPr="00E478AF">
              <w:rPr>
                <w:color w:val="00B050"/>
              </w:rPr>
              <w:t>volume</w:t>
            </w:r>
            <w:r w:rsidR="00986BA3">
              <w:rPr>
                <w:color w:val="00B050"/>
              </w:rPr>
              <w:t xml:space="preserve"> </w:t>
            </w:r>
            <w:r w:rsidR="00986BA3" w:rsidRPr="00986BA3">
              <w:rPr>
                <w:color w:val="00B050"/>
              </w:rPr>
              <w:t>back to the estimated transfer or Class Change Read</w:t>
            </w:r>
            <w:r w:rsidR="00986BA3">
              <w:rPr>
                <w:color w:val="00B050"/>
              </w:rPr>
              <w:t>,</w:t>
            </w:r>
            <w:r w:rsidR="004B13FF" w:rsidRPr="00E478AF">
              <w:rPr>
                <w:color w:val="00B050"/>
              </w:rPr>
              <w:t xml:space="preserve"> is calculated as </w:t>
            </w:r>
            <w:r w:rsidR="007C15E5" w:rsidRPr="007C15E5">
              <w:rPr>
                <w:color w:val="FF0000"/>
              </w:rPr>
              <w:t>+</w:t>
            </w:r>
            <w:r w:rsidR="00382370">
              <w:rPr>
                <w:color w:val="FF0000"/>
              </w:rPr>
              <w:t>2</w:t>
            </w:r>
            <w:r w:rsidR="004B13FF" w:rsidRPr="00A4739D">
              <w:rPr>
                <w:color w:val="FF0000"/>
              </w:rPr>
              <w:t>00</w:t>
            </w:r>
            <w:r w:rsidR="004B13FF">
              <w:rPr>
                <w:color w:val="FF0000"/>
              </w:rPr>
              <w:t xml:space="preserve"> </w:t>
            </w:r>
            <w:r w:rsidR="004B13FF" w:rsidRPr="00E478AF">
              <w:rPr>
                <w:color w:val="00B050"/>
              </w:rPr>
              <w:t>and not as +</w:t>
            </w:r>
            <w:r w:rsidR="007C15E5" w:rsidRPr="00E478AF">
              <w:rPr>
                <w:color w:val="00B050"/>
              </w:rPr>
              <w:t>10</w:t>
            </w:r>
            <w:r w:rsidR="00382370">
              <w:rPr>
                <w:color w:val="00B050"/>
              </w:rPr>
              <w:t>2</w:t>
            </w:r>
            <w:r w:rsidR="007C15E5" w:rsidRPr="00E478AF">
              <w:rPr>
                <w:color w:val="00B050"/>
              </w:rPr>
              <w:t>0</w:t>
            </w:r>
            <w:r w:rsidR="004B13FF" w:rsidRPr="00E478AF">
              <w:rPr>
                <w:color w:val="00B050"/>
              </w:rPr>
              <w:t>0.</w:t>
            </w:r>
            <w:r w:rsidR="00181968">
              <w:rPr>
                <w:color w:val="00B050"/>
              </w:rPr>
              <w:t xml:space="preserve"> </w:t>
            </w:r>
          </w:p>
          <w:p w14:paraId="626B2235" w14:textId="77777777" w:rsidR="003514FC" w:rsidRDefault="003514FC">
            <w:pPr>
              <w:rPr>
                <w:color w:val="00B050"/>
              </w:rPr>
            </w:pPr>
          </w:p>
          <w:p w14:paraId="5E5DA1A9" w14:textId="74E59C38" w:rsidR="00181968" w:rsidRPr="00181968" w:rsidRDefault="00181968" w:rsidP="002D1763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Please note</w:t>
            </w:r>
            <w:r w:rsidR="00301306">
              <w:rPr>
                <w:color w:val="00B050"/>
              </w:rPr>
              <w:t>, as per current process,</w:t>
            </w:r>
            <w:r>
              <w:rPr>
                <w:color w:val="00B050"/>
              </w:rPr>
              <w:t xml:space="preserve"> the TTZ of </w:t>
            </w:r>
            <w:r w:rsidR="000A35D4">
              <w:rPr>
                <w:color w:val="00B050"/>
              </w:rPr>
              <w:t xml:space="preserve">the </w:t>
            </w:r>
            <w:r w:rsidR="00BA2D8F">
              <w:rPr>
                <w:color w:val="00B050"/>
              </w:rPr>
              <w:t>‘</w:t>
            </w:r>
            <w:r w:rsidR="00301306">
              <w:rPr>
                <w:color w:val="00B050"/>
              </w:rPr>
              <w:t>d</w:t>
            </w:r>
            <w:r w:rsidR="000A35D4">
              <w:rPr>
                <w:color w:val="00B050"/>
              </w:rPr>
              <w:t>.</w:t>
            </w:r>
            <w:r w:rsidR="003514FC">
              <w:rPr>
                <w:color w:val="00B050"/>
              </w:rPr>
              <w:t xml:space="preserve"> </w:t>
            </w:r>
            <w:r w:rsidR="000A35D4">
              <w:rPr>
                <w:color w:val="00B050"/>
              </w:rPr>
              <w:t>Actual Read</w:t>
            </w:r>
            <w:r w:rsidR="00BA2D8F">
              <w:rPr>
                <w:color w:val="00B050"/>
              </w:rPr>
              <w:t>’</w:t>
            </w:r>
            <w:r w:rsidR="000A35D4">
              <w:rPr>
                <w:color w:val="00B050"/>
              </w:rPr>
              <w:t xml:space="preserve"> is not required to determine the </w:t>
            </w:r>
            <w:r w:rsidR="003514FC">
              <w:rPr>
                <w:color w:val="00B050"/>
              </w:rPr>
              <w:t>TTZ for the</w:t>
            </w:r>
            <w:r w:rsidR="00BA2D8F">
              <w:rPr>
                <w:color w:val="00B050"/>
              </w:rPr>
              <w:t xml:space="preserve"> Check to Check</w:t>
            </w:r>
            <w:r w:rsidR="003514FC">
              <w:rPr>
                <w:color w:val="00B050"/>
              </w:rPr>
              <w:t xml:space="preserve"> volume calculation</w:t>
            </w:r>
            <w:r w:rsidR="00E73D49">
              <w:rPr>
                <w:color w:val="00B050"/>
              </w:rPr>
              <w:t xml:space="preserve"> as this read is not considered in the </w:t>
            </w:r>
            <w:r w:rsidR="00301306">
              <w:rPr>
                <w:color w:val="00B050"/>
              </w:rPr>
              <w:t>Check to Check reconciliation process</w:t>
            </w:r>
            <w:r w:rsidR="003514FC">
              <w:rPr>
                <w:color w:val="00B050"/>
              </w:rPr>
              <w:t xml:space="preserve">. </w:t>
            </w:r>
          </w:p>
          <w:p w14:paraId="2DE48A22" w14:textId="77777777" w:rsidR="00BE61E4" w:rsidRDefault="00BE61E4">
            <w:pPr>
              <w:rPr>
                <w:b/>
                <w:bCs/>
                <w:u w:val="single"/>
              </w:rPr>
            </w:pPr>
          </w:p>
          <w:p w14:paraId="3778C21D" w14:textId="2816DD10" w:rsidR="00550D2B" w:rsidRDefault="0083193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Correcting </w:t>
            </w:r>
            <w:r w:rsidR="00241E18">
              <w:rPr>
                <w:b/>
                <w:bCs/>
                <w:u w:val="single"/>
              </w:rPr>
              <w:t>Historic Volume Calculations</w:t>
            </w:r>
          </w:p>
          <w:p w14:paraId="1CC2E847" w14:textId="7F2AD4DC" w:rsidR="00763AB0" w:rsidRDefault="00763AB0" w:rsidP="009D0F27">
            <w:pPr>
              <w:jc w:val="both"/>
            </w:pPr>
            <w:r>
              <w:t>T</w:t>
            </w:r>
            <w:r w:rsidR="008E5068">
              <w:t xml:space="preserve">here are </w:t>
            </w:r>
            <w:proofErr w:type="gramStart"/>
            <w:r w:rsidR="008E5068">
              <w:t>a number of</w:t>
            </w:r>
            <w:proofErr w:type="gramEnd"/>
            <w:r w:rsidR="008E5068">
              <w:t xml:space="preserve"> Supply Meter Points </w:t>
            </w:r>
            <w:r w:rsidR="003B1402">
              <w:t xml:space="preserve">where </w:t>
            </w:r>
            <w:r w:rsidR="00457484">
              <w:t xml:space="preserve">volume </w:t>
            </w:r>
            <w:r w:rsidR="003B1402">
              <w:t>calculation</w:t>
            </w:r>
            <w:r w:rsidR="00457484">
              <w:t>s have taken place u</w:t>
            </w:r>
            <w:r w:rsidR="00DA4CA2">
              <w:t>sing incorrect logic</w:t>
            </w:r>
            <w:r w:rsidR="003B1402">
              <w:t xml:space="preserve"> and</w:t>
            </w:r>
            <w:r w:rsidR="00DA4CA2">
              <w:t xml:space="preserve">, therefore, </w:t>
            </w:r>
            <w:r w:rsidR="00AB6877">
              <w:t>reconciliation</w:t>
            </w:r>
            <w:r w:rsidR="003B1402">
              <w:t xml:space="preserve"> and AQ</w:t>
            </w:r>
            <w:r w:rsidR="00A92780">
              <w:t xml:space="preserve"> values</w:t>
            </w:r>
            <w:r w:rsidR="003B1402">
              <w:t xml:space="preserve"> ha</w:t>
            </w:r>
            <w:r w:rsidR="00A92780">
              <w:t>ve</w:t>
            </w:r>
            <w:r w:rsidR="003B1402">
              <w:t xml:space="preserve"> been calculated based </w:t>
            </w:r>
            <w:r w:rsidR="00736B74">
              <w:t>up</w:t>
            </w:r>
            <w:r w:rsidR="003B1402">
              <w:t>on</w:t>
            </w:r>
            <w:r w:rsidR="00A92780">
              <w:t>, potentially,</w:t>
            </w:r>
            <w:r w:rsidR="003B1402">
              <w:t xml:space="preserve"> incorrect </w:t>
            </w:r>
            <w:r w:rsidR="00A92780">
              <w:t>data</w:t>
            </w:r>
            <w:r w:rsidR="00AB6877">
              <w:t xml:space="preserve">. </w:t>
            </w:r>
            <w:r w:rsidR="00A92780">
              <w:t>As pa</w:t>
            </w:r>
            <w:r w:rsidR="00D45444">
              <w:t>rt of this change, t</w:t>
            </w:r>
            <w:r w:rsidR="005845EA">
              <w:t xml:space="preserve">he CDSP will identify </w:t>
            </w:r>
            <w:r w:rsidR="00D45444">
              <w:t xml:space="preserve">volume </w:t>
            </w:r>
            <w:r w:rsidR="005845EA">
              <w:t xml:space="preserve">calculations </w:t>
            </w:r>
            <w:r w:rsidR="00D45444">
              <w:t xml:space="preserve">that have included </w:t>
            </w:r>
            <w:r w:rsidR="00085C5B">
              <w:t>at least one</w:t>
            </w:r>
            <w:r w:rsidR="005845EA">
              <w:t xml:space="preserve"> </w:t>
            </w:r>
            <w:r w:rsidR="00D45444">
              <w:t xml:space="preserve">meter </w:t>
            </w:r>
            <w:r w:rsidR="005845EA">
              <w:t xml:space="preserve">read </w:t>
            </w:r>
            <w:r w:rsidR="00745D32">
              <w:t xml:space="preserve">with </w:t>
            </w:r>
            <w:r w:rsidR="005845EA">
              <w:t>a</w:t>
            </w:r>
            <w:r w:rsidR="00745D32">
              <w:t xml:space="preserve"> non zero</w:t>
            </w:r>
            <w:r w:rsidR="005845EA">
              <w:t xml:space="preserve"> TTZ indicator and </w:t>
            </w:r>
            <w:r w:rsidR="002875EC">
              <w:t>assess</w:t>
            </w:r>
            <w:r w:rsidR="002645B2">
              <w:t>, using the new logic</w:t>
            </w:r>
            <w:r w:rsidR="002875EC">
              <w:t xml:space="preserve"> defined within this change pack</w:t>
            </w:r>
            <w:r w:rsidR="002645B2">
              <w:t xml:space="preserve">, whether </w:t>
            </w:r>
            <w:r w:rsidR="000A0BC6">
              <w:t xml:space="preserve">that </w:t>
            </w:r>
            <w:r w:rsidR="002645B2">
              <w:t xml:space="preserve">volume has been calculated incorrectly. </w:t>
            </w:r>
          </w:p>
          <w:p w14:paraId="7EE2682C" w14:textId="77777777" w:rsidR="00763AB0" w:rsidRDefault="00763AB0" w:rsidP="00826412"/>
          <w:p w14:paraId="2C3965D8" w14:textId="6B799225" w:rsidR="00980E07" w:rsidRDefault="002645B2" w:rsidP="009D0F27">
            <w:pPr>
              <w:jc w:val="both"/>
            </w:pPr>
            <w:r>
              <w:t>Any Supply Meter Points</w:t>
            </w:r>
            <w:r w:rsidR="00382338">
              <w:t xml:space="preserve"> that are found to </w:t>
            </w:r>
            <w:r w:rsidR="00D97D9D">
              <w:t>have had incorrect volume calculated</w:t>
            </w:r>
            <w:r w:rsidR="00382338">
              <w:t xml:space="preserve"> historically</w:t>
            </w:r>
            <w:r w:rsidR="00D97D9D">
              <w:t xml:space="preserve"> will </w:t>
            </w:r>
            <w:r w:rsidR="00F455C0">
              <w:t xml:space="preserve">be corrected </w:t>
            </w:r>
            <w:r w:rsidR="00FA2CC1">
              <w:t>in line with the process used by the AQ Taskforce</w:t>
            </w:r>
            <w:r w:rsidR="0036346B">
              <w:t>. This is:</w:t>
            </w:r>
          </w:p>
          <w:p w14:paraId="6FD7F8FB" w14:textId="7A48E091" w:rsidR="00980E07" w:rsidRDefault="00F455C0" w:rsidP="00980E07">
            <w:pPr>
              <w:pStyle w:val="ListParagraph"/>
              <w:numPr>
                <w:ilvl w:val="0"/>
                <w:numId w:val="7"/>
              </w:numPr>
            </w:pPr>
            <w:r>
              <w:t xml:space="preserve">processing a </w:t>
            </w:r>
            <w:r w:rsidR="00301BE5">
              <w:t xml:space="preserve">financial </w:t>
            </w:r>
            <w:r w:rsidR="00593767">
              <w:t>adjustment</w:t>
            </w:r>
            <w:r w:rsidR="005A2B4C">
              <w:t xml:space="preserve"> to correct the </w:t>
            </w:r>
            <w:r w:rsidR="00593767">
              <w:t>reconciliation</w:t>
            </w:r>
          </w:p>
          <w:p w14:paraId="6DFD714E" w14:textId="77777777" w:rsidR="004A67E0" w:rsidRDefault="00980E07" w:rsidP="00980E07">
            <w:pPr>
              <w:pStyle w:val="ListParagraph"/>
              <w:numPr>
                <w:ilvl w:val="0"/>
                <w:numId w:val="7"/>
              </w:numPr>
            </w:pPr>
            <w:r>
              <w:t>processing a</w:t>
            </w:r>
            <w:r w:rsidR="00733D57">
              <w:t xml:space="preserve"> financial adjustment to </w:t>
            </w:r>
            <w:r w:rsidR="005A2B4C">
              <w:t xml:space="preserve">correct </w:t>
            </w:r>
            <w:r w:rsidR="00593767">
              <w:t>the</w:t>
            </w:r>
            <w:r w:rsidR="00D467F3">
              <w:t xml:space="preserve"> capacity </w:t>
            </w:r>
          </w:p>
          <w:p w14:paraId="3B5587D3" w14:textId="64ECBA40" w:rsidR="005B2A97" w:rsidRDefault="00C25377" w:rsidP="00980E07">
            <w:pPr>
              <w:pStyle w:val="ListParagraph"/>
              <w:numPr>
                <w:ilvl w:val="0"/>
                <w:numId w:val="7"/>
              </w:numPr>
            </w:pPr>
            <w:r>
              <w:t>p</w:t>
            </w:r>
            <w:r w:rsidR="005B2A97">
              <w:t xml:space="preserve">rocessing </w:t>
            </w:r>
            <w:r w:rsidR="004A67E0">
              <w:t>a</w:t>
            </w:r>
            <w:r w:rsidR="005B2A97">
              <w:t xml:space="preserve"> change to the current F</w:t>
            </w:r>
            <w:r w:rsidR="00810274">
              <w:t xml:space="preserve">ormula </w:t>
            </w:r>
            <w:r w:rsidR="005B2A97">
              <w:t>Y</w:t>
            </w:r>
            <w:r w:rsidR="00810274">
              <w:t xml:space="preserve">ear </w:t>
            </w:r>
            <w:r w:rsidR="005B2A97">
              <w:t>AQ</w:t>
            </w:r>
            <w:r w:rsidR="004A67E0">
              <w:t xml:space="preserve"> where it is impacted</w:t>
            </w:r>
          </w:p>
          <w:p w14:paraId="2645524E" w14:textId="7CCB651C" w:rsidR="001D3BD1" w:rsidRDefault="001D3BD1" w:rsidP="001D3BD1"/>
          <w:p w14:paraId="3663CD70" w14:textId="42F7A194" w:rsidR="002B0CEE" w:rsidRDefault="006C4ABF" w:rsidP="00E94D1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35F8C2" wp14:editId="001E8BA6">
                  <wp:extent cx="3781959" cy="817319"/>
                  <wp:effectExtent l="0" t="0" r="9525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675" cy="829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4B0C46" w14:textId="77777777" w:rsidR="005B2A97" w:rsidRDefault="005B2A97" w:rsidP="005B2A97"/>
          <w:p w14:paraId="71301220" w14:textId="29480D16" w:rsidR="005B2A97" w:rsidRDefault="0049120A" w:rsidP="005B2A97">
            <w:r>
              <w:t>T</w:t>
            </w:r>
            <w:r w:rsidR="005B2A97">
              <w:t>he S</w:t>
            </w:r>
            <w:r w:rsidR="00AB1749">
              <w:t xml:space="preserve">upply </w:t>
            </w:r>
            <w:r w:rsidR="005B2A97">
              <w:t>M</w:t>
            </w:r>
            <w:r w:rsidR="00AB1749">
              <w:t xml:space="preserve">eter </w:t>
            </w:r>
            <w:r w:rsidR="005B2A97">
              <w:t>P</w:t>
            </w:r>
            <w:r w:rsidR="00AB1749">
              <w:t xml:space="preserve">oint Rolling </w:t>
            </w:r>
            <w:r w:rsidR="005B2A97">
              <w:t xml:space="preserve">AQ will </w:t>
            </w:r>
            <w:r w:rsidR="00053EBF">
              <w:t xml:space="preserve">be </w:t>
            </w:r>
            <w:r w:rsidR="00201791">
              <w:t>calculated in line with as is process following the receipt of the next qualifying read.</w:t>
            </w:r>
          </w:p>
          <w:p w14:paraId="08597FBE" w14:textId="02BCF5D0" w:rsidR="002436E4" w:rsidRDefault="002436E4" w:rsidP="002436E4"/>
          <w:p w14:paraId="261E36DC" w14:textId="6F54053C" w:rsidR="000939F0" w:rsidRDefault="00214F33" w:rsidP="002436E4">
            <w:r>
              <w:t>Volume periods</w:t>
            </w:r>
            <w:r w:rsidR="000A7AF8">
              <w:t xml:space="preserve"> that may have been calculated incorrectly previously </w:t>
            </w:r>
            <w:r w:rsidR="00250A4F">
              <w:t>will be e</w:t>
            </w:r>
            <w:r w:rsidR="0088361F">
              <w:t>xcl</w:t>
            </w:r>
            <w:r w:rsidR="00250A4F">
              <w:t xml:space="preserve">uded from having </w:t>
            </w:r>
            <w:r w:rsidR="000939F0">
              <w:t>an historic volume corrected where</w:t>
            </w:r>
            <w:r w:rsidR="00D1672D">
              <w:t>:</w:t>
            </w:r>
          </w:p>
          <w:p w14:paraId="4FD5009C" w14:textId="1BEE7757" w:rsidR="00356064" w:rsidRDefault="001F4DC8" w:rsidP="009D0F27">
            <w:pPr>
              <w:pStyle w:val="ListParagraph"/>
              <w:numPr>
                <w:ilvl w:val="0"/>
                <w:numId w:val="7"/>
              </w:numPr>
            </w:pPr>
            <w:r>
              <w:t xml:space="preserve">A </w:t>
            </w:r>
            <w:r w:rsidR="005E15D8">
              <w:t xml:space="preserve">subsequent </w:t>
            </w:r>
            <w:r w:rsidR="00055904">
              <w:t>check to check</w:t>
            </w:r>
            <w:r w:rsidR="00097B54">
              <w:t xml:space="preserve"> </w:t>
            </w:r>
            <w:r w:rsidR="00812AFB">
              <w:t xml:space="preserve">reconciliation has been performed </w:t>
            </w:r>
            <w:r w:rsidR="00E4420A">
              <w:t>and spans the potentially incorrect period</w:t>
            </w:r>
            <w:r w:rsidR="00356064">
              <w:t xml:space="preserve"> </w:t>
            </w:r>
          </w:p>
          <w:p w14:paraId="47C2D42E" w14:textId="3608952E" w:rsidR="0064396F" w:rsidRDefault="0003084E" w:rsidP="009D0F27">
            <w:pPr>
              <w:pStyle w:val="ListParagraph"/>
              <w:numPr>
                <w:ilvl w:val="0"/>
                <w:numId w:val="7"/>
              </w:numPr>
            </w:pPr>
            <w:r>
              <w:t xml:space="preserve">A </w:t>
            </w:r>
            <w:r w:rsidR="00356064">
              <w:t xml:space="preserve">Consumption Adjustment </w:t>
            </w:r>
            <w:r>
              <w:t xml:space="preserve">has already been applied for the </w:t>
            </w:r>
            <w:r w:rsidR="00E4420A">
              <w:t xml:space="preserve">affected </w:t>
            </w:r>
            <w:r w:rsidR="0064396F">
              <w:t>period</w:t>
            </w:r>
          </w:p>
          <w:p w14:paraId="4C52832F" w14:textId="2934F8C1" w:rsidR="0064396F" w:rsidRDefault="0064396F" w:rsidP="009D0F27">
            <w:pPr>
              <w:pStyle w:val="ListParagraph"/>
              <w:numPr>
                <w:ilvl w:val="0"/>
                <w:numId w:val="7"/>
              </w:numPr>
            </w:pPr>
            <w:r>
              <w:t>The read, creating the in</w:t>
            </w:r>
            <w:r w:rsidR="009F4239">
              <w:t>c</w:t>
            </w:r>
            <w:r>
              <w:t>orrect volume, has</w:t>
            </w:r>
            <w:r w:rsidR="00D2428E">
              <w:t xml:space="preserve"> since</w:t>
            </w:r>
            <w:r>
              <w:t xml:space="preserve"> been replaced</w:t>
            </w:r>
          </w:p>
          <w:p w14:paraId="3EDCC93E" w14:textId="57CC1F67" w:rsidR="0039010A" w:rsidRDefault="0039010A" w:rsidP="00E94D12">
            <w:pPr>
              <w:ind w:left="60"/>
              <w:rPr>
                <w:rFonts w:cs="Arial"/>
              </w:rPr>
            </w:pPr>
          </w:p>
        </w:tc>
      </w:tr>
    </w:tbl>
    <w:p w14:paraId="0FB81564" w14:textId="77777777" w:rsidR="00550D2B" w:rsidRDefault="00B93E89">
      <w:pPr>
        <w:pStyle w:val="Heading1"/>
      </w:pPr>
      <w:r>
        <w:lastRenderedPageBreak/>
        <w:t>G6: Associated Changes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1648C8" w14:paraId="771A8B54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24194977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Associated Change(s) and Title(s):</w:t>
            </w:r>
          </w:p>
        </w:tc>
        <w:tc>
          <w:tcPr>
            <w:tcW w:w="3777" w:type="pct"/>
            <w:vAlign w:val="center"/>
          </w:tcPr>
          <w:p w14:paraId="79240D2E" w14:textId="77777777" w:rsidR="00550D2B" w:rsidRDefault="00B93E89">
            <w:pPr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</w:tr>
    </w:tbl>
    <w:p w14:paraId="50600BD4" w14:textId="77777777" w:rsidR="00550D2B" w:rsidRDefault="00B93E89">
      <w:pPr>
        <w:pStyle w:val="Heading1"/>
      </w:pPr>
      <w:r>
        <w:t>G7: DSG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1648C8" w14:paraId="3A9A7752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0FB296AA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Target DSG discussion date:</w:t>
            </w:r>
          </w:p>
        </w:tc>
        <w:tc>
          <w:tcPr>
            <w:tcW w:w="3777" w:type="pct"/>
            <w:vAlign w:val="center"/>
          </w:tcPr>
          <w:p w14:paraId="514AB8A5" w14:textId="36163E32" w:rsidR="00550D2B" w:rsidRDefault="00E67A73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983489">
              <w:rPr>
                <w:rFonts w:cs="Arial"/>
              </w:rPr>
              <w:t>4</w:t>
            </w:r>
            <w:r w:rsidR="00983489" w:rsidRPr="00983489">
              <w:rPr>
                <w:rFonts w:cs="Arial"/>
                <w:vertAlign w:val="superscript"/>
              </w:rPr>
              <w:t>th</w:t>
            </w:r>
            <w:r w:rsidR="00983489">
              <w:rPr>
                <w:rFonts w:cs="Arial"/>
              </w:rPr>
              <w:t xml:space="preserve"> May</w:t>
            </w:r>
            <w:r>
              <w:rPr>
                <w:rFonts w:cs="Arial"/>
              </w:rPr>
              <w:t xml:space="preserve"> 2021</w:t>
            </w:r>
          </w:p>
        </w:tc>
      </w:tr>
      <w:tr w:rsidR="001648C8" w14:paraId="5125D5BB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52E05569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Any further information:</w:t>
            </w:r>
          </w:p>
        </w:tc>
        <w:tc>
          <w:tcPr>
            <w:tcW w:w="3777" w:type="pct"/>
            <w:vAlign w:val="center"/>
          </w:tcPr>
          <w:p w14:paraId="63026BB4" w14:textId="77777777" w:rsidR="003C07F5" w:rsidRDefault="003C07F5">
            <w:pPr>
              <w:rPr>
                <w:rFonts w:cs="Arial"/>
              </w:rPr>
            </w:pPr>
          </w:p>
          <w:p w14:paraId="40C3A511" w14:textId="4D76F840" w:rsidR="00550D2B" w:rsidRDefault="00E66DF6">
            <w:pPr>
              <w:rPr>
                <w:rFonts w:cs="Arial"/>
              </w:rPr>
            </w:pPr>
            <w:r w:rsidRPr="00E66DF6">
              <w:rPr>
                <w:rFonts w:cs="Arial"/>
              </w:rPr>
              <w:t xml:space="preserve">As </w:t>
            </w:r>
            <w:r w:rsidR="005E50B6">
              <w:rPr>
                <w:rFonts w:cs="Arial"/>
              </w:rPr>
              <w:t xml:space="preserve">this </w:t>
            </w:r>
            <w:r w:rsidRPr="00E66DF6">
              <w:rPr>
                <w:rFonts w:cs="Arial"/>
              </w:rPr>
              <w:t>change pack is for information discussion at DSG is for clarification purposes only and will not seek any recommendations</w:t>
            </w:r>
          </w:p>
          <w:p w14:paraId="03398812" w14:textId="6EEACCE7" w:rsidR="003C07F5" w:rsidRDefault="003C07F5">
            <w:pPr>
              <w:rPr>
                <w:rFonts w:cs="Arial"/>
              </w:rPr>
            </w:pPr>
          </w:p>
        </w:tc>
      </w:tr>
    </w:tbl>
    <w:p w14:paraId="338553CF" w14:textId="77777777" w:rsidR="00550D2B" w:rsidRDefault="00B93E89">
      <w:pPr>
        <w:pStyle w:val="Heading1"/>
      </w:pPr>
      <w:r>
        <w:lastRenderedPageBreak/>
        <w:t>G8: Implementation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1648C8" w14:paraId="21BCBF68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1CECF3C2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Target Release:</w:t>
            </w:r>
          </w:p>
        </w:tc>
        <w:tc>
          <w:tcPr>
            <w:tcW w:w="3777" w:type="pct"/>
            <w:vAlign w:val="center"/>
          </w:tcPr>
          <w:p w14:paraId="49501EDC" w14:textId="50386048" w:rsidR="00550D2B" w:rsidRDefault="00506293">
            <w:pPr>
              <w:rPr>
                <w:rFonts w:cs="Arial"/>
              </w:rPr>
            </w:pPr>
            <w:r>
              <w:rPr>
                <w:rFonts w:cs="Arial"/>
              </w:rPr>
              <w:t>November 2021</w:t>
            </w:r>
          </w:p>
        </w:tc>
      </w:tr>
      <w:tr w:rsidR="001648C8" w14:paraId="588E1F17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107B852" w14:textId="77777777" w:rsidR="00550D2B" w:rsidRDefault="00B93E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Status:</w:t>
            </w:r>
          </w:p>
        </w:tc>
        <w:tc>
          <w:tcPr>
            <w:tcW w:w="3777" w:type="pct"/>
            <w:vAlign w:val="center"/>
          </w:tcPr>
          <w:p w14:paraId="0036FCD5" w14:textId="77777777" w:rsidR="00550D2B" w:rsidRDefault="00B93E89">
            <w:pPr>
              <w:rPr>
                <w:rFonts w:cs="Arial"/>
              </w:rPr>
            </w:pPr>
            <w:r>
              <w:rPr>
                <w:rFonts w:cs="Arial"/>
              </w:rPr>
              <w:t>Approved</w:t>
            </w:r>
          </w:p>
        </w:tc>
      </w:tr>
    </w:tbl>
    <w:p w14:paraId="5F4B9989" w14:textId="77777777" w:rsidR="00550D2B" w:rsidRDefault="00550D2B"/>
    <w:p w14:paraId="724DFF5F" w14:textId="77777777" w:rsidR="00550D2B" w:rsidRDefault="00550D2B"/>
    <w:p w14:paraId="354AE137" w14:textId="656731A2" w:rsidR="00E22A73" w:rsidRDefault="00B93E89">
      <w:r>
        <w:t xml:space="preserve">Please see the following page for representation comments template; responses to </w:t>
      </w:r>
      <w:hyperlink r:id="rId33">
        <w:r>
          <w:rPr>
            <w:rStyle w:val="Hyperlink"/>
          </w:rPr>
          <w:t>uklink@xoserve.com</w:t>
        </w:r>
      </w:hyperlink>
      <w:r>
        <w:t xml:space="preserve"> </w:t>
      </w:r>
    </w:p>
    <w:p w14:paraId="42E7F6FB" w14:textId="77777777" w:rsidR="00E22A73" w:rsidRDefault="00E22A73">
      <w:r>
        <w:br w:type="page"/>
      </w:r>
    </w:p>
    <w:p w14:paraId="72D93AED" w14:textId="77777777" w:rsidR="00F25206" w:rsidRDefault="00F25206" w:rsidP="00F25206">
      <w:pPr>
        <w:pStyle w:val="Title"/>
      </w:pPr>
      <w:r>
        <w:lastRenderedPageBreak/>
        <w:t>Section H: Representation Response</w:t>
      </w:r>
    </w:p>
    <w:p w14:paraId="12B69BC6" w14:textId="77777777" w:rsidR="00F25206" w:rsidRDefault="00F25206" w:rsidP="00F25206">
      <w:r>
        <w:rPr>
          <w:noProof/>
        </w:rPr>
        <w:fldChar w:fldCharType="begin"/>
      </w:r>
      <w:r>
        <w:rPr>
          <w:noProof/>
        </w:rPr>
        <w:instrText xml:space="preserve"> MERGEFIELD  RangeStart:HDS  \* MERGEFORMAT </w:instrText>
      </w:r>
      <w:r>
        <w:rPr>
          <w:noProof/>
        </w:rPr>
        <w:fldChar w:fldCharType="separate"/>
      </w:r>
      <w:r>
        <w:rPr>
          <w:noProof/>
        </w:rPr>
        <w:t>«RangeStart:HDS»</w:t>
      </w:r>
      <w:r>
        <w:rPr>
          <w:noProof/>
        </w:rPr>
        <w:fldChar w:fldCharType="end"/>
      </w:r>
      <w:r>
        <w:br/>
      </w:r>
      <w:r>
        <w:br/>
      </w:r>
      <w:r>
        <w:rPr>
          <w:rStyle w:val="Heading1Char"/>
        </w:rPr>
        <w:t>H1: Change Representation</w:t>
      </w:r>
      <w:r>
        <w:t xml:space="preserve"> </w:t>
      </w:r>
    </w:p>
    <w:p w14:paraId="0282B035" w14:textId="77777777" w:rsidR="00F25206" w:rsidRDefault="00F25206" w:rsidP="00F25206">
      <w:r>
        <w:t>(To be completed by User and returned for response)</w:t>
      </w:r>
    </w:p>
    <w:tbl>
      <w:tblPr>
        <w:tblStyle w:val="TableGrid"/>
        <w:tblW w:w="5000" w:type="pct"/>
        <w:tblInd w:w="-34" w:type="dxa"/>
        <w:tblLook w:val="04A0" w:firstRow="1" w:lastRow="0" w:firstColumn="1" w:lastColumn="0" w:noHBand="0" w:noVBand="1"/>
      </w:tblPr>
      <w:tblGrid>
        <w:gridCol w:w="2205"/>
        <w:gridCol w:w="1654"/>
        <w:gridCol w:w="965"/>
        <w:gridCol w:w="4192"/>
      </w:tblGrid>
      <w:tr w:rsidR="00F25206" w14:paraId="24B732C2" w14:textId="77777777" w:rsidTr="00DC5A57">
        <w:trPr>
          <w:trHeight w:val="403"/>
        </w:trPr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AAE9A59" w14:textId="77777777" w:rsidR="00F25206" w:rsidRDefault="00F25206" w:rsidP="00DC5A5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User Contact Details: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76431E9" w14:textId="77777777" w:rsidR="00F25206" w:rsidRDefault="00F25206" w:rsidP="00DC5A5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Organisation: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7F80" w14:textId="77777777" w:rsidR="00F25206" w:rsidRDefault="00F25206" w:rsidP="00DC5A5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h1_organisation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«h1_organisation»</w:t>
            </w:r>
            <w:r>
              <w:rPr>
                <w:rFonts w:cs="Arial"/>
              </w:rPr>
              <w:fldChar w:fldCharType="end"/>
            </w:r>
          </w:p>
        </w:tc>
      </w:tr>
      <w:tr w:rsidR="00F25206" w14:paraId="1AE1FB42" w14:textId="77777777" w:rsidTr="00DC5A57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0D7A" w14:textId="77777777" w:rsidR="00F25206" w:rsidRDefault="00F25206" w:rsidP="00DC5A57">
            <w:pPr>
              <w:rPr>
                <w:rFonts w:cs="Aria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2C8C25C" w14:textId="77777777" w:rsidR="00F25206" w:rsidRDefault="00F25206" w:rsidP="00DC5A5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1060" w14:textId="77777777" w:rsidR="00F25206" w:rsidRDefault="00F25206" w:rsidP="00DC5A5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h1_name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«h1_name»</w:t>
            </w:r>
            <w:r>
              <w:rPr>
                <w:rFonts w:cs="Arial"/>
              </w:rPr>
              <w:fldChar w:fldCharType="end"/>
            </w:r>
          </w:p>
        </w:tc>
      </w:tr>
      <w:tr w:rsidR="00F25206" w14:paraId="17FA4C20" w14:textId="77777777" w:rsidTr="00DC5A57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D848" w14:textId="77777777" w:rsidR="00F25206" w:rsidRDefault="00F25206" w:rsidP="00DC5A57">
            <w:pPr>
              <w:rPr>
                <w:rFonts w:cs="Aria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6264309" w14:textId="77777777" w:rsidR="00F25206" w:rsidRDefault="00F25206" w:rsidP="00DC5A5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73EF" w14:textId="77777777" w:rsidR="00F25206" w:rsidRDefault="00F25206" w:rsidP="00DC5A5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h1_email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«h1_email»</w:t>
            </w:r>
            <w:r>
              <w:rPr>
                <w:rFonts w:cs="Arial"/>
              </w:rPr>
              <w:fldChar w:fldCharType="end"/>
            </w:r>
          </w:p>
        </w:tc>
      </w:tr>
      <w:tr w:rsidR="00F25206" w14:paraId="7901049E" w14:textId="77777777" w:rsidTr="00DC5A57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3938" w14:textId="77777777" w:rsidR="00F25206" w:rsidRDefault="00F25206" w:rsidP="00DC5A57">
            <w:pPr>
              <w:rPr>
                <w:rFonts w:cs="Aria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F6B1220" w14:textId="77777777" w:rsidR="00F25206" w:rsidRDefault="00F25206" w:rsidP="00DC5A5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Telephone: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4E56" w14:textId="77777777" w:rsidR="00F25206" w:rsidRDefault="00F25206" w:rsidP="00DC5A5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h1_telephone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«h1_telephone»</w:t>
            </w:r>
            <w:r>
              <w:rPr>
                <w:rFonts w:cs="Arial"/>
              </w:rPr>
              <w:fldChar w:fldCharType="end"/>
            </w:r>
          </w:p>
        </w:tc>
      </w:tr>
      <w:tr w:rsidR="00F25206" w14:paraId="43E46BBF" w14:textId="77777777" w:rsidTr="00DC5A57">
        <w:trPr>
          <w:trHeight w:val="403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71B1743" w14:textId="77777777" w:rsidR="00F25206" w:rsidRDefault="00F25206" w:rsidP="00DC5A5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Representation Status:</w:t>
            </w:r>
          </w:p>
        </w:tc>
        <w:tc>
          <w:tcPr>
            <w:tcW w:w="3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348A" w14:textId="77777777" w:rsidR="00F25206" w:rsidRDefault="00F25206" w:rsidP="00DC5A5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h1_userDataStatus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«h1_userDataStatus»</w:t>
            </w:r>
            <w:r>
              <w:rPr>
                <w:rFonts w:cs="Arial"/>
              </w:rPr>
              <w:fldChar w:fldCharType="end"/>
            </w:r>
          </w:p>
        </w:tc>
      </w:tr>
      <w:tr w:rsidR="00F25206" w14:paraId="3E53EEDB" w14:textId="77777777" w:rsidTr="00DC5A57">
        <w:trPr>
          <w:trHeight w:val="403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D066185" w14:textId="77777777" w:rsidR="00F25206" w:rsidRDefault="00F25206" w:rsidP="00DC5A5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Representation Publication:</w:t>
            </w:r>
          </w:p>
        </w:tc>
        <w:tc>
          <w:tcPr>
            <w:tcW w:w="3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EAB4" w14:textId="77777777" w:rsidR="00F25206" w:rsidRDefault="00F25206" w:rsidP="00DC5A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h1_consultation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«h1_consultation»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F25206" w14:paraId="77FAA318" w14:textId="77777777" w:rsidTr="00DC5A57">
        <w:trPr>
          <w:trHeight w:val="403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4FF1DE1" w14:textId="77777777" w:rsidR="00F25206" w:rsidRDefault="00F25206" w:rsidP="00DC5A5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Representation Comments:</w:t>
            </w:r>
          </w:p>
        </w:tc>
        <w:tc>
          <w:tcPr>
            <w:tcW w:w="3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FDCE" w14:textId="77777777" w:rsidR="00F25206" w:rsidRDefault="00F25206" w:rsidP="00DC5A5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h1_userDataComments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«h1_userDataComments»</w:t>
            </w:r>
            <w:r>
              <w:rPr>
                <w:rFonts w:cs="Arial"/>
              </w:rPr>
              <w:fldChar w:fldCharType="end"/>
            </w:r>
          </w:p>
        </w:tc>
      </w:tr>
      <w:tr w:rsidR="00F25206" w14:paraId="1B554DD7" w14:textId="77777777" w:rsidTr="00DC5A57">
        <w:trPr>
          <w:trHeight w:val="403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54FD90F" w14:textId="77777777" w:rsidR="00F25206" w:rsidRDefault="00F25206" w:rsidP="00DC5A5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Confirm Target Release Date?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12B4" w14:textId="77777777" w:rsidR="00F25206" w:rsidRDefault="00F25206" w:rsidP="00DC5A5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h1_targetDate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«h1_targetDate»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5FB4" w14:textId="77777777" w:rsidR="00F25206" w:rsidRDefault="00F25206" w:rsidP="00DC5A5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h1_userDataAlternative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«h1_userDataAlternative»</w:t>
            </w:r>
            <w:r>
              <w:rPr>
                <w:rFonts w:cs="Arial"/>
              </w:rPr>
              <w:fldChar w:fldCharType="end"/>
            </w:r>
          </w:p>
        </w:tc>
      </w:tr>
    </w:tbl>
    <w:p w14:paraId="3297F597" w14:textId="77777777" w:rsidR="00F25206" w:rsidRDefault="00F25206" w:rsidP="00F25206">
      <w:pPr>
        <w:rPr>
          <w:rFonts w:cstheme="minorBidi"/>
        </w:rPr>
      </w:pPr>
    </w:p>
    <w:p w14:paraId="0AB57C73" w14:textId="77777777" w:rsidR="00F25206" w:rsidRDefault="00F25206" w:rsidP="00F25206">
      <w:pPr>
        <w:pStyle w:val="Heading1"/>
      </w:pPr>
      <w:r>
        <w:t xml:space="preserve">H1: Xoserve’ s Response </w:t>
      </w:r>
    </w:p>
    <w:tbl>
      <w:tblPr>
        <w:tblStyle w:val="TableGrid"/>
        <w:tblW w:w="5000" w:type="pct"/>
        <w:tblInd w:w="-34" w:type="dxa"/>
        <w:tblLook w:val="04A0" w:firstRow="1" w:lastRow="0" w:firstColumn="1" w:lastColumn="0" w:noHBand="0" w:noVBand="1"/>
      </w:tblPr>
      <w:tblGrid>
        <w:gridCol w:w="2205"/>
        <w:gridCol w:w="6811"/>
      </w:tblGrid>
      <w:tr w:rsidR="00F25206" w14:paraId="410CD82E" w14:textId="77777777" w:rsidTr="00DC5A57">
        <w:trPr>
          <w:trHeight w:val="663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F73EC0A" w14:textId="77777777" w:rsidR="00F25206" w:rsidRDefault="00F25206" w:rsidP="00DC5A57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Xoserve Response to Organisations Comments: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388A" w14:textId="77777777" w:rsidR="00F25206" w:rsidRDefault="00F25206" w:rsidP="00DC5A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h1_xoserveResponse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«h1_xoserveResponse»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</w:tbl>
    <w:p w14:paraId="24CE3295" w14:textId="77777777" w:rsidR="00F25206" w:rsidRDefault="00F25206" w:rsidP="00F25206">
      <w:pPr>
        <w:rPr>
          <w:rFonts w:cstheme="minorBidi"/>
        </w:rPr>
      </w:pPr>
    </w:p>
    <w:p w14:paraId="157737C0" w14:textId="77777777" w:rsidR="00F25206" w:rsidRDefault="00F25206" w:rsidP="00F25206">
      <w:r>
        <w:t xml:space="preserve">Please send the completed representation response to </w:t>
      </w:r>
      <w:hyperlink r:id="rId34" w:history="1">
        <w:r>
          <w:rPr>
            <w:rStyle w:val="Hyperlink"/>
          </w:rPr>
          <w:t>uklink@xoserve.com</w:t>
        </w:r>
      </w:hyperlink>
      <w:r>
        <w:t xml:space="preserve"> </w:t>
      </w:r>
    </w:p>
    <w:p w14:paraId="19A28E61" w14:textId="77777777" w:rsidR="00F25206" w:rsidRDefault="00F25206" w:rsidP="00F25206"/>
    <w:p w14:paraId="0C3CD99C" w14:textId="77777777" w:rsidR="00F25206" w:rsidRDefault="00F25206" w:rsidP="00F25206">
      <w:r>
        <w:rPr>
          <w:noProof/>
        </w:rPr>
        <w:fldChar w:fldCharType="begin"/>
      </w:r>
      <w:r>
        <w:rPr>
          <w:noProof/>
        </w:rPr>
        <w:instrText xml:space="preserve"> MERGEFIELD  RangeEnd:HDS  \* MERGEFORMAT </w:instrText>
      </w:r>
      <w:r>
        <w:rPr>
          <w:noProof/>
        </w:rPr>
        <w:fldChar w:fldCharType="separate"/>
      </w:r>
      <w:r>
        <w:rPr>
          <w:noProof/>
        </w:rPr>
        <w:t>«RangeEnd:HDS»</w:t>
      </w:r>
      <w:r>
        <w:rPr>
          <w:noProof/>
        </w:rPr>
        <w:fldChar w:fldCharType="end"/>
      </w:r>
    </w:p>
    <w:p w14:paraId="21D78DCA" w14:textId="77777777" w:rsidR="00550D2B" w:rsidRDefault="00550D2B"/>
    <w:sectPr w:rsidR="00550D2B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A273D" w14:textId="77777777" w:rsidR="0022758E" w:rsidRDefault="0022758E">
      <w:pPr>
        <w:spacing w:after="0" w:line="240" w:lineRule="auto"/>
      </w:pPr>
      <w:r>
        <w:separator/>
      </w:r>
    </w:p>
  </w:endnote>
  <w:endnote w:type="continuationSeparator" w:id="0">
    <w:p w14:paraId="3E62330D" w14:textId="77777777" w:rsidR="0022758E" w:rsidRDefault="0022758E">
      <w:pPr>
        <w:spacing w:after="0" w:line="240" w:lineRule="auto"/>
      </w:pPr>
      <w:r>
        <w:continuationSeparator/>
      </w:r>
    </w:p>
  </w:endnote>
  <w:endnote w:type="continuationNotice" w:id="1">
    <w:p w14:paraId="296EE548" w14:textId="77777777" w:rsidR="0022758E" w:rsidRDefault="002275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7C5E" w14:textId="77777777" w:rsidR="00550D2B" w:rsidRDefault="00550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ACB66" w14:textId="77777777" w:rsidR="00550D2B" w:rsidRDefault="00B93E89">
    <w:pPr>
      <w:pStyle w:val="Footer"/>
    </w:pPr>
    <w:r>
      <w:t>CP</w: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AE4E904" wp14:editId="0ACC044A">
              <wp:simplePos x="0" y="0"/>
              <wp:positionH relativeFrom="column">
                <wp:posOffset>-914400</wp:posOffset>
              </wp:positionH>
              <wp:positionV relativeFrom="paragraph">
                <wp:posOffset>376555</wp:posOffset>
              </wp:positionV>
              <wp:extent cx="7562850" cy="257175"/>
              <wp:effectExtent l="0" t="0" r="0" b="9525"/>
              <wp:wrapNone/>
              <wp:docPr id="4" name="drawingObject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rgbClr val="40D1F5"/>
                      </a:solidFill>
                    </wps:spPr>
                    <wps:bodyPr vertOverflow="overflow" horzOverflow="overflow" vert="horz" lIns="91440" tIns="45720" rIns="91440" bIns="45720" anchor="ctr"/>
                  </wps:wsp>
                </a:graphicData>
              </a:graphic>
            </wp:anchor>
          </w:drawing>
        </mc:Choice>
        <mc:Fallback>
          <w:pict>
            <v:rect w14:anchorId="400947B8" id="drawingObject4" o:spid="_x0000_s1026" style="position:absolute;margin-left:-1in;margin-top:29.65pt;width:595.5pt;height:20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" fillcolor="#40d1f5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8A17E" w14:textId="77777777" w:rsidR="00550D2B" w:rsidRDefault="00550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16B3C" w14:textId="77777777" w:rsidR="0022758E" w:rsidRDefault="0022758E">
      <w:pPr>
        <w:spacing w:after="0" w:line="240" w:lineRule="auto"/>
      </w:pPr>
      <w:r>
        <w:separator/>
      </w:r>
    </w:p>
  </w:footnote>
  <w:footnote w:type="continuationSeparator" w:id="0">
    <w:p w14:paraId="5BEAFA5F" w14:textId="77777777" w:rsidR="0022758E" w:rsidRDefault="0022758E">
      <w:pPr>
        <w:spacing w:after="0" w:line="240" w:lineRule="auto"/>
      </w:pPr>
      <w:r>
        <w:continuationSeparator/>
      </w:r>
    </w:p>
  </w:footnote>
  <w:footnote w:type="continuationNotice" w:id="1">
    <w:p w14:paraId="2808B68E" w14:textId="77777777" w:rsidR="0022758E" w:rsidRDefault="002275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BA1B5" w14:textId="77777777" w:rsidR="00550D2B" w:rsidRDefault="00550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0EFFF" w14:textId="77777777" w:rsidR="00550D2B" w:rsidRDefault="00B93E89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54AA281" wp14:editId="1B48E005">
          <wp:simplePos x="0" y="0"/>
          <wp:positionH relativeFrom="column">
            <wp:posOffset>3743325</wp:posOffset>
          </wp:positionH>
          <wp:positionV relativeFrom="paragraph">
            <wp:posOffset>-70485</wp:posOffset>
          </wp:positionV>
          <wp:extent cx="2066926" cy="325750"/>
          <wp:effectExtent l="0" t="0" r="0" b="0"/>
          <wp:wrapNone/>
          <wp:docPr id="1" name="drawingObjec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2066926" cy="32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C6D949" wp14:editId="488AAB92">
              <wp:simplePos x="0" y="0"/>
              <wp:positionH relativeFrom="column">
                <wp:posOffset>-914400</wp:posOffset>
              </wp:positionH>
              <wp:positionV relativeFrom="paragraph">
                <wp:posOffset>-487681</wp:posOffset>
              </wp:positionV>
              <wp:extent cx="7562850" cy="257175"/>
              <wp:effectExtent l="0" t="0" r="0" b="9525"/>
              <wp:wrapNone/>
              <wp:docPr id="3" name="drawingObject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rgbClr val="3E5AA8"/>
                      </a:solidFill>
                    </wps:spPr>
                    <wps:bodyPr vertOverflow="overflow" horzOverflow="overflow" vert="horz" lIns="91440" tIns="45720" rIns="91440" bIns="45720" anchor="ctr"/>
                  </wps:wsp>
                </a:graphicData>
              </a:graphic>
            </wp:anchor>
          </w:drawing>
        </mc:Choice>
        <mc:Fallback>
          <w:pict>
            <v:rect w14:anchorId="757175C8" id="drawingObject3" o:spid="_x0000_s1026" style="position:absolute;margin-left:-1in;margin-top:-38.4pt;width:595.5pt;height:2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" fillcolor="#3e5aa8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68B09" w14:textId="77777777" w:rsidR="00550D2B" w:rsidRDefault="00550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954FD"/>
    <w:multiLevelType w:val="hybridMultilevel"/>
    <w:tmpl w:val="8EB64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06BBA"/>
    <w:multiLevelType w:val="hybridMultilevel"/>
    <w:tmpl w:val="08CA81DC"/>
    <w:name w:val="Style40"/>
    <w:styleLink w:val="Style40"/>
    <w:lvl w:ilvl="0" w:tplc="46F215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04AE5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25A4F0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1A205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65A46C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A82C132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22AF1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756973E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5D0A30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C5691"/>
    <w:multiLevelType w:val="hybridMultilevel"/>
    <w:tmpl w:val="56009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959FE"/>
    <w:multiLevelType w:val="hybridMultilevel"/>
    <w:tmpl w:val="07046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462F4"/>
    <w:multiLevelType w:val="hybridMultilevel"/>
    <w:tmpl w:val="04301D80"/>
    <w:name w:val="Style401"/>
    <w:styleLink w:val="Style401"/>
    <w:lvl w:ilvl="0" w:tplc="2C007F40">
      <w:start w:val="1"/>
      <w:numFmt w:val="decimal"/>
      <w:lvlText w:val="%1."/>
      <w:lvlJc w:val="left"/>
      <w:pPr>
        <w:ind w:left="720" w:hanging="360"/>
      </w:pPr>
    </w:lvl>
    <w:lvl w:ilvl="1" w:tplc="38AA30B4">
      <w:start w:val="1"/>
      <w:numFmt w:val="lowerLetter"/>
      <w:lvlText w:val="%2)"/>
      <w:lvlJc w:val="left"/>
      <w:pPr>
        <w:ind w:left="1440" w:hanging="360"/>
      </w:pPr>
    </w:lvl>
    <w:lvl w:ilvl="2" w:tplc="B3289526">
      <w:start w:val="1"/>
      <w:numFmt w:val="lowerRoman"/>
      <w:lvlText w:val="%3."/>
      <w:lvlJc w:val="right"/>
      <w:pPr>
        <w:ind w:left="2160" w:hanging="180"/>
      </w:pPr>
    </w:lvl>
    <w:lvl w:ilvl="3" w:tplc="73D65BCA">
      <w:start w:val="1"/>
      <w:numFmt w:val="decimal"/>
      <w:lvlText w:val="%4."/>
      <w:lvlJc w:val="left"/>
      <w:pPr>
        <w:ind w:left="2880" w:hanging="360"/>
      </w:pPr>
    </w:lvl>
    <w:lvl w:ilvl="4" w:tplc="DBB8C7C2">
      <w:start w:val="1"/>
      <w:numFmt w:val="lowerLetter"/>
      <w:lvlText w:val="%5."/>
      <w:lvlJc w:val="left"/>
      <w:pPr>
        <w:ind w:left="3600" w:hanging="360"/>
      </w:pPr>
    </w:lvl>
    <w:lvl w:ilvl="5" w:tplc="D2BAD28E">
      <w:start w:val="1"/>
      <w:numFmt w:val="lowerRoman"/>
      <w:lvlText w:val="%6."/>
      <w:lvlJc w:val="right"/>
      <w:pPr>
        <w:ind w:left="4320" w:hanging="180"/>
      </w:pPr>
    </w:lvl>
    <w:lvl w:ilvl="6" w:tplc="18E0C48A">
      <w:start w:val="1"/>
      <w:numFmt w:val="decimal"/>
      <w:lvlText w:val="%7."/>
      <w:lvlJc w:val="left"/>
      <w:pPr>
        <w:ind w:left="5040" w:hanging="360"/>
      </w:pPr>
    </w:lvl>
    <w:lvl w:ilvl="7" w:tplc="8C8665F0">
      <w:start w:val="1"/>
      <w:numFmt w:val="lowerLetter"/>
      <w:lvlText w:val="%8."/>
      <w:lvlJc w:val="left"/>
      <w:pPr>
        <w:ind w:left="5760" w:hanging="360"/>
      </w:pPr>
    </w:lvl>
    <w:lvl w:ilvl="8" w:tplc="04CAFCF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03D39"/>
    <w:multiLevelType w:val="hybridMultilevel"/>
    <w:tmpl w:val="6826FBF6"/>
    <w:lvl w:ilvl="0" w:tplc="C2B66E8C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3C0366A"/>
    <w:multiLevelType w:val="hybridMultilevel"/>
    <w:tmpl w:val="5FF48E2C"/>
    <w:name w:val="Style402"/>
    <w:styleLink w:val="Style402"/>
    <w:lvl w:ilvl="0" w:tplc="D116DB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3EE12C">
      <w:start w:val="1"/>
      <w:numFmt w:val="lowerLetter"/>
      <w:lvlText w:val="%2."/>
      <w:lvlJc w:val="left"/>
      <w:pPr>
        <w:ind w:left="1440" w:hanging="360"/>
      </w:pPr>
    </w:lvl>
    <w:lvl w:ilvl="2" w:tplc="DD6AB3C6">
      <w:start w:val="1"/>
      <w:numFmt w:val="lowerRoman"/>
      <w:lvlText w:val="%3."/>
      <w:lvlJc w:val="right"/>
      <w:pPr>
        <w:ind w:left="2160" w:hanging="180"/>
      </w:pPr>
    </w:lvl>
    <w:lvl w:ilvl="3" w:tplc="57942BA2">
      <w:start w:val="1"/>
      <w:numFmt w:val="decimal"/>
      <w:lvlText w:val="%4."/>
      <w:lvlJc w:val="left"/>
      <w:pPr>
        <w:ind w:left="2880" w:hanging="360"/>
      </w:pPr>
    </w:lvl>
    <w:lvl w:ilvl="4" w:tplc="6A5CBCA8">
      <w:start w:val="1"/>
      <w:numFmt w:val="lowerLetter"/>
      <w:lvlText w:val="%5."/>
      <w:lvlJc w:val="left"/>
      <w:pPr>
        <w:ind w:left="3600" w:hanging="360"/>
      </w:pPr>
    </w:lvl>
    <w:lvl w:ilvl="5" w:tplc="0AB4DAA4">
      <w:start w:val="1"/>
      <w:numFmt w:val="lowerRoman"/>
      <w:lvlText w:val="%6."/>
      <w:lvlJc w:val="right"/>
      <w:pPr>
        <w:ind w:left="4320" w:hanging="180"/>
      </w:pPr>
    </w:lvl>
    <w:lvl w:ilvl="6" w:tplc="8326BC44">
      <w:start w:val="1"/>
      <w:numFmt w:val="decimal"/>
      <w:lvlText w:val="%7."/>
      <w:lvlJc w:val="left"/>
      <w:pPr>
        <w:ind w:left="5040" w:hanging="360"/>
      </w:pPr>
    </w:lvl>
    <w:lvl w:ilvl="7" w:tplc="FD847DCA">
      <w:start w:val="1"/>
      <w:numFmt w:val="lowerLetter"/>
      <w:lvlText w:val="%8."/>
      <w:lvlJc w:val="left"/>
      <w:pPr>
        <w:ind w:left="5760" w:hanging="360"/>
      </w:pPr>
    </w:lvl>
    <w:lvl w:ilvl="8" w:tplc="3CFE608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12412"/>
    <w:multiLevelType w:val="hybridMultilevel"/>
    <w:tmpl w:val="158277E0"/>
    <w:lvl w:ilvl="0" w:tplc="160666C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97203D26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3BCC73B8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DF86A33C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B3F2C6A8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9D148BA0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0D28148A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55F2BB2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35F0A6CA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02A4BC1"/>
    <w:multiLevelType w:val="hybridMultilevel"/>
    <w:tmpl w:val="D4729FEC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6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B"/>
    <w:rsid w:val="0000774A"/>
    <w:rsid w:val="000100DA"/>
    <w:rsid w:val="00012353"/>
    <w:rsid w:val="00012848"/>
    <w:rsid w:val="000138B2"/>
    <w:rsid w:val="00013BB7"/>
    <w:rsid w:val="0001666D"/>
    <w:rsid w:val="00016A58"/>
    <w:rsid w:val="00020BA0"/>
    <w:rsid w:val="00020ED8"/>
    <w:rsid w:val="000239CF"/>
    <w:rsid w:val="00026095"/>
    <w:rsid w:val="00030435"/>
    <w:rsid w:val="0003084E"/>
    <w:rsid w:val="00031C4F"/>
    <w:rsid w:val="00032387"/>
    <w:rsid w:val="00034EAB"/>
    <w:rsid w:val="00034F89"/>
    <w:rsid w:val="00035034"/>
    <w:rsid w:val="00040223"/>
    <w:rsid w:val="00041B4C"/>
    <w:rsid w:val="0004280D"/>
    <w:rsid w:val="000443C4"/>
    <w:rsid w:val="00044C22"/>
    <w:rsid w:val="00045626"/>
    <w:rsid w:val="00046579"/>
    <w:rsid w:val="00047C61"/>
    <w:rsid w:val="00053EBF"/>
    <w:rsid w:val="00055904"/>
    <w:rsid w:val="00060644"/>
    <w:rsid w:val="000613AB"/>
    <w:rsid w:val="0006165C"/>
    <w:rsid w:val="000622F5"/>
    <w:rsid w:val="00066B4F"/>
    <w:rsid w:val="00067670"/>
    <w:rsid w:val="00071C17"/>
    <w:rsid w:val="000738E2"/>
    <w:rsid w:val="00075053"/>
    <w:rsid w:val="00077484"/>
    <w:rsid w:val="000778A8"/>
    <w:rsid w:val="00083525"/>
    <w:rsid w:val="00083579"/>
    <w:rsid w:val="00084198"/>
    <w:rsid w:val="00084CC2"/>
    <w:rsid w:val="00084D6C"/>
    <w:rsid w:val="00085C5B"/>
    <w:rsid w:val="0009058E"/>
    <w:rsid w:val="0009260E"/>
    <w:rsid w:val="00092AE3"/>
    <w:rsid w:val="000939F0"/>
    <w:rsid w:val="00095FAE"/>
    <w:rsid w:val="00097588"/>
    <w:rsid w:val="00097B54"/>
    <w:rsid w:val="000A0BC6"/>
    <w:rsid w:val="000A1218"/>
    <w:rsid w:val="000A19B6"/>
    <w:rsid w:val="000A1CB8"/>
    <w:rsid w:val="000A22D1"/>
    <w:rsid w:val="000A3024"/>
    <w:rsid w:val="000A35D4"/>
    <w:rsid w:val="000A4CDF"/>
    <w:rsid w:val="000A6C4F"/>
    <w:rsid w:val="000A7382"/>
    <w:rsid w:val="000A7836"/>
    <w:rsid w:val="000A7AF8"/>
    <w:rsid w:val="000B0C95"/>
    <w:rsid w:val="000B2086"/>
    <w:rsid w:val="000B4888"/>
    <w:rsid w:val="000B553F"/>
    <w:rsid w:val="000B5E59"/>
    <w:rsid w:val="000B6E10"/>
    <w:rsid w:val="000B73D4"/>
    <w:rsid w:val="000C082E"/>
    <w:rsid w:val="000C1BA2"/>
    <w:rsid w:val="000C293E"/>
    <w:rsid w:val="000C2A3E"/>
    <w:rsid w:val="000C2F5D"/>
    <w:rsid w:val="000C3B57"/>
    <w:rsid w:val="000C7207"/>
    <w:rsid w:val="000C7506"/>
    <w:rsid w:val="000C79A2"/>
    <w:rsid w:val="000D0654"/>
    <w:rsid w:val="000D20BC"/>
    <w:rsid w:val="000D26A7"/>
    <w:rsid w:val="000D2EA3"/>
    <w:rsid w:val="000D624B"/>
    <w:rsid w:val="000D7F4C"/>
    <w:rsid w:val="000E40DD"/>
    <w:rsid w:val="000E4561"/>
    <w:rsid w:val="000E5DA7"/>
    <w:rsid w:val="000E5FDE"/>
    <w:rsid w:val="000E66E9"/>
    <w:rsid w:val="000E6CD8"/>
    <w:rsid w:val="000E7A2D"/>
    <w:rsid w:val="000F355C"/>
    <w:rsid w:val="000F489A"/>
    <w:rsid w:val="000F6397"/>
    <w:rsid w:val="00100371"/>
    <w:rsid w:val="00103E6A"/>
    <w:rsid w:val="00104631"/>
    <w:rsid w:val="001065C6"/>
    <w:rsid w:val="00106B0C"/>
    <w:rsid w:val="00106E80"/>
    <w:rsid w:val="001077E5"/>
    <w:rsid w:val="00110284"/>
    <w:rsid w:val="001117B5"/>
    <w:rsid w:val="00113F1B"/>
    <w:rsid w:val="00114A73"/>
    <w:rsid w:val="00114CF8"/>
    <w:rsid w:val="00114F53"/>
    <w:rsid w:val="00116F7F"/>
    <w:rsid w:val="00120222"/>
    <w:rsid w:val="001209C8"/>
    <w:rsid w:val="00121B87"/>
    <w:rsid w:val="001225C4"/>
    <w:rsid w:val="001253A0"/>
    <w:rsid w:val="00131D54"/>
    <w:rsid w:val="00133A5F"/>
    <w:rsid w:val="00135E2E"/>
    <w:rsid w:val="0014017F"/>
    <w:rsid w:val="00142769"/>
    <w:rsid w:val="00143462"/>
    <w:rsid w:val="00143C4E"/>
    <w:rsid w:val="00143C99"/>
    <w:rsid w:val="001464C7"/>
    <w:rsid w:val="00147313"/>
    <w:rsid w:val="0015003B"/>
    <w:rsid w:val="00152963"/>
    <w:rsid w:val="00152BB4"/>
    <w:rsid w:val="001563EA"/>
    <w:rsid w:val="00157888"/>
    <w:rsid w:val="001605AB"/>
    <w:rsid w:val="00161D35"/>
    <w:rsid w:val="001648C8"/>
    <w:rsid w:val="00165E00"/>
    <w:rsid w:val="00174F47"/>
    <w:rsid w:val="001764E1"/>
    <w:rsid w:val="00176FD8"/>
    <w:rsid w:val="00177B88"/>
    <w:rsid w:val="00180448"/>
    <w:rsid w:val="001807BC"/>
    <w:rsid w:val="00180949"/>
    <w:rsid w:val="00181968"/>
    <w:rsid w:val="001821FC"/>
    <w:rsid w:val="001825F3"/>
    <w:rsid w:val="00183FB7"/>
    <w:rsid w:val="001841FF"/>
    <w:rsid w:val="001848C6"/>
    <w:rsid w:val="0018558E"/>
    <w:rsid w:val="001918BB"/>
    <w:rsid w:val="00192477"/>
    <w:rsid w:val="001950CE"/>
    <w:rsid w:val="0019744C"/>
    <w:rsid w:val="001A179B"/>
    <w:rsid w:val="001A1FBC"/>
    <w:rsid w:val="001A3A00"/>
    <w:rsid w:val="001A3D63"/>
    <w:rsid w:val="001A492B"/>
    <w:rsid w:val="001A4D20"/>
    <w:rsid w:val="001A5DD2"/>
    <w:rsid w:val="001B03B8"/>
    <w:rsid w:val="001B1793"/>
    <w:rsid w:val="001B2CD2"/>
    <w:rsid w:val="001B3DC6"/>
    <w:rsid w:val="001B514F"/>
    <w:rsid w:val="001B518F"/>
    <w:rsid w:val="001B61DD"/>
    <w:rsid w:val="001C0FE5"/>
    <w:rsid w:val="001C119B"/>
    <w:rsid w:val="001C66F1"/>
    <w:rsid w:val="001D2FD8"/>
    <w:rsid w:val="001D3BD1"/>
    <w:rsid w:val="001D5D5F"/>
    <w:rsid w:val="001D632E"/>
    <w:rsid w:val="001D760C"/>
    <w:rsid w:val="001D7657"/>
    <w:rsid w:val="001D7F42"/>
    <w:rsid w:val="001E0666"/>
    <w:rsid w:val="001E07EB"/>
    <w:rsid w:val="001E0A14"/>
    <w:rsid w:val="001E18C6"/>
    <w:rsid w:val="001E297B"/>
    <w:rsid w:val="001E4615"/>
    <w:rsid w:val="001E790E"/>
    <w:rsid w:val="001E7F0D"/>
    <w:rsid w:val="001F1820"/>
    <w:rsid w:val="001F24FB"/>
    <w:rsid w:val="001F3F4A"/>
    <w:rsid w:val="001F4101"/>
    <w:rsid w:val="001F4DC8"/>
    <w:rsid w:val="001F4E7F"/>
    <w:rsid w:val="00201336"/>
    <w:rsid w:val="00201791"/>
    <w:rsid w:val="0020290B"/>
    <w:rsid w:val="00204037"/>
    <w:rsid w:val="002108F9"/>
    <w:rsid w:val="00212163"/>
    <w:rsid w:val="00212B93"/>
    <w:rsid w:val="00212F18"/>
    <w:rsid w:val="00213599"/>
    <w:rsid w:val="00214F33"/>
    <w:rsid w:val="00216323"/>
    <w:rsid w:val="002201BF"/>
    <w:rsid w:val="002236A5"/>
    <w:rsid w:val="00224EF6"/>
    <w:rsid w:val="002252AF"/>
    <w:rsid w:val="00227103"/>
    <w:rsid w:val="0022758E"/>
    <w:rsid w:val="00230979"/>
    <w:rsid w:val="0023103D"/>
    <w:rsid w:val="002332A3"/>
    <w:rsid w:val="00233ED1"/>
    <w:rsid w:val="00235A1E"/>
    <w:rsid w:val="00237442"/>
    <w:rsid w:val="00241054"/>
    <w:rsid w:val="00241539"/>
    <w:rsid w:val="00241E18"/>
    <w:rsid w:val="002436E4"/>
    <w:rsid w:val="00245CFF"/>
    <w:rsid w:val="0024618A"/>
    <w:rsid w:val="00250A4F"/>
    <w:rsid w:val="00251772"/>
    <w:rsid w:val="00251D85"/>
    <w:rsid w:val="00251FC9"/>
    <w:rsid w:val="0025382F"/>
    <w:rsid w:val="00254120"/>
    <w:rsid w:val="00254E9B"/>
    <w:rsid w:val="002551C8"/>
    <w:rsid w:val="002602D1"/>
    <w:rsid w:val="00260E9A"/>
    <w:rsid w:val="00261754"/>
    <w:rsid w:val="002645B2"/>
    <w:rsid w:val="00266972"/>
    <w:rsid w:val="00266A96"/>
    <w:rsid w:val="002710AE"/>
    <w:rsid w:val="00271287"/>
    <w:rsid w:val="002723AB"/>
    <w:rsid w:val="00272AD8"/>
    <w:rsid w:val="00276015"/>
    <w:rsid w:val="00277834"/>
    <w:rsid w:val="0028018D"/>
    <w:rsid w:val="0028021E"/>
    <w:rsid w:val="00280EAF"/>
    <w:rsid w:val="00283906"/>
    <w:rsid w:val="00283C71"/>
    <w:rsid w:val="00284703"/>
    <w:rsid w:val="0028649D"/>
    <w:rsid w:val="002875EC"/>
    <w:rsid w:val="0029208D"/>
    <w:rsid w:val="00292520"/>
    <w:rsid w:val="00293966"/>
    <w:rsid w:val="00293DC7"/>
    <w:rsid w:val="00294135"/>
    <w:rsid w:val="0029437C"/>
    <w:rsid w:val="002945A7"/>
    <w:rsid w:val="002954D5"/>
    <w:rsid w:val="002957FD"/>
    <w:rsid w:val="00296988"/>
    <w:rsid w:val="00297778"/>
    <w:rsid w:val="002A3F0A"/>
    <w:rsid w:val="002A5A50"/>
    <w:rsid w:val="002A7189"/>
    <w:rsid w:val="002A7C96"/>
    <w:rsid w:val="002B0CEE"/>
    <w:rsid w:val="002B1200"/>
    <w:rsid w:val="002B43CC"/>
    <w:rsid w:val="002B6FCA"/>
    <w:rsid w:val="002C1203"/>
    <w:rsid w:val="002C1709"/>
    <w:rsid w:val="002C196A"/>
    <w:rsid w:val="002C21C2"/>
    <w:rsid w:val="002C2CB5"/>
    <w:rsid w:val="002C3DDA"/>
    <w:rsid w:val="002C4E83"/>
    <w:rsid w:val="002C7FE8"/>
    <w:rsid w:val="002D0A83"/>
    <w:rsid w:val="002D1763"/>
    <w:rsid w:val="002D2F32"/>
    <w:rsid w:val="002D535D"/>
    <w:rsid w:val="002D5D87"/>
    <w:rsid w:val="002D5F58"/>
    <w:rsid w:val="002D604E"/>
    <w:rsid w:val="002D61A7"/>
    <w:rsid w:val="002D6BDF"/>
    <w:rsid w:val="002E0892"/>
    <w:rsid w:val="002E0CBB"/>
    <w:rsid w:val="002E2CC9"/>
    <w:rsid w:val="002E3D31"/>
    <w:rsid w:val="002E4BDF"/>
    <w:rsid w:val="002E5CE6"/>
    <w:rsid w:val="002E60D6"/>
    <w:rsid w:val="002E614A"/>
    <w:rsid w:val="002E61BF"/>
    <w:rsid w:val="002E63E9"/>
    <w:rsid w:val="002E719F"/>
    <w:rsid w:val="002E7FB8"/>
    <w:rsid w:val="002F01B3"/>
    <w:rsid w:val="002F0591"/>
    <w:rsid w:val="002F1028"/>
    <w:rsid w:val="002F6116"/>
    <w:rsid w:val="002F7353"/>
    <w:rsid w:val="00301306"/>
    <w:rsid w:val="0030134B"/>
    <w:rsid w:val="00301BE5"/>
    <w:rsid w:val="003038A1"/>
    <w:rsid w:val="00304E4D"/>
    <w:rsid w:val="00305020"/>
    <w:rsid w:val="00305F56"/>
    <w:rsid w:val="0030606F"/>
    <w:rsid w:val="00306CFA"/>
    <w:rsid w:val="00306E58"/>
    <w:rsid w:val="003076E3"/>
    <w:rsid w:val="00307CF5"/>
    <w:rsid w:val="0031217C"/>
    <w:rsid w:val="0031346C"/>
    <w:rsid w:val="00313C01"/>
    <w:rsid w:val="00314526"/>
    <w:rsid w:val="00317942"/>
    <w:rsid w:val="0032075E"/>
    <w:rsid w:val="0032165A"/>
    <w:rsid w:val="0032298E"/>
    <w:rsid w:val="00323C7B"/>
    <w:rsid w:val="00327A81"/>
    <w:rsid w:val="003310AD"/>
    <w:rsid w:val="00333460"/>
    <w:rsid w:val="00333DD5"/>
    <w:rsid w:val="00333FDB"/>
    <w:rsid w:val="0033426D"/>
    <w:rsid w:val="00335530"/>
    <w:rsid w:val="00335A2E"/>
    <w:rsid w:val="00336A37"/>
    <w:rsid w:val="00341C10"/>
    <w:rsid w:val="00341CE7"/>
    <w:rsid w:val="00342632"/>
    <w:rsid w:val="00347803"/>
    <w:rsid w:val="003514FC"/>
    <w:rsid w:val="00351815"/>
    <w:rsid w:val="00351DF1"/>
    <w:rsid w:val="00353311"/>
    <w:rsid w:val="0035441E"/>
    <w:rsid w:val="0035475A"/>
    <w:rsid w:val="00356064"/>
    <w:rsid w:val="00360FA4"/>
    <w:rsid w:val="0036145E"/>
    <w:rsid w:val="0036346B"/>
    <w:rsid w:val="00363D73"/>
    <w:rsid w:val="00363E75"/>
    <w:rsid w:val="003658CD"/>
    <w:rsid w:val="00370526"/>
    <w:rsid w:val="0037174F"/>
    <w:rsid w:val="003776C2"/>
    <w:rsid w:val="00377D3E"/>
    <w:rsid w:val="003816C0"/>
    <w:rsid w:val="00381F7C"/>
    <w:rsid w:val="00382338"/>
    <w:rsid w:val="00382370"/>
    <w:rsid w:val="00383325"/>
    <w:rsid w:val="00384A1F"/>
    <w:rsid w:val="00385754"/>
    <w:rsid w:val="0038644E"/>
    <w:rsid w:val="0039010A"/>
    <w:rsid w:val="00391BDB"/>
    <w:rsid w:val="00394B6C"/>
    <w:rsid w:val="003A3CB3"/>
    <w:rsid w:val="003A4167"/>
    <w:rsid w:val="003A4F3D"/>
    <w:rsid w:val="003A7355"/>
    <w:rsid w:val="003A73F4"/>
    <w:rsid w:val="003A7BE7"/>
    <w:rsid w:val="003B0B0D"/>
    <w:rsid w:val="003B1402"/>
    <w:rsid w:val="003B39CA"/>
    <w:rsid w:val="003C07F5"/>
    <w:rsid w:val="003C0DFE"/>
    <w:rsid w:val="003C1D97"/>
    <w:rsid w:val="003C1F1F"/>
    <w:rsid w:val="003C2414"/>
    <w:rsid w:val="003C3011"/>
    <w:rsid w:val="003C3C7A"/>
    <w:rsid w:val="003C3EA6"/>
    <w:rsid w:val="003C59F3"/>
    <w:rsid w:val="003C6E5A"/>
    <w:rsid w:val="003D05D7"/>
    <w:rsid w:val="003D060F"/>
    <w:rsid w:val="003D13DD"/>
    <w:rsid w:val="003D3111"/>
    <w:rsid w:val="003D372A"/>
    <w:rsid w:val="003D420F"/>
    <w:rsid w:val="003D6C85"/>
    <w:rsid w:val="003D6E29"/>
    <w:rsid w:val="003E124C"/>
    <w:rsid w:val="003E203E"/>
    <w:rsid w:val="003E5DB5"/>
    <w:rsid w:val="003F113E"/>
    <w:rsid w:val="003F184C"/>
    <w:rsid w:val="003F21F1"/>
    <w:rsid w:val="003F34CB"/>
    <w:rsid w:val="00403617"/>
    <w:rsid w:val="00403D1C"/>
    <w:rsid w:val="00403D85"/>
    <w:rsid w:val="00404656"/>
    <w:rsid w:val="0041126B"/>
    <w:rsid w:val="004131AE"/>
    <w:rsid w:val="00413D2B"/>
    <w:rsid w:val="00413D60"/>
    <w:rsid w:val="00414812"/>
    <w:rsid w:val="00415A1F"/>
    <w:rsid w:val="00415E4E"/>
    <w:rsid w:val="0041705E"/>
    <w:rsid w:val="00417DEE"/>
    <w:rsid w:val="00420308"/>
    <w:rsid w:val="00420DBA"/>
    <w:rsid w:val="00421F7E"/>
    <w:rsid w:val="00423B88"/>
    <w:rsid w:val="004252FC"/>
    <w:rsid w:val="00426A88"/>
    <w:rsid w:val="00426D0A"/>
    <w:rsid w:val="00437980"/>
    <w:rsid w:val="0044028C"/>
    <w:rsid w:val="00441738"/>
    <w:rsid w:val="00442637"/>
    <w:rsid w:val="00444F40"/>
    <w:rsid w:val="00447799"/>
    <w:rsid w:val="004508C4"/>
    <w:rsid w:val="00450A39"/>
    <w:rsid w:val="0045427F"/>
    <w:rsid w:val="004557C8"/>
    <w:rsid w:val="00457484"/>
    <w:rsid w:val="00457D24"/>
    <w:rsid w:val="004625E1"/>
    <w:rsid w:val="0046301A"/>
    <w:rsid w:val="0046374A"/>
    <w:rsid w:val="0046408B"/>
    <w:rsid w:val="00472596"/>
    <w:rsid w:val="004751E7"/>
    <w:rsid w:val="0047666A"/>
    <w:rsid w:val="004768EB"/>
    <w:rsid w:val="004806FF"/>
    <w:rsid w:val="00480A15"/>
    <w:rsid w:val="00481136"/>
    <w:rsid w:val="00482F14"/>
    <w:rsid w:val="004870BE"/>
    <w:rsid w:val="00490245"/>
    <w:rsid w:val="004909A3"/>
    <w:rsid w:val="00490B91"/>
    <w:rsid w:val="004911A1"/>
    <w:rsid w:val="0049120A"/>
    <w:rsid w:val="00492A77"/>
    <w:rsid w:val="00494285"/>
    <w:rsid w:val="0049462B"/>
    <w:rsid w:val="00495416"/>
    <w:rsid w:val="004959F7"/>
    <w:rsid w:val="00496F92"/>
    <w:rsid w:val="00497995"/>
    <w:rsid w:val="00497A07"/>
    <w:rsid w:val="004A2045"/>
    <w:rsid w:val="004A2CC6"/>
    <w:rsid w:val="004A5684"/>
    <w:rsid w:val="004A58BD"/>
    <w:rsid w:val="004A6310"/>
    <w:rsid w:val="004A67E0"/>
    <w:rsid w:val="004B0D03"/>
    <w:rsid w:val="004B1330"/>
    <w:rsid w:val="004B13FF"/>
    <w:rsid w:val="004B2BBC"/>
    <w:rsid w:val="004B3F0F"/>
    <w:rsid w:val="004B46C3"/>
    <w:rsid w:val="004B508F"/>
    <w:rsid w:val="004B6BA0"/>
    <w:rsid w:val="004C0C26"/>
    <w:rsid w:val="004C126B"/>
    <w:rsid w:val="004C1304"/>
    <w:rsid w:val="004C23E1"/>
    <w:rsid w:val="004C7214"/>
    <w:rsid w:val="004D005D"/>
    <w:rsid w:val="004D0690"/>
    <w:rsid w:val="004D122E"/>
    <w:rsid w:val="004D1520"/>
    <w:rsid w:val="004D19FB"/>
    <w:rsid w:val="004D3AF6"/>
    <w:rsid w:val="004D3D64"/>
    <w:rsid w:val="004D48E7"/>
    <w:rsid w:val="004D4A18"/>
    <w:rsid w:val="004D55B1"/>
    <w:rsid w:val="004E173C"/>
    <w:rsid w:val="004E1A4E"/>
    <w:rsid w:val="004E1D53"/>
    <w:rsid w:val="004E2613"/>
    <w:rsid w:val="004E6039"/>
    <w:rsid w:val="004E6667"/>
    <w:rsid w:val="004E7A07"/>
    <w:rsid w:val="004F07F1"/>
    <w:rsid w:val="004F1E20"/>
    <w:rsid w:val="004F2CF0"/>
    <w:rsid w:val="004F3058"/>
    <w:rsid w:val="004F3EBB"/>
    <w:rsid w:val="004F437F"/>
    <w:rsid w:val="004F5097"/>
    <w:rsid w:val="004F64B3"/>
    <w:rsid w:val="004F6B57"/>
    <w:rsid w:val="004F730B"/>
    <w:rsid w:val="00500E53"/>
    <w:rsid w:val="00502054"/>
    <w:rsid w:val="00502A07"/>
    <w:rsid w:val="005045C5"/>
    <w:rsid w:val="00505038"/>
    <w:rsid w:val="005052E6"/>
    <w:rsid w:val="00505431"/>
    <w:rsid w:val="00506293"/>
    <w:rsid w:val="005064D0"/>
    <w:rsid w:val="00506680"/>
    <w:rsid w:val="005104B5"/>
    <w:rsid w:val="0051208A"/>
    <w:rsid w:val="005126B2"/>
    <w:rsid w:val="005145DF"/>
    <w:rsid w:val="0051486E"/>
    <w:rsid w:val="00517FA1"/>
    <w:rsid w:val="00522A1D"/>
    <w:rsid w:val="0052418B"/>
    <w:rsid w:val="00524712"/>
    <w:rsid w:val="00524F07"/>
    <w:rsid w:val="0052603A"/>
    <w:rsid w:val="00526114"/>
    <w:rsid w:val="00530F8E"/>
    <w:rsid w:val="0053230A"/>
    <w:rsid w:val="0053252E"/>
    <w:rsid w:val="00533861"/>
    <w:rsid w:val="00533AE9"/>
    <w:rsid w:val="00536100"/>
    <w:rsid w:val="005403D2"/>
    <w:rsid w:val="005438C7"/>
    <w:rsid w:val="00545596"/>
    <w:rsid w:val="00545A70"/>
    <w:rsid w:val="00545B5C"/>
    <w:rsid w:val="0054657B"/>
    <w:rsid w:val="00546E82"/>
    <w:rsid w:val="00550D2B"/>
    <w:rsid w:val="00553DEB"/>
    <w:rsid w:val="00553E7C"/>
    <w:rsid w:val="005551E1"/>
    <w:rsid w:val="0055611C"/>
    <w:rsid w:val="00561758"/>
    <w:rsid w:val="005701AB"/>
    <w:rsid w:val="0057045D"/>
    <w:rsid w:val="00571DC1"/>
    <w:rsid w:val="005743D8"/>
    <w:rsid w:val="00574B74"/>
    <w:rsid w:val="00575968"/>
    <w:rsid w:val="00577AA5"/>
    <w:rsid w:val="005802E0"/>
    <w:rsid w:val="00581930"/>
    <w:rsid w:val="00582A83"/>
    <w:rsid w:val="005839C7"/>
    <w:rsid w:val="0058453A"/>
    <w:rsid w:val="005845EA"/>
    <w:rsid w:val="00591735"/>
    <w:rsid w:val="00591B4D"/>
    <w:rsid w:val="00591BDE"/>
    <w:rsid w:val="00592BB5"/>
    <w:rsid w:val="00593767"/>
    <w:rsid w:val="00596C24"/>
    <w:rsid w:val="005A0F0D"/>
    <w:rsid w:val="005A1F7D"/>
    <w:rsid w:val="005A211F"/>
    <w:rsid w:val="005A2B4C"/>
    <w:rsid w:val="005A5E01"/>
    <w:rsid w:val="005A6985"/>
    <w:rsid w:val="005B0511"/>
    <w:rsid w:val="005B2A97"/>
    <w:rsid w:val="005B2AA7"/>
    <w:rsid w:val="005B358C"/>
    <w:rsid w:val="005B4848"/>
    <w:rsid w:val="005B5B10"/>
    <w:rsid w:val="005B6831"/>
    <w:rsid w:val="005B74CF"/>
    <w:rsid w:val="005C065E"/>
    <w:rsid w:val="005C3A2F"/>
    <w:rsid w:val="005C4849"/>
    <w:rsid w:val="005D2739"/>
    <w:rsid w:val="005D2747"/>
    <w:rsid w:val="005D51EE"/>
    <w:rsid w:val="005D5960"/>
    <w:rsid w:val="005D6775"/>
    <w:rsid w:val="005E0FCD"/>
    <w:rsid w:val="005E13E4"/>
    <w:rsid w:val="005E15D8"/>
    <w:rsid w:val="005E221E"/>
    <w:rsid w:val="005E3487"/>
    <w:rsid w:val="005E50B6"/>
    <w:rsid w:val="005E68DA"/>
    <w:rsid w:val="005F059F"/>
    <w:rsid w:val="005F338F"/>
    <w:rsid w:val="005F3569"/>
    <w:rsid w:val="005F56A4"/>
    <w:rsid w:val="005F56D0"/>
    <w:rsid w:val="005F6085"/>
    <w:rsid w:val="006001F6"/>
    <w:rsid w:val="00602066"/>
    <w:rsid w:val="00604943"/>
    <w:rsid w:val="00604995"/>
    <w:rsid w:val="00605798"/>
    <w:rsid w:val="00607534"/>
    <w:rsid w:val="006112F2"/>
    <w:rsid w:val="006118CA"/>
    <w:rsid w:val="0062011D"/>
    <w:rsid w:val="00620258"/>
    <w:rsid w:val="00621F02"/>
    <w:rsid w:val="006274BD"/>
    <w:rsid w:val="006279FC"/>
    <w:rsid w:val="00630362"/>
    <w:rsid w:val="006315A9"/>
    <w:rsid w:val="00631921"/>
    <w:rsid w:val="00636541"/>
    <w:rsid w:val="00636B9D"/>
    <w:rsid w:val="00640E6E"/>
    <w:rsid w:val="0064396F"/>
    <w:rsid w:val="00644103"/>
    <w:rsid w:val="00644A0A"/>
    <w:rsid w:val="006451BE"/>
    <w:rsid w:val="00645D3B"/>
    <w:rsid w:val="00651628"/>
    <w:rsid w:val="00653601"/>
    <w:rsid w:val="00654A2B"/>
    <w:rsid w:val="0065561A"/>
    <w:rsid w:val="00657005"/>
    <w:rsid w:val="006603E0"/>
    <w:rsid w:val="0066067F"/>
    <w:rsid w:val="006608BE"/>
    <w:rsid w:val="00665FF6"/>
    <w:rsid w:val="006725BD"/>
    <w:rsid w:val="00672D66"/>
    <w:rsid w:val="00673F4C"/>
    <w:rsid w:val="0067651E"/>
    <w:rsid w:val="006770C8"/>
    <w:rsid w:val="006775BF"/>
    <w:rsid w:val="006809D6"/>
    <w:rsid w:val="00680AE1"/>
    <w:rsid w:val="00682D68"/>
    <w:rsid w:val="0068327A"/>
    <w:rsid w:val="00683B16"/>
    <w:rsid w:val="00684166"/>
    <w:rsid w:val="00684381"/>
    <w:rsid w:val="00684794"/>
    <w:rsid w:val="00685FC1"/>
    <w:rsid w:val="00686C6B"/>
    <w:rsid w:val="00687D59"/>
    <w:rsid w:val="0069741F"/>
    <w:rsid w:val="006A1B62"/>
    <w:rsid w:val="006A5199"/>
    <w:rsid w:val="006A6858"/>
    <w:rsid w:val="006A69ED"/>
    <w:rsid w:val="006B04BD"/>
    <w:rsid w:val="006B1AEB"/>
    <w:rsid w:val="006B4575"/>
    <w:rsid w:val="006B6B11"/>
    <w:rsid w:val="006B7C82"/>
    <w:rsid w:val="006B7CC4"/>
    <w:rsid w:val="006BE454"/>
    <w:rsid w:val="006C4ABF"/>
    <w:rsid w:val="006C688A"/>
    <w:rsid w:val="006C7156"/>
    <w:rsid w:val="006D3A67"/>
    <w:rsid w:val="006D3DD3"/>
    <w:rsid w:val="006D44CD"/>
    <w:rsid w:val="006D5CF6"/>
    <w:rsid w:val="006D5ED5"/>
    <w:rsid w:val="006E0AF2"/>
    <w:rsid w:val="006E258E"/>
    <w:rsid w:val="006E4DA8"/>
    <w:rsid w:val="006E559D"/>
    <w:rsid w:val="006E6231"/>
    <w:rsid w:val="006F4664"/>
    <w:rsid w:val="006F6B33"/>
    <w:rsid w:val="006F6EA1"/>
    <w:rsid w:val="006F712D"/>
    <w:rsid w:val="006F7814"/>
    <w:rsid w:val="0070697D"/>
    <w:rsid w:val="007070CB"/>
    <w:rsid w:val="007078CF"/>
    <w:rsid w:val="007109BB"/>
    <w:rsid w:val="00710A7D"/>
    <w:rsid w:val="007144FF"/>
    <w:rsid w:val="00714E1D"/>
    <w:rsid w:val="00715800"/>
    <w:rsid w:val="00716136"/>
    <w:rsid w:val="007166DE"/>
    <w:rsid w:val="007259C5"/>
    <w:rsid w:val="007269B9"/>
    <w:rsid w:val="007309BE"/>
    <w:rsid w:val="00730A0E"/>
    <w:rsid w:val="00731948"/>
    <w:rsid w:val="00733D57"/>
    <w:rsid w:val="007341B1"/>
    <w:rsid w:val="007364C2"/>
    <w:rsid w:val="00736B74"/>
    <w:rsid w:val="00737CDD"/>
    <w:rsid w:val="00741767"/>
    <w:rsid w:val="00741EF9"/>
    <w:rsid w:val="00742346"/>
    <w:rsid w:val="00745D32"/>
    <w:rsid w:val="00745DFE"/>
    <w:rsid w:val="00750875"/>
    <w:rsid w:val="00750B9C"/>
    <w:rsid w:val="00751C6E"/>
    <w:rsid w:val="007521C8"/>
    <w:rsid w:val="00752760"/>
    <w:rsid w:val="00752AA8"/>
    <w:rsid w:val="00757CA2"/>
    <w:rsid w:val="00760039"/>
    <w:rsid w:val="00761DB2"/>
    <w:rsid w:val="00763AB0"/>
    <w:rsid w:val="0076542B"/>
    <w:rsid w:val="00765493"/>
    <w:rsid w:val="00767F86"/>
    <w:rsid w:val="007711D0"/>
    <w:rsid w:val="007713EC"/>
    <w:rsid w:val="00773B14"/>
    <w:rsid w:val="0077614F"/>
    <w:rsid w:val="007761B0"/>
    <w:rsid w:val="00776CB6"/>
    <w:rsid w:val="00780A02"/>
    <w:rsid w:val="0078570B"/>
    <w:rsid w:val="00785FA7"/>
    <w:rsid w:val="00786156"/>
    <w:rsid w:val="00786CA9"/>
    <w:rsid w:val="0078759A"/>
    <w:rsid w:val="00791B04"/>
    <w:rsid w:val="0079239C"/>
    <w:rsid w:val="0079261F"/>
    <w:rsid w:val="00792BA1"/>
    <w:rsid w:val="00792D64"/>
    <w:rsid w:val="007933FA"/>
    <w:rsid w:val="00793B0E"/>
    <w:rsid w:val="00795224"/>
    <w:rsid w:val="00796C21"/>
    <w:rsid w:val="007A1F38"/>
    <w:rsid w:val="007A3087"/>
    <w:rsid w:val="007A3C04"/>
    <w:rsid w:val="007A403D"/>
    <w:rsid w:val="007A5A3C"/>
    <w:rsid w:val="007A5F50"/>
    <w:rsid w:val="007A6259"/>
    <w:rsid w:val="007A75F0"/>
    <w:rsid w:val="007A790D"/>
    <w:rsid w:val="007B09E1"/>
    <w:rsid w:val="007B1BA5"/>
    <w:rsid w:val="007B279B"/>
    <w:rsid w:val="007B3A10"/>
    <w:rsid w:val="007B4771"/>
    <w:rsid w:val="007B7F7E"/>
    <w:rsid w:val="007C15E5"/>
    <w:rsid w:val="007C180C"/>
    <w:rsid w:val="007C2A33"/>
    <w:rsid w:val="007C2C64"/>
    <w:rsid w:val="007C549B"/>
    <w:rsid w:val="007C72A6"/>
    <w:rsid w:val="007C7698"/>
    <w:rsid w:val="007D136D"/>
    <w:rsid w:val="007D1DD5"/>
    <w:rsid w:val="007D2106"/>
    <w:rsid w:val="007D302D"/>
    <w:rsid w:val="007D3B20"/>
    <w:rsid w:val="007D4C3C"/>
    <w:rsid w:val="007D4DEF"/>
    <w:rsid w:val="007D6B91"/>
    <w:rsid w:val="007E4135"/>
    <w:rsid w:val="007E6632"/>
    <w:rsid w:val="007E7C85"/>
    <w:rsid w:val="007E7F16"/>
    <w:rsid w:val="007F00DE"/>
    <w:rsid w:val="007F1CF1"/>
    <w:rsid w:val="007F4259"/>
    <w:rsid w:val="007F6F98"/>
    <w:rsid w:val="0080121A"/>
    <w:rsid w:val="00801ABB"/>
    <w:rsid w:val="00802002"/>
    <w:rsid w:val="00804C21"/>
    <w:rsid w:val="00810274"/>
    <w:rsid w:val="00810A6D"/>
    <w:rsid w:val="008113DA"/>
    <w:rsid w:val="00811F4A"/>
    <w:rsid w:val="00812AFB"/>
    <w:rsid w:val="00812D10"/>
    <w:rsid w:val="00814202"/>
    <w:rsid w:val="008152A2"/>
    <w:rsid w:val="008163DE"/>
    <w:rsid w:val="00817141"/>
    <w:rsid w:val="00826412"/>
    <w:rsid w:val="00827DE0"/>
    <w:rsid w:val="0083193C"/>
    <w:rsid w:val="00831EBE"/>
    <w:rsid w:val="0083236E"/>
    <w:rsid w:val="008323EF"/>
    <w:rsid w:val="00832E04"/>
    <w:rsid w:val="008333E6"/>
    <w:rsid w:val="008336F5"/>
    <w:rsid w:val="00834044"/>
    <w:rsid w:val="00835CD5"/>
    <w:rsid w:val="00836C82"/>
    <w:rsid w:val="0084067C"/>
    <w:rsid w:val="00843D9B"/>
    <w:rsid w:val="008461E1"/>
    <w:rsid w:val="00847257"/>
    <w:rsid w:val="00847986"/>
    <w:rsid w:val="00847E78"/>
    <w:rsid w:val="00847F89"/>
    <w:rsid w:val="00850152"/>
    <w:rsid w:val="008527FB"/>
    <w:rsid w:val="00852BED"/>
    <w:rsid w:val="008532F6"/>
    <w:rsid w:val="00853C19"/>
    <w:rsid w:val="00860120"/>
    <w:rsid w:val="008620E6"/>
    <w:rsid w:val="008625EC"/>
    <w:rsid w:val="0086464D"/>
    <w:rsid w:val="0086475A"/>
    <w:rsid w:val="0086523C"/>
    <w:rsid w:val="008729E5"/>
    <w:rsid w:val="00872D07"/>
    <w:rsid w:val="00876C30"/>
    <w:rsid w:val="008773B2"/>
    <w:rsid w:val="00877A93"/>
    <w:rsid w:val="00880512"/>
    <w:rsid w:val="00880BD5"/>
    <w:rsid w:val="0088134D"/>
    <w:rsid w:val="0088361F"/>
    <w:rsid w:val="00884EDF"/>
    <w:rsid w:val="008868D9"/>
    <w:rsid w:val="00891659"/>
    <w:rsid w:val="00891D05"/>
    <w:rsid w:val="00892A8E"/>
    <w:rsid w:val="00893C98"/>
    <w:rsid w:val="00895A4B"/>
    <w:rsid w:val="00895E96"/>
    <w:rsid w:val="00897F5B"/>
    <w:rsid w:val="008A0B42"/>
    <w:rsid w:val="008B2220"/>
    <w:rsid w:val="008B2EF6"/>
    <w:rsid w:val="008B3A7E"/>
    <w:rsid w:val="008B3BFF"/>
    <w:rsid w:val="008B57E9"/>
    <w:rsid w:val="008C0DF8"/>
    <w:rsid w:val="008C219A"/>
    <w:rsid w:val="008C2964"/>
    <w:rsid w:val="008C4D95"/>
    <w:rsid w:val="008C53DC"/>
    <w:rsid w:val="008C67D9"/>
    <w:rsid w:val="008D0A3E"/>
    <w:rsid w:val="008D0F88"/>
    <w:rsid w:val="008D28F5"/>
    <w:rsid w:val="008D6E79"/>
    <w:rsid w:val="008E1987"/>
    <w:rsid w:val="008E32E2"/>
    <w:rsid w:val="008E5068"/>
    <w:rsid w:val="008E5D15"/>
    <w:rsid w:val="008E71F1"/>
    <w:rsid w:val="008F05FD"/>
    <w:rsid w:val="008F2DFF"/>
    <w:rsid w:val="008F49E0"/>
    <w:rsid w:val="008F4A96"/>
    <w:rsid w:val="008F4B1D"/>
    <w:rsid w:val="008F78AF"/>
    <w:rsid w:val="0090074C"/>
    <w:rsid w:val="00901012"/>
    <w:rsid w:val="0090117D"/>
    <w:rsid w:val="00901DA2"/>
    <w:rsid w:val="00902D8F"/>
    <w:rsid w:val="00906234"/>
    <w:rsid w:val="00910AB9"/>
    <w:rsid w:val="00910ECF"/>
    <w:rsid w:val="009124DA"/>
    <w:rsid w:val="009133C5"/>
    <w:rsid w:val="00915974"/>
    <w:rsid w:val="00920E88"/>
    <w:rsid w:val="00922A6C"/>
    <w:rsid w:val="00924B01"/>
    <w:rsid w:val="00924B80"/>
    <w:rsid w:val="00924D2C"/>
    <w:rsid w:val="00925695"/>
    <w:rsid w:val="009268FD"/>
    <w:rsid w:val="0092714D"/>
    <w:rsid w:val="009274E8"/>
    <w:rsid w:val="00927FD1"/>
    <w:rsid w:val="00930E1D"/>
    <w:rsid w:val="00933B46"/>
    <w:rsid w:val="0093524A"/>
    <w:rsid w:val="009375A9"/>
    <w:rsid w:val="00937F55"/>
    <w:rsid w:val="009404E1"/>
    <w:rsid w:val="00942BAC"/>
    <w:rsid w:val="00946780"/>
    <w:rsid w:val="009501A1"/>
    <w:rsid w:val="0095259A"/>
    <w:rsid w:val="009535AC"/>
    <w:rsid w:val="00955CAF"/>
    <w:rsid w:val="00960CC9"/>
    <w:rsid w:val="009611D8"/>
    <w:rsid w:val="0096446F"/>
    <w:rsid w:val="00966DCC"/>
    <w:rsid w:val="0097103C"/>
    <w:rsid w:val="009720FC"/>
    <w:rsid w:val="00975556"/>
    <w:rsid w:val="009802E7"/>
    <w:rsid w:val="00980E07"/>
    <w:rsid w:val="00983152"/>
    <w:rsid w:val="00983489"/>
    <w:rsid w:val="00985554"/>
    <w:rsid w:val="00986BA3"/>
    <w:rsid w:val="00987AE7"/>
    <w:rsid w:val="00990B2B"/>
    <w:rsid w:val="009928FE"/>
    <w:rsid w:val="009929BE"/>
    <w:rsid w:val="00994694"/>
    <w:rsid w:val="00994DF8"/>
    <w:rsid w:val="00997B2B"/>
    <w:rsid w:val="009A0BA3"/>
    <w:rsid w:val="009A15F8"/>
    <w:rsid w:val="009A1C19"/>
    <w:rsid w:val="009A1FF2"/>
    <w:rsid w:val="009A25D4"/>
    <w:rsid w:val="009A31B6"/>
    <w:rsid w:val="009A3FF3"/>
    <w:rsid w:val="009A474D"/>
    <w:rsid w:val="009A774F"/>
    <w:rsid w:val="009B13C9"/>
    <w:rsid w:val="009B496F"/>
    <w:rsid w:val="009B4C97"/>
    <w:rsid w:val="009B7619"/>
    <w:rsid w:val="009B7C5C"/>
    <w:rsid w:val="009C0798"/>
    <w:rsid w:val="009C0BEE"/>
    <w:rsid w:val="009C17A7"/>
    <w:rsid w:val="009C4401"/>
    <w:rsid w:val="009C5AE9"/>
    <w:rsid w:val="009C6329"/>
    <w:rsid w:val="009C66E7"/>
    <w:rsid w:val="009C7D46"/>
    <w:rsid w:val="009D0942"/>
    <w:rsid w:val="009D0F27"/>
    <w:rsid w:val="009D215B"/>
    <w:rsid w:val="009D4DD8"/>
    <w:rsid w:val="009E1073"/>
    <w:rsid w:val="009E3073"/>
    <w:rsid w:val="009E4F39"/>
    <w:rsid w:val="009E6A49"/>
    <w:rsid w:val="009E7599"/>
    <w:rsid w:val="009F028B"/>
    <w:rsid w:val="009F128C"/>
    <w:rsid w:val="009F2264"/>
    <w:rsid w:val="009F33BC"/>
    <w:rsid w:val="009F4239"/>
    <w:rsid w:val="009F4FBF"/>
    <w:rsid w:val="009F5C01"/>
    <w:rsid w:val="009F674F"/>
    <w:rsid w:val="009F76B7"/>
    <w:rsid w:val="009F7E0C"/>
    <w:rsid w:val="00A0001C"/>
    <w:rsid w:val="00A03AAD"/>
    <w:rsid w:val="00A0469D"/>
    <w:rsid w:val="00A0672E"/>
    <w:rsid w:val="00A068EE"/>
    <w:rsid w:val="00A07558"/>
    <w:rsid w:val="00A1122D"/>
    <w:rsid w:val="00A11682"/>
    <w:rsid w:val="00A11765"/>
    <w:rsid w:val="00A1216E"/>
    <w:rsid w:val="00A14CF3"/>
    <w:rsid w:val="00A17DAB"/>
    <w:rsid w:val="00A21116"/>
    <w:rsid w:val="00A22E71"/>
    <w:rsid w:val="00A24C2D"/>
    <w:rsid w:val="00A25C6E"/>
    <w:rsid w:val="00A27CA2"/>
    <w:rsid w:val="00A302C1"/>
    <w:rsid w:val="00A30907"/>
    <w:rsid w:val="00A33488"/>
    <w:rsid w:val="00A33621"/>
    <w:rsid w:val="00A36375"/>
    <w:rsid w:val="00A4229F"/>
    <w:rsid w:val="00A4480A"/>
    <w:rsid w:val="00A4739D"/>
    <w:rsid w:val="00A50EE5"/>
    <w:rsid w:val="00A51975"/>
    <w:rsid w:val="00A53A49"/>
    <w:rsid w:val="00A54982"/>
    <w:rsid w:val="00A55C1F"/>
    <w:rsid w:val="00A56069"/>
    <w:rsid w:val="00A606EF"/>
    <w:rsid w:val="00A64A2D"/>
    <w:rsid w:val="00A6670C"/>
    <w:rsid w:val="00A7012A"/>
    <w:rsid w:val="00A707C7"/>
    <w:rsid w:val="00A71E93"/>
    <w:rsid w:val="00A7230F"/>
    <w:rsid w:val="00A7240E"/>
    <w:rsid w:val="00A7241D"/>
    <w:rsid w:val="00A764AD"/>
    <w:rsid w:val="00A801C3"/>
    <w:rsid w:val="00A806C7"/>
    <w:rsid w:val="00A80E16"/>
    <w:rsid w:val="00A83DB5"/>
    <w:rsid w:val="00A84C8E"/>
    <w:rsid w:val="00A8675F"/>
    <w:rsid w:val="00A87969"/>
    <w:rsid w:val="00A92780"/>
    <w:rsid w:val="00A93FB3"/>
    <w:rsid w:val="00A94F86"/>
    <w:rsid w:val="00A976C1"/>
    <w:rsid w:val="00A97793"/>
    <w:rsid w:val="00AA142F"/>
    <w:rsid w:val="00AA1DAA"/>
    <w:rsid w:val="00AA4628"/>
    <w:rsid w:val="00AA4B70"/>
    <w:rsid w:val="00AB04B6"/>
    <w:rsid w:val="00AB09DA"/>
    <w:rsid w:val="00AB16D0"/>
    <w:rsid w:val="00AB1749"/>
    <w:rsid w:val="00AB2C8B"/>
    <w:rsid w:val="00AB3190"/>
    <w:rsid w:val="00AB6877"/>
    <w:rsid w:val="00AC11DE"/>
    <w:rsid w:val="00AC15BD"/>
    <w:rsid w:val="00AC1A2E"/>
    <w:rsid w:val="00AC3614"/>
    <w:rsid w:val="00AC42C1"/>
    <w:rsid w:val="00AD0101"/>
    <w:rsid w:val="00AD1448"/>
    <w:rsid w:val="00AD2F79"/>
    <w:rsid w:val="00AD7BC2"/>
    <w:rsid w:val="00AE0017"/>
    <w:rsid w:val="00AE0186"/>
    <w:rsid w:val="00AE025C"/>
    <w:rsid w:val="00AE0BDE"/>
    <w:rsid w:val="00AE3307"/>
    <w:rsid w:val="00AE4CF8"/>
    <w:rsid w:val="00AE544E"/>
    <w:rsid w:val="00AE61A1"/>
    <w:rsid w:val="00AE6737"/>
    <w:rsid w:val="00AF0FE8"/>
    <w:rsid w:val="00AF1FC1"/>
    <w:rsid w:val="00AF3FFE"/>
    <w:rsid w:val="00AF4B94"/>
    <w:rsid w:val="00AF4E3B"/>
    <w:rsid w:val="00AF5E76"/>
    <w:rsid w:val="00AF67C4"/>
    <w:rsid w:val="00B0055A"/>
    <w:rsid w:val="00B01E29"/>
    <w:rsid w:val="00B0358C"/>
    <w:rsid w:val="00B050DD"/>
    <w:rsid w:val="00B05B1D"/>
    <w:rsid w:val="00B05DDE"/>
    <w:rsid w:val="00B07540"/>
    <w:rsid w:val="00B07F68"/>
    <w:rsid w:val="00B112E6"/>
    <w:rsid w:val="00B14818"/>
    <w:rsid w:val="00B14848"/>
    <w:rsid w:val="00B2177B"/>
    <w:rsid w:val="00B22602"/>
    <w:rsid w:val="00B231CF"/>
    <w:rsid w:val="00B23DFF"/>
    <w:rsid w:val="00B2453C"/>
    <w:rsid w:val="00B2520A"/>
    <w:rsid w:val="00B26A8C"/>
    <w:rsid w:val="00B30295"/>
    <w:rsid w:val="00B31199"/>
    <w:rsid w:val="00B323A1"/>
    <w:rsid w:val="00B36179"/>
    <w:rsid w:val="00B3749B"/>
    <w:rsid w:val="00B37B38"/>
    <w:rsid w:val="00B408F8"/>
    <w:rsid w:val="00B4288D"/>
    <w:rsid w:val="00B431B7"/>
    <w:rsid w:val="00B46B58"/>
    <w:rsid w:val="00B46FF8"/>
    <w:rsid w:val="00B47631"/>
    <w:rsid w:val="00B479AE"/>
    <w:rsid w:val="00B511D0"/>
    <w:rsid w:val="00B515E7"/>
    <w:rsid w:val="00B51C94"/>
    <w:rsid w:val="00B543B1"/>
    <w:rsid w:val="00B54A7A"/>
    <w:rsid w:val="00B554A2"/>
    <w:rsid w:val="00B60BA3"/>
    <w:rsid w:val="00B61D35"/>
    <w:rsid w:val="00B6236D"/>
    <w:rsid w:val="00B62BA4"/>
    <w:rsid w:val="00B65617"/>
    <w:rsid w:val="00B721AC"/>
    <w:rsid w:val="00B76351"/>
    <w:rsid w:val="00B77890"/>
    <w:rsid w:val="00B8073D"/>
    <w:rsid w:val="00B818A4"/>
    <w:rsid w:val="00B81A11"/>
    <w:rsid w:val="00B824B6"/>
    <w:rsid w:val="00B82B1E"/>
    <w:rsid w:val="00B85A9D"/>
    <w:rsid w:val="00B93E68"/>
    <w:rsid w:val="00B93E89"/>
    <w:rsid w:val="00BA25FD"/>
    <w:rsid w:val="00BA2D8F"/>
    <w:rsid w:val="00BA5F8B"/>
    <w:rsid w:val="00BA73DB"/>
    <w:rsid w:val="00BA7A41"/>
    <w:rsid w:val="00BB0CDF"/>
    <w:rsid w:val="00BB45EC"/>
    <w:rsid w:val="00BB494A"/>
    <w:rsid w:val="00BB7029"/>
    <w:rsid w:val="00BB78B4"/>
    <w:rsid w:val="00BC1692"/>
    <w:rsid w:val="00BC445C"/>
    <w:rsid w:val="00BC4A39"/>
    <w:rsid w:val="00BC4E73"/>
    <w:rsid w:val="00BC63DA"/>
    <w:rsid w:val="00BC652E"/>
    <w:rsid w:val="00BC718E"/>
    <w:rsid w:val="00BC7BFF"/>
    <w:rsid w:val="00BD013D"/>
    <w:rsid w:val="00BD0521"/>
    <w:rsid w:val="00BD05DE"/>
    <w:rsid w:val="00BD0663"/>
    <w:rsid w:val="00BD24AD"/>
    <w:rsid w:val="00BD2A9E"/>
    <w:rsid w:val="00BE047B"/>
    <w:rsid w:val="00BE14BD"/>
    <w:rsid w:val="00BE2A7F"/>
    <w:rsid w:val="00BE3E6C"/>
    <w:rsid w:val="00BE5009"/>
    <w:rsid w:val="00BE61E4"/>
    <w:rsid w:val="00BE686C"/>
    <w:rsid w:val="00BE6AD4"/>
    <w:rsid w:val="00BE756D"/>
    <w:rsid w:val="00BE7963"/>
    <w:rsid w:val="00BF172F"/>
    <w:rsid w:val="00BF6520"/>
    <w:rsid w:val="00BF6FEA"/>
    <w:rsid w:val="00BF7D78"/>
    <w:rsid w:val="00C008F9"/>
    <w:rsid w:val="00C00FDA"/>
    <w:rsid w:val="00C048EB"/>
    <w:rsid w:val="00C0591E"/>
    <w:rsid w:val="00C068F5"/>
    <w:rsid w:val="00C10AC8"/>
    <w:rsid w:val="00C11435"/>
    <w:rsid w:val="00C127D7"/>
    <w:rsid w:val="00C12E79"/>
    <w:rsid w:val="00C131D6"/>
    <w:rsid w:val="00C14024"/>
    <w:rsid w:val="00C14D25"/>
    <w:rsid w:val="00C157E4"/>
    <w:rsid w:val="00C165C2"/>
    <w:rsid w:val="00C25377"/>
    <w:rsid w:val="00C320E5"/>
    <w:rsid w:val="00C36D55"/>
    <w:rsid w:val="00C36DEF"/>
    <w:rsid w:val="00C37A6B"/>
    <w:rsid w:val="00C37F9D"/>
    <w:rsid w:val="00C41967"/>
    <w:rsid w:val="00C428D5"/>
    <w:rsid w:val="00C42950"/>
    <w:rsid w:val="00C45F71"/>
    <w:rsid w:val="00C46FED"/>
    <w:rsid w:val="00C47E76"/>
    <w:rsid w:val="00C55BCB"/>
    <w:rsid w:val="00C57B1A"/>
    <w:rsid w:val="00C57F6D"/>
    <w:rsid w:val="00C6103D"/>
    <w:rsid w:val="00C634EE"/>
    <w:rsid w:val="00C640AE"/>
    <w:rsid w:val="00C64165"/>
    <w:rsid w:val="00C64BD5"/>
    <w:rsid w:val="00C65D48"/>
    <w:rsid w:val="00C660BE"/>
    <w:rsid w:val="00C720C2"/>
    <w:rsid w:val="00C73AC7"/>
    <w:rsid w:val="00C73B15"/>
    <w:rsid w:val="00C744AE"/>
    <w:rsid w:val="00C7479B"/>
    <w:rsid w:val="00C77229"/>
    <w:rsid w:val="00C7765F"/>
    <w:rsid w:val="00C80C34"/>
    <w:rsid w:val="00C81757"/>
    <w:rsid w:val="00C829CF"/>
    <w:rsid w:val="00C82F30"/>
    <w:rsid w:val="00C84B87"/>
    <w:rsid w:val="00C86360"/>
    <w:rsid w:val="00C92E5C"/>
    <w:rsid w:val="00C93B42"/>
    <w:rsid w:val="00C940C1"/>
    <w:rsid w:val="00C97990"/>
    <w:rsid w:val="00CA1F4E"/>
    <w:rsid w:val="00CA3299"/>
    <w:rsid w:val="00CA40EC"/>
    <w:rsid w:val="00CA5767"/>
    <w:rsid w:val="00CB3D06"/>
    <w:rsid w:val="00CB7922"/>
    <w:rsid w:val="00CB7F5B"/>
    <w:rsid w:val="00CC017C"/>
    <w:rsid w:val="00CC78E3"/>
    <w:rsid w:val="00CC7A4F"/>
    <w:rsid w:val="00CC7FAC"/>
    <w:rsid w:val="00CD04E9"/>
    <w:rsid w:val="00CD2189"/>
    <w:rsid w:val="00CD2A35"/>
    <w:rsid w:val="00CD37DB"/>
    <w:rsid w:val="00CD7646"/>
    <w:rsid w:val="00CE15C5"/>
    <w:rsid w:val="00CE20E4"/>
    <w:rsid w:val="00CE2C88"/>
    <w:rsid w:val="00CE326D"/>
    <w:rsid w:val="00CE32A7"/>
    <w:rsid w:val="00CE55DD"/>
    <w:rsid w:val="00CE5AA5"/>
    <w:rsid w:val="00CE6077"/>
    <w:rsid w:val="00CF06B1"/>
    <w:rsid w:val="00CF280B"/>
    <w:rsid w:val="00CF2CC4"/>
    <w:rsid w:val="00CF2D92"/>
    <w:rsid w:val="00CF49E2"/>
    <w:rsid w:val="00CF5AB3"/>
    <w:rsid w:val="00CF64A9"/>
    <w:rsid w:val="00CF78D4"/>
    <w:rsid w:val="00D01BF4"/>
    <w:rsid w:val="00D05926"/>
    <w:rsid w:val="00D06408"/>
    <w:rsid w:val="00D0669C"/>
    <w:rsid w:val="00D127EB"/>
    <w:rsid w:val="00D158F7"/>
    <w:rsid w:val="00D1672D"/>
    <w:rsid w:val="00D17039"/>
    <w:rsid w:val="00D20EBD"/>
    <w:rsid w:val="00D23DA2"/>
    <w:rsid w:val="00D2428E"/>
    <w:rsid w:val="00D2513C"/>
    <w:rsid w:val="00D254C5"/>
    <w:rsid w:val="00D32B6A"/>
    <w:rsid w:val="00D35404"/>
    <w:rsid w:val="00D366C9"/>
    <w:rsid w:val="00D379BB"/>
    <w:rsid w:val="00D42D67"/>
    <w:rsid w:val="00D44982"/>
    <w:rsid w:val="00D45444"/>
    <w:rsid w:val="00D45FA0"/>
    <w:rsid w:val="00D467F3"/>
    <w:rsid w:val="00D5087F"/>
    <w:rsid w:val="00D5219B"/>
    <w:rsid w:val="00D52D8E"/>
    <w:rsid w:val="00D55876"/>
    <w:rsid w:val="00D566A0"/>
    <w:rsid w:val="00D56CA2"/>
    <w:rsid w:val="00D60198"/>
    <w:rsid w:val="00D60FD1"/>
    <w:rsid w:val="00D62727"/>
    <w:rsid w:val="00D62B1F"/>
    <w:rsid w:val="00D63974"/>
    <w:rsid w:val="00D6626C"/>
    <w:rsid w:val="00D66485"/>
    <w:rsid w:val="00D72780"/>
    <w:rsid w:val="00D80287"/>
    <w:rsid w:val="00D80346"/>
    <w:rsid w:val="00D81752"/>
    <w:rsid w:val="00D82FB5"/>
    <w:rsid w:val="00D8302F"/>
    <w:rsid w:val="00D83065"/>
    <w:rsid w:val="00D87C94"/>
    <w:rsid w:val="00D90651"/>
    <w:rsid w:val="00D929ED"/>
    <w:rsid w:val="00D9419B"/>
    <w:rsid w:val="00D95A59"/>
    <w:rsid w:val="00D95E22"/>
    <w:rsid w:val="00D97370"/>
    <w:rsid w:val="00D97831"/>
    <w:rsid w:val="00D97D9D"/>
    <w:rsid w:val="00DA0DD6"/>
    <w:rsid w:val="00DA1BC9"/>
    <w:rsid w:val="00DA2AEF"/>
    <w:rsid w:val="00DA4CA2"/>
    <w:rsid w:val="00DA6EAF"/>
    <w:rsid w:val="00DA6ECA"/>
    <w:rsid w:val="00DA761E"/>
    <w:rsid w:val="00DB1CC5"/>
    <w:rsid w:val="00DB210B"/>
    <w:rsid w:val="00DB3946"/>
    <w:rsid w:val="00DB7075"/>
    <w:rsid w:val="00DB730D"/>
    <w:rsid w:val="00DB76E8"/>
    <w:rsid w:val="00DC0F57"/>
    <w:rsid w:val="00DC14FA"/>
    <w:rsid w:val="00DC164C"/>
    <w:rsid w:val="00DC16BB"/>
    <w:rsid w:val="00DC2124"/>
    <w:rsid w:val="00DC2D7E"/>
    <w:rsid w:val="00DC54CF"/>
    <w:rsid w:val="00DC5A57"/>
    <w:rsid w:val="00DC5DD1"/>
    <w:rsid w:val="00DC640F"/>
    <w:rsid w:val="00DC75EF"/>
    <w:rsid w:val="00DD1C41"/>
    <w:rsid w:val="00DE123B"/>
    <w:rsid w:val="00DE15E8"/>
    <w:rsid w:val="00DE1989"/>
    <w:rsid w:val="00DE2205"/>
    <w:rsid w:val="00DE35C1"/>
    <w:rsid w:val="00DE7C1F"/>
    <w:rsid w:val="00DF0590"/>
    <w:rsid w:val="00DF0AFC"/>
    <w:rsid w:val="00DF35FD"/>
    <w:rsid w:val="00DF4414"/>
    <w:rsid w:val="00DF64E6"/>
    <w:rsid w:val="00DF67A0"/>
    <w:rsid w:val="00E00E8A"/>
    <w:rsid w:val="00E01FFB"/>
    <w:rsid w:val="00E03E9B"/>
    <w:rsid w:val="00E04F58"/>
    <w:rsid w:val="00E10285"/>
    <w:rsid w:val="00E13764"/>
    <w:rsid w:val="00E148C8"/>
    <w:rsid w:val="00E15DF9"/>
    <w:rsid w:val="00E17E77"/>
    <w:rsid w:val="00E20483"/>
    <w:rsid w:val="00E21B6A"/>
    <w:rsid w:val="00E22A73"/>
    <w:rsid w:val="00E240EB"/>
    <w:rsid w:val="00E255E8"/>
    <w:rsid w:val="00E26027"/>
    <w:rsid w:val="00E30518"/>
    <w:rsid w:val="00E3185E"/>
    <w:rsid w:val="00E31DD3"/>
    <w:rsid w:val="00E32272"/>
    <w:rsid w:val="00E3361A"/>
    <w:rsid w:val="00E34796"/>
    <w:rsid w:val="00E35FAE"/>
    <w:rsid w:val="00E41654"/>
    <w:rsid w:val="00E420F2"/>
    <w:rsid w:val="00E4220F"/>
    <w:rsid w:val="00E4420A"/>
    <w:rsid w:val="00E44A16"/>
    <w:rsid w:val="00E44EE1"/>
    <w:rsid w:val="00E478AF"/>
    <w:rsid w:val="00E478C6"/>
    <w:rsid w:val="00E47DE3"/>
    <w:rsid w:val="00E509FF"/>
    <w:rsid w:val="00E517DC"/>
    <w:rsid w:val="00E51A35"/>
    <w:rsid w:val="00E53BEB"/>
    <w:rsid w:val="00E53DAB"/>
    <w:rsid w:val="00E5564E"/>
    <w:rsid w:val="00E56744"/>
    <w:rsid w:val="00E64271"/>
    <w:rsid w:val="00E65EEE"/>
    <w:rsid w:val="00E66A5D"/>
    <w:rsid w:val="00E66DF6"/>
    <w:rsid w:val="00E67A73"/>
    <w:rsid w:val="00E71A39"/>
    <w:rsid w:val="00E73B09"/>
    <w:rsid w:val="00E73D49"/>
    <w:rsid w:val="00E76C6E"/>
    <w:rsid w:val="00E77132"/>
    <w:rsid w:val="00E80DC6"/>
    <w:rsid w:val="00E81053"/>
    <w:rsid w:val="00E81297"/>
    <w:rsid w:val="00E82714"/>
    <w:rsid w:val="00E83FA6"/>
    <w:rsid w:val="00E8407D"/>
    <w:rsid w:val="00E854B0"/>
    <w:rsid w:val="00E8553A"/>
    <w:rsid w:val="00E8770A"/>
    <w:rsid w:val="00E9364E"/>
    <w:rsid w:val="00E94D12"/>
    <w:rsid w:val="00E9609E"/>
    <w:rsid w:val="00E97562"/>
    <w:rsid w:val="00EA35C8"/>
    <w:rsid w:val="00EA4728"/>
    <w:rsid w:val="00EA5B4E"/>
    <w:rsid w:val="00EA6F2C"/>
    <w:rsid w:val="00EA7479"/>
    <w:rsid w:val="00EB19CB"/>
    <w:rsid w:val="00EB4460"/>
    <w:rsid w:val="00EB64D5"/>
    <w:rsid w:val="00EC1034"/>
    <w:rsid w:val="00EC2263"/>
    <w:rsid w:val="00EC3F7D"/>
    <w:rsid w:val="00EC5D5A"/>
    <w:rsid w:val="00EC69C7"/>
    <w:rsid w:val="00EC6C28"/>
    <w:rsid w:val="00ED127C"/>
    <w:rsid w:val="00ED2919"/>
    <w:rsid w:val="00ED4A13"/>
    <w:rsid w:val="00ED5CA8"/>
    <w:rsid w:val="00ED6E8D"/>
    <w:rsid w:val="00EE4315"/>
    <w:rsid w:val="00EE58BC"/>
    <w:rsid w:val="00EF0AEF"/>
    <w:rsid w:val="00EF12DB"/>
    <w:rsid w:val="00EF1FAD"/>
    <w:rsid w:val="00EF533D"/>
    <w:rsid w:val="00EF5787"/>
    <w:rsid w:val="00EF7A4E"/>
    <w:rsid w:val="00F01080"/>
    <w:rsid w:val="00F05BF7"/>
    <w:rsid w:val="00F06E03"/>
    <w:rsid w:val="00F1177B"/>
    <w:rsid w:val="00F11AC5"/>
    <w:rsid w:val="00F12B36"/>
    <w:rsid w:val="00F154D8"/>
    <w:rsid w:val="00F1610D"/>
    <w:rsid w:val="00F17984"/>
    <w:rsid w:val="00F20EF4"/>
    <w:rsid w:val="00F23341"/>
    <w:rsid w:val="00F23AD4"/>
    <w:rsid w:val="00F25206"/>
    <w:rsid w:val="00F25AC5"/>
    <w:rsid w:val="00F317B3"/>
    <w:rsid w:val="00F34983"/>
    <w:rsid w:val="00F35704"/>
    <w:rsid w:val="00F35B6E"/>
    <w:rsid w:val="00F3632E"/>
    <w:rsid w:val="00F36985"/>
    <w:rsid w:val="00F36A34"/>
    <w:rsid w:val="00F36AB7"/>
    <w:rsid w:val="00F36D47"/>
    <w:rsid w:val="00F400F7"/>
    <w:rsid w:val="00F40111"/>
    <w:rsid w:val="00F405EC"/>
    <w:rsid w:val="00F414EE"/>
    <w:rsid w:val="00F41541"/>
    <w:rsid w:val="00F455C0"/>
    <w:rsid w:val="00F52EBF"/>
    <w:rsid w:val="00F52F4A"/>
    <w:rsid w:val="00F54682"/>
    <w:rsid w:val="00F54AED"/>
    <w:rsid w:val="00F55D00"/>
    <w:rsid w:val="00F56288"/>
    <w:rsid w:val="00F565AF"/>
    <w:rsid w:val="00F615F0"/>
    <w:rsid w:val="00F61616"/>
    <w:rsid w:val="00F62ECC"/>
    <w:rsid w:val="00F63959"/>
    <w:rsid w:val="00F64786"/>
    <w:rsid w:val="00F70F51"/>
    <w:rsid w:val="00F712D4"/>
    <w:rsid w:val="00F7244C"/>
    <w:rsid w:val="00F72FF3"/>
    <w:rsid w:val="00F74CBD"/>
    <w:rsid w:val="00F82F51"/>
    <w:rsid w:val="00F84459"/>
    <w:rsid w:val="00F90252"/>
    <w:rsid w:val="00F91ACF"/>
    <w:rsid w:val="00F91E7B"/>
    <w:rsid w:val="00F97429"/>
    <w:rsid w:val="00FA0ABF"/>
    <w:rsid w:val="00FA1C35"/>
    <w:rsid w:val="00FA2CC1"/>
    <w:rsid w:val="00FA4758"/>
    <w:rsid w:val="00FA5772"/>
    <w:rsid w:val="00FB038A"/>
    <w:rsid w:val="00FB0EA4"/>
    <w:rsid w:val="00FB1667"/>
    <w:rsid w:val="00FB1B45"/>
    <w:rsid w:val="00FB3FF9"/>
    <w:rsid w:val="00FB671F"/>
    <w:rsid w:val="00FB7A09"/>
    <w:rsid w:val="00FC0CF9"/>
    <w:rsid w:val="00FC43EB"/>
    <w:rsid w:val="00FC5506"/>
    <w:rsid w:val="00FD0974"/>
    <w:rsid w:val="00FD41C9"/>
    <w:rsid w:val="00FD5071"/>
    <w:rsid w:val="00FD5187"/>
    <w:rsid w:val="00FD6FF9"/>
    <w:rsid w:val="00FE4225"/>
    <w:rsid w:val="00FE476F"/>
    <w:rsid w:val="00FE6A80"/>
    <w:rsid w:val="00FE72E7"/>
    <w:rsid w:val="00FF3A04"/>
    <w:rsid w:val="00FF508E"/>
    <w:rsid w:val="00FF6D84"/>
    <w:rsid w:val="00FF7596"/>
    <w:rsid w:val="00FF7635"/>
    <w:rsid w:val="1B84319F"/>
    <w:rsid w:val="1D2B5216"/>
    <w:rsid w:val="39C474E5"/>
    <w:rsid w:val="3E8F249C"/>
    <w:rsid w:val="43491F44"/>
    <w:rsid w:val="45FAEA7F"/>
    <w:rsid w:val="47C15A82"/>
    <w:rsid w:val="57C1CDEE"/>
    <w:rsid w:val="65477716"/>
    <w:rsid w:val="65ED8C46"/>
    <w:rsid w:val="674037D3"/>
    <w:rsid w:val="68316A15"/>
    <w:rsid w:val="6B29CBC7"/>
    <w:rsid w:val="6D4119B1"/>
    <w:rsid w:val="719EF434"/>
    <w:rsid w:val="7214B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78DF5"/>
  <w15:docId w15:val="{EFB881FA-857C-4D06-8B2A-B2C97E23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keepNext/>
      <w:keepLines/>
      <w:spacing w:before="480" w:after="0"/>
      <w:outlineLvl w:val="0"/>
    </w:pPr>
    <w:rPr>
      <w:b/>
      <w:bCs/>
      <w:color w:val="3E5AA8"/>
      <w:sz w:val="28"/>
      <w:szCs w:val="28"/>
    </w:rPr>
  </w:style>
  <w:style w:type="paragraph" w:styleId="Heading2">
    <w:name w:val="heading 2"/>
    <w:basedOn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6440A3"/>
      <w:sz w:val="26"/>
      <w:szCs w:val="26"/>
    </w:rPr>
  </w:style>
  <w:style w:type="paragraph" w:styleId="Heading3">
    <w:name w:val="heading 3"/>
    <w:basedOn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0D1F5"/>
    </w:rPr>
  </w:style>
  <w:style w:type="paragraph" w:styleId="Heading4">
    <w:name w:val="heading 4"/>
    <w:basedOn w:val="Normal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3E5AA8"/>
    </w:rPr>
  </w:style>
  <w:style w:type="paragraph" w:styleId="Heading5">
    <w:name w:val="heading 5"/>
    <w:basedOn w:val="Normal"/>
    <w:uiPriority w:val="9"/>
    <w:semiHidden/>
    <w:unhideWhenUsed/>
    <w:qFormat/>
    <w:pPr>
      <w:keepNext/>
      <w:keepLines/>
      <w:spacing w:before="200" w:after="0"/>
      <w:outlineLvl w:val="4"/>
    </w:pPr>
    <w:rPr>
      <w:color w:val="1F2D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pPr>
      <w:spacing w:after="0" w:line="240" w:lineRule="auto"/>
    </w:pPr>
  </w:style>
  <w:style w:type="character" w:customStyle="1" w:styleId="Heading1Char">
    <w:name w:val="Heading 1 Char"/>
    <w:aliases w:val="Xo Heading 1 Char"/>
    <w:basedOn w:val="DefaultParagraphFont"/>
    <w:uiPriority w:val="9"/>
    <w:qFormat/>
    <w:rPr>
      <w:rFonts w:ascii="Arial" w:hAnsi="Arial"/>
      <w:b/>
      <w:bCs/>
      <w:color w:val="3E5AA8"/>
      <w:sz w:val="28"/>
      <w:szCs w:val="28"/>
    </w:rPr>
  </w:style>
  <w:style w:type="character" w:customStyle="1" w:styleId="Heading2Char">
    <w:name w:val="Heading 2 Char"/>
    <w:basedOn w:val="DefaultParagraphFont"/>
    <w:qFormat/>
    <w:rPr>
      <w:rFonts w:ascii="Arial" w:hAnsi="Arial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uiPriority w:val="10"/>
    <w:qFormat/>
    <w:pPr>
      <w:pBdr>
        <w:bottom w:val="single" w:sz="8" w:space="4" w:color="3E5AA8"/>
      </w:pBdr>
      <w:spacing w:after="300" w:line="240" w:lineRule="auto"/>
      <w:contextualSpacing/>
    </w:pPr>
    <w:rPr>
      <w:b/>
      <w:bCs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uiPriority w:val="10"/>
    <w:qFormat/>
    <w:rPr>
      <w:rFonts w:ascii="Arial" w:hAnsi="Arial"/>
      <w:b/>
      <w:bCs/>
      <w:color w:val="1D3E61"/>
      <w:spacing w:val="5"/>
      <w:kern w:val="28"/>
      <w:sz w:val="52"/>
      <w:szCs w:val="52"/>
    </w:rPr>
  </w:style>
  <w:style w:type="paragraph" w:styleId="Subtitle">
    <w:name w:val="Subtitle"/>
    <w:basedOn w:val="Normal"/>
    <w:uiPriority w:val="11"/>
    <w:qFormat/>
    <w:rPr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basedOn w:val="DefaultParagraphFont"/>
    <w:qFormat/>
    <w:rPr>
      <w:rFonts w:ascii="Arial" w:hAnsi="Arial"/>
      <w:i/>
      <w:iCs/>
      <w:color w:val="56CF9E"/>
      <w:spacing w:val="15"/>
      <w:sz w:val="24"/>
      <w:szCs w:val="24"/>
    </w:rPr>
  </w:style>
  <w:style w:type="character" w:styleId="SubtleEmphasis">
    <w:name w:val="Subtle Emphasis"/>
    <w:basedOn w:val="DefaultParagraphFont"/>
    <w:qFormat/>
    <w:rPr>
      <w:rFonts w:ascii="Arial" w:hAnsi="Arial"/>
      <w:i/>
      <w:iCs/>
      <w:color w:val="808080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qFormat/>
    <w:rPr>
      <w:rFonts w:ascii="Arial" w:hAnsi="Arial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qFormat/>
    <w:rPr>
      <w:rFonts w:ascii="Arial" w:hAnsi="Arial"/>
    </w:rPr>
  </w:style>
  <w:style w:type="character" w:customStyle="1" w:styleId="Heading3Char">
    <w:name w:val="Heading 3 Char"/>
    <w:basedOn w:val="DefaultParagraphFont"/>
    <w:qFormat/>
    <w:rPr>
      <w:rFonts w:ascii="Arial" w:hAnsi="Arial"/>
      <w:b/>
      <w:bCs/>
      <w:color w:val="40D1F5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qFormat/>
    <w:rPr>
      <w:color w:val="6440A3"/>
      <w:u w:val="single"/>
    </w:rPr>
  </w:style>
  <w:style w:type="character" w:customStyle="1" w:styleId="Heading4Char">
    <w:name w:val="Heading 4 Char"/>
    <w:basedOn w:val="DefaultParagraphFont"/>
    <w:qFormat/>
    <w:rPr>
      <w:rFonts w:ascii="Arial" w:hAnsi="Arial"/>
      <w:b/>
      <w:bCs/>
      <w:i/>
      <w:iCs/>
      <w:color w:val="3E5AA8"/>
    </w:rPr>
  </w:style>
  <w:style w:type="character" w:customStyle="1" w:styleId="Heading5Char">
    <w:name w:val="Heading 5 Char"/>
    <w:basedOn w:val="DefaultParagraphFont"/>
    <w:qFormat/>
    <w:rPr>
      <w:rFonts w:ascii="Arial" w:hAnsi="Arial"/>
      <w:color w:val="1F2D54"/>
    </w:rPr>
  </w:style>
  <w:style w:type="character" w:styleId="IntenseEmphasis">
    <w:name w:val="Intense Emphasis"/>
    <w:basedOn w:val="DefaultParagraphFont"/>
    <w:qFormat/>
    <w:rPr>
      <w:b/>
      <w:bCs/>
      <w:i/>
      <w:iCs/>
      <w:color w:val="3E5AA8"/>
    </w:rPr>
  </w:style>
  <w:style w:type="character" w:styleId="Strong">
    <w:name w:val="Strong"/>
    <w:basedOn w:val="DefaultParagraphFont"/>
    <w:qFormat/>
    <w:rPr>
      <w:b/>
      <w:bCs/>
    </w:rPr>
  </w:style>
  <w:style w:type="paragraph" w:styleId="Quote">
    <w:name w:val="Quote"/>
    <w:basedOn w:val="Normal"/>
    <w:qFormat/>
    <w:rPr>
      <w:i/>
      <w:iCs/>
      <w:color w:val="000000"/>
    </w:rPr>
  </w:style>
  <w:style w:type="character" w:customStyle="1" w:styleId="QuoteChar">
    <w:name w:val="Quote Char"/>
    <w:basedOn w:val="DefaultParagraphFont"/>
    <w:qFormat/>
    <w:rPr>
      <w:rFonts w:ascii="Arial" w:hAnsi="Arial"/>
      <w:i/>
      <w:iCs/>
      <w:color w:val="000000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qFormat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character" w:customStyle="1" w:styleId="CommentSubjectChar">
    <w:name w:val="Comment Subject Char"/>
    <w:basedOn w:val="CommentTextChar"/>
    <w:qFormat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ListParagraphChar">
    <w:name w:val="List Paragraph Char"/>
    <w:qFormat/>
  </w:style>
  <w:style w:type="paragraph" w:styleId="Revision">
    <w:name w:val="Revision"/>
    <w:qFormat/>
    <w:pPr>
      <w:spacing w:after="0" w:line="240" w:lineRule="auto"/>
    </w:pPr>
  </w:style>
  <w:style w:type="numbering" w:customStyle="1" w:styleId="Style40">
    <w:name w:val="Style40"/>
    <w:qFormat/>
    <w:pPr>
      <w:numPr>
        <w:numId w:val="1"/>
      </w:numPr>
    </w:pPr>
  </w:style>
  <w:style w:type="numbering" w:customStyle="1" w:styleId="Style401">
    <w:name w:val="Style401"/>
    <w:qFormat/>
    <w:pPr>
      <w:numPr>
        <w:numId w:val="2"/>
      </w:numPr>
    </w:pPr>
  </w:style>
  <w:style w:type="numbering" w:customStyle="1" w:styleId="Style402">
    <w:name w:val="Style402"/>
    <w:qFormat/>
    <w:pPr>
      <w:numPr>
        <w:numId w:val="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C0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image" Target="media/image4.emf"/><Relationship Id="rId26" Type="http://schemas.openxmlformats.org/officeDocument/2006/relationships/image" Target="media/image8.emf"/><Relationship Id="rId39" Type="http://schemas.openxmlformats.org/officeDocument/2006/relationships/header" Target="header3.xml"/><Relationship Id="rId21" Type="http://schemas.openxmlformats.org/officeDocument/2006/relationships/package" Target="embeddings/Microsoft_Visio_Drawing4.vsdx"/><Relationship Id="rId34" Type="http://schemas.openxmlformats.org/officeDocument/2006/relationships/hyperlink" Target="mailto:uklink@xoserve.com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2.vsdx"/><Relationship Id="rId20" Type="http://schemas.openxmlformats.org/officeDocument/2006/relationships/image" Target="media/image5.emf"/><Relationship Id="rId29" Type="http://schemas.openxmlformats.org/officeDocument/2006/relationships/package" Target="embeddings/Microsoft_Visio_Drawing8.vsdx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24" Type="http://schemas.openxmlformats.org/officeDocument/2006/relationships/image" Target="media/image7.emf"/><Relationship Id="rId32" Type="http://schemas.openxmlformats.org/officeDocument/2006/relationships/image" Target="media/image11.pn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3.emf"/><Relationship Id="rId23" Type="http://schemas.openxmlformats.org/officeDocument/2006/relationships/package" Target="embeddings/Microsoft_Visio_Drawing5.vsdx"/><Relationship Id="rId28" Type="http://schemas.openxmlformats.org/officeDocument/2006/relationships/image" Target="media/image9.emf"/><Relationship Id="rId36" Type="http://schemas.openxmlformats.org/officeDocument/2006/relationships/header" Target="header2.xml"/><Relationship Id="rId10" Type="http://schemas.openxmlformats.org/officeDocument/2006/relationships/hyperlink" Target="mailto:james.barlow@xoserve.com" TargetMode="External"/><Relationship Id="rId19" Type="http://schemas.openxmlformats.org/officeDocument/2006/relationships/package" Target="embeddings/Microsoft_Visio_Drawing3.vsdx"/><Relationship Id="rId31" Type="http://schemas.openxmlformats.org/officeDocument/2006/relationships/package" Target="embeddings/Microsoft_Visio_Drawing9.vsdx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package" Target="embeddings/Microsoft_Visio_Drawing1.vsdx"/><Relationship Id="rId22" Type="http://schemas.openxmlformats.org/officeDocument/2006/relationships/image" Target="media/image6.emf"/><Relationship Id="rId27" Type="http://schemas.openxmlformats.org/officeDocument/2006/relationships/package" Target="embeddings/Microsoft_Visio_Drawing7.vsdx"/><Relationship Id="rId30" Type="http://schemas.openxmlformats.org/officeDocument/2006/relationships/image" Target="media/image10.emf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package" Target="embeddings/Microsoft_Visio_Drawing.vsdx"/><Relationship Id="rId17" Type="http://schemas.openxmlformats.org/officeDocument/2006/relationships/hyperlink" Target="https://www.xoserve.com/calendar/dsc-delivery-sub-group-14th-december-2020/" TargetMode="External"/><Relationship Id="rId25" Type="http://schemas.openxmlformats.org/officeDocument/2006/relationships/package" Target="embeddings/Microsoft_Visio_Drawing6.vsdx"/><Relationship Id="rId33" Type="http://schemas.openxmlformats.org/officeDocument/2006/relationships/hyperlink" Target="mailto:uklink@xoserve.com" TargetMode="External"/><Relationship Id="rId38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 xmlns="5844fa40-a696-4ac9-bd38-c0330d295109" xsi:nil="true"/>
    <Date_x0020_of_x0020_Meetings xmlns="5844fa40-a696-4ac9-bd38-c0330d295109" xsi:nil="true"/>
    <_x006a_hd3 xmlns="5844fa40-a696-4ac9-bd38-c0330d295109" xsi:nil="true"/>
    <Customer_x0020_Contracts_x0020_Lead xmlns="5844fa40-a696-4ac9-bd38-c0330d2951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D4E94D94ABB48A35A572EF9A60258" ma:contentTypeVersion="14" ma:contentTypeDescription="Create a new document." ma:contentTypeScope="" ma:versionID="33b8fecee8c4713a57430302bf85c5cc">
  <xsd:schema xmlns:xsd="http://www.w3.org/2001/XMLSchema" xmlns:xs="http://www.w3.org/2001/XMLSchema" xmlns:p="http://schemas.microsoft.com/office/2006/metadata/properties" xmlns:ns2="5844fa40-a696-4ac9-bd38-c0330d295109" xmlns:ns3="c78a4dae-5fc0-4ed3-ad80-da51122ab114" targetNamespace="http://schemas.microsoft.com/office/2006/metadata/properties" ma:root="true" ma:fieldsID="f5412dd98e0cafb03a0a30bd6733c8ea" ns2:_="" ns3:_="">
    <xsd:import namespace="5844fa40-a696-4ac9-bd38-c0330d295109"/>
    <xsd:import namespace="c78a4dae-5fc0-4ed3-ad80-da51122ab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CAM" minOccurs="0"/>
                <xsd:element ref="ns2:Customer_x0020_Contracts_x0020_Lead" minOccurs="0"/>
                <xsd:element ref="ns2:Date_x0020_of_x0020_Meetings" minOccurs="0"/>
                <xsd:element ref="ns2:_x006a_hd3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4fa40-a696-4ac9-bd38-c0330d295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CAM" ma:index="12" nillable="true" ma:displayName="CAM" ma:format="Dropdown" ma:internalName="CAM">
      <xsd:simpleType>
        <xsd:restriction base="dms:Text">
          <xsd:maxLength value="255"/>
        </xsd:restriction>
      </xsd:simpleType>
    </xsd:element>
    <xsd:element name="Customer_x0020_Contracts_x0020_Lead" ma:index="13" nillable="true" ma:displayName="Customer Contracts Lead" ma:format="Dropdown" ma:internalName="Customer_x0020_Contracts_x0020_Lead">
      <xsd:simpleType>
        <xsd:restriction base="dms:Text">
          <xsd:maxLength value="255"/>
        </xsd:restriction>
      </xsd:simpleType>
    </xsd:element>
    <xsd:element name="Date_x0020_of_x0020_Meetings" ma:index="14" nillable="true" ma:displayName="Date of Meetings" ma:format="Dropdown" ma:internalName="Date_x0020_of_x0020_Meetings">
      <xsd:simpleType>
        <xsd:restriction base="dms:Text">
          <xsd:maxLength value="255"/>
        </xsd:restriction>
      </xsd:simpleType>
    </xsd:element>
    <xsd:element name="_x006a_hd3" ma:index="15" nillable="true" ma:displayName="Date of Meeting" ma:internalName="_x006a_hd3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4dae-5fc0-4ed3-ad80-da51122ab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025CB-3362-4C6B-97E3-62D27396817C}">
  <ds:schemaRefs>
    <ds:schemaRef ds:uri="http://schemas.microsoft.com/office/2006/metadata/properties"/>
    <ds:schemaRef ds:uri="http://schemas.microsoft.com/office/infopath/2007/PartnerControls"/>
    <ds:schemaRef ds:uri="5844fa40-a696-4ac9-bd38-c0330d295109"/>
  </ds:schemaRefs>
</ds:datastoreItem>
</file>

<file path=customXml/itemProps2.xml><?xml version="1.0" encoding="utf-8"?>
<ds:datastoreItem xmlns:ds="http://schemas.openxmlformats.org/officeDocument/2006/customXml" ds:itemID="{DE2EF549-0DB8-46CF-8A60-169124774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0E5C1-0BC4-43A5-9759-691B8FD54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4fa40-a696-4ac9-bd38-c0330d295109"/>
    <ds:schemaRef ds:uri="c78a4dae-5fc0-4ed3-ad80-da51122ab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15025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Grid</dc:creator>
  <cp:keywords/>
  <cp:lastModifiedBy>Rachel Taggart</cp:lastModifiedBy>
  <cp:revision>4</cp:revision>
  <dcterms:created xsi:type="dcterms:W3CDTF">2021-05-13T10:32:00Z</dcterms:created>
  <dcterms:modified xsi:type="dcterms:W3CDTF">2021-05-17T09:15:00Z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0x0101002A9D4E94D94ABB48A35A572EF9A60258</vt:lpwstr>
  </property>
</Properties>
</file>