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96c2e6b034fb421a" /><Relationship Type="http://schemas.openxmlformats.org/package/2006/relationships/metadata/core-properties" Target="/docProps/core.xml" Id="R9a9eb45568584518" /><Relationship Type="http://schemas.openxmlformats.org/officeDocument/2006/relationships/extended-properties" Target="/docProps/app.xml" Id="R7d66c913e6644ad5" /><Relationship Type="http://schemas.openxmlformats.org/officeDocument/2006/relationships/custom-properties" Target="/docProps/custom.xml" Id="R76cd07873d734ed1"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Section D: High Level Solution Options</w:t>
      </w:r>
    </w:p>
    <w:p>
      <w:pPr>
        <w:pStyle w:val="heading 1"/>
      </w:pPr>
      <w:r>
        <w:t>D1: Solution Options</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16"/>
        </w:trPr>
        <w:tc>
          <w:tcPr>
            <w:shd w:val="clear" w:fill="B3EDFB"/>
            <w:tcW w:type="pct" w:w="1223"/>
            <w:vAlign w:val="center"/>
          </w:tcPr>
          <w:p>
            <w:pPr>
              <w:rPr>
                <w:rFonts w:cs="Arial"/>
              </w:rPr>
              <w:jc w:val="right"/>
            </w:pPr>
            <w:r>
              <w:rPr>
                <w:rFonts w:cs="Arial"/>
              </w:rPr>
              <w:t>Solution Option Summary:</w:t>
            </w:r>
          </w:p>
        </w:tc>
        <w:tc>
          <w:tcPr>
            <w:tcW w:type="pct" w:w="3777"/>
            <w:vAlign w:val="center"/>
          </w:tcPr>
          <w:p>
            <w:pPr>
              <w:rPr>
                <w:b w:val="1"/>
                <w:bCs w:val="1"/>
                <w:rFonts w:cs="Arial"/>
                <w:sz w:val="10"/>
                <w:szCs w:val="10"/>
              </w:rPr>
              <w:pStyle w:val="List Paragraph"/>
              <w:jc w:val="both"/>
              <w:ind w:left="0"/>
            </w:pPr>
          </w:p>
          <w:p>
            <w:pPr>
              <w:rPr>
                <w:b w:val="1"/>
                <w:bCs w:val="1"/>
                <w:rFonts w:cs="Arial"/>
                <w:u w:val="single"/>
              </w:rPr>
              <w:pStyle w:val="List Paragraph"/>
              <w:jc w:val="both"/>
              <w:ind w:left="0"/>
            </w:pPr>
            <w:hyperlink r:id="R655f449d8d15451c">
              <w:r>
                <w:rPr>
                  <w:rStyle w:val="Hyperlink"/>
                  <w:b w:val="1"/>
                  <w:bCs w:val="1"/>
                  <w:rFonts w:cs="Arial"/>
                </w:rPr>
                <w:t>XRN5</w:t>
              </w:r>
              <w:r>
                <w:rPr>
                  <w:rStyle w:val="Hyperlink"/>
                  <w:b w:val="1"/>
                  <w:bCs w:val="1"/>
                  <w:rFonts w:cs="Arial"/>
                </w:rPr>
                <w:t>298</w:t>
              </w:r>
              <w:r>
                <w:rPr>
                  <w:rStyle w:val="Hyperlink"/>
                  <w:b w:val="1"/>
                  <w:bCs w:val="1"/>
                  <w:rFonts w:cs="Arial"/>
                </w:rPr>
                <w:t xml:space="preserve"> - </w:t>
              </w:r>
              <w:r>
                <w:rPr>
                  <w:rStyle w:val="Hyperlink"/>
                  <w:b w:val="1"/>
                  <w:bCs w:val="1"/>
                  <w:rFonts w:cs="Arial"/>
                </w:rPr>
                <w:t>H100 Fife Project - Phase 1</w:t>
              </w:r>
            </w:hyperlink>
          </w:p>
          <w:p>
            <w:pPr>
              <w:rPr>
                <w:b w:val="1"/>
                <w:bCs w:val="1"/>
                <w:rFonts w:cs="Arial"/>
                <w:u w:val="single"/>
              </w:rPr>
              <w:pStyle w:val="List Paragraph"/>
              <w:jc w:val="both"/>
              <w:ind w:left="0"/>
            </w:pPr>
          </w:p>
          <w:p>
            <w:pPr>
              <w:rPr>
                <w:b w:val="1"/>
                <w:bCs w:val="1"/>
                <w:rFonts w:cs="Arial"/>
                <w:u w:val="single"/>
              </w:rPr>
              <w:pStyle w:val="List Paragraph"/>
              <w:jc w:val="both"/>
              <w:ind w:left="0"/>
            </w:pPr>
            <w:r>
              <w:rPr>
                <w:b w:val="1"/>
                <w:bCs w:val="1"/>
                <w:rFonts w:cs="Arial"/>
                <w:u w:val="single"/>
              </w:rPr>
              <w:t>Background</w:t>
            </w:r>
          </w:p>
          <w:p>
            <w:pPr>
              <w:rPr>
                <w:rFonts w:cs="Arial"/>
              </w:rPr>
              <w:pStyle w:val="List Paragraph"/>
              <w:jc w:val="both"/>
              <w:ind w:left="0"/>
            </w:pPr>
          </w:p>
          <w:p>
            <w:pPr>
              <w:rPr>
                <w:rFonts w:eastAsia="Arial"/>
              </w:rPr>
              <w:jc w:val="both"/>
            </w:pPr>
            <w:r>
              <w:rPr>
                <w:rFonts w:eastAsia="Arial"/>
                <w:lang w:val="en-US"/>
              </w:rPr>
              <w:t>SGN are developing a world-first 100% hydrogen network in </w:t>
            </w:r>
            <w:r>
              <w:rPr>
                <w:rFonts w:eastAsia="Arial"/>
                <w:lang w:val="en-US"/>
              </w:rPr>
              <w:t>Levenmouth</w:t>
            </w:r>
            <w:r>
              <w:rPr>
                <w:rFonts w:eastAsia="Arial"/>
                <w:lang w:val="en-US"/>
              </w:rPr>
              <w:t xml:space="preserve"> that will bring renewable hydrogen into homes in early 2023, providing zero-carbon fuel for heating and cooking. In the </w:t>
            </w:r>
            <w:r>
              <w:rPr>
                <w:rFonts w:eastAsia="Arial"/>
                <w:lang w:val="en-US"/>
              </w:rPr>
              <w:t>demonstration</w:t>
            </w:r>
            <w:r>
              <w:rPr>
                <w:rFonts w:eastAsia="Arial"/>
                <w:lang w:val="en-US"/>
              </w:rPr>
              <w:t>’</w:t>
            </w:r>
            <w:r>
              <w:rPr>
                <w:rFonts w:eastAsia="Arial"/>
                <w:lang w:val="en-US"/>
              </w:rPr>
              <w:t>s</w:t>
            </w:r>
            <w:r>
              <w:rPr>
                <w:rFonts w:eastAsia="Arial"/>
                <w:lang w:val="en-US"/>
              </w:rPr>
              <w:t xml:space="preserve"> </w:t>
            </w:r>
            <w:r>
              <w:rPr>
                <w:rFonts w:eastAsia="Arial"/>
                <w:lang w:val="en-US"/>
              </w:rPr>
              <w:t xml:space="preserve">first phase, the network will </w:t>
            </w:r>
            <w:r>
              <w:rPr>
                <w:rFonts w:eastAsia="Arial"/>
                <w:lang w:val="en-US"/>
              </w:rPr>
              <w:t xml:space="preserve">aim to </w:t>
            </w:r>
            <w:r>
              <w:rPr>
                <w:rFonts w:eastAsia="Arial"/>
                <w:lang w:val="en-US"/>
              </w:rPr>
              <w:t>heat around 300 local homes using clean gas produced by a dedicated electrolysis plant, powered by a nearby offshore wind turbine.</w:t>
            </w:r>
          </w:p>
          <w:p>
            <w:pPr>
              <w:rPr>
                <w:rFonts w:eastAsia="Arial"/>
                <w:lang w:val="en-US"/>
              </w:rPr>
              <w:jc w:val="both"/>
            </w:pPr>
          </w:p>
          <w:p>
            <w:pPr>
              <w:rPr>
                <w:rFonts w:eastAsia="Arial"/>
              </w:rPr>
              <w:jc w:val="both"/>
            </w:pPr>
            <w:r>
              <w:rPr>
                <w:rFonts w:eastAsia="Arial"/>
                <w:lang w:val="en-US"/>
              </w:rPr>
              <w:t xml:space="preserve">The </w:t>
            </w:r>
            <w:hyperlink r:id="R4ae725df65fd4751">
              <w:r>
                <w:rPr>
                  <w:rStyle w:val="Hyperlink"/>
                  <w:rFonts w:eastAsia="Arial"/>
                  <w:lang w:val="en-US"/>
                </w:rPr>
                <w:t>H100 Fife demonstration</w:t>
              </w:r>
            </w:hyperlink>
            <w:r>
              <w:rPr>
                <w:rFonts w:eastAsia="Arial"/>
                <w:lang w:val="en-US"/>
              </w:rPr>
              <w:t xml:space="preserve"> is set out to prove the role that hydrogen can play in </w:t>
            </w:r>
            <w:r>
              <w:rPr>
                <w:rFonts w:eastAsia="Arial"/>
                <w:lang w:val="en-US"/>
              </w:rPr>
              <w:t>decarbonising</w:t>
            </w:r>
            <w:r>
              <w:rPr>
                <w:rFonts w:eastAsia="Arial"/>
                <w:lang w:val="en-US"/>
              </w:rPr>
              <w:t xml:space="preserve"> heat and will comprise of an end to end system, including power generation incorporating offshore wind, hydrogen production, storage, pressure reduction, </w:t>
            </w:r>
            <w:r>
              <w:rPr>
                <w:rFonts w:eastAsia="Arial"/>
                <w:lang w:val="en-US"/>
              </w:rPr>
              <w:t>odorisation</w:t>
            </w:r>
            <w:r>
              <w:rPr>
                <w:rFonts w:eastAsia="Arial"/>
                <w:lang w:val="en-US"/>
              </w:rPr>
              <w:t xml:space="preserve">, distribution and </w:t>
            </w:r>
            <w:r>
              <w:rPr>
                <w:rFonts w:eastAsia="Arial"/>
                <w:lang w:val="en-US"/>
              </w:rPr>
              <w:t>consumer</w:t>
            </w:r>
            <w:r>
              <w:rPr>
                <w:rFonts w:eastAsia="Arial"/>
                <w:lang w:val="en-US"/>
              </w:rPr>
              <w:t xml:space="preserve"> connections serving domestic hydrogen meters and appliances. </w:t>
            </w:r>
          </w:p>
          <w:p>
            <w:pPr>
              <w:rPr>
                <w:rFonts w:eastAsia="Arial"/>
                <w:lang w:val="en-US"/>
              </w:rPr>
              <w:jc w:val="both"/>
            </w:pPr>
          </w:p>
          <w:p>
            <w:pPr>
              <w:rPr>
                <w:rFonts w:eastAsia="Arial"/>
              </w:rPr>
              <w:jc w:val="both"/>
            </w:pPr>
            <w:r>
              <w:rPr>
                <w:rFonts w:eastAsia="Arial"/>
                <w:lang w:val="en-US"/>
              </w:rPr>
              <w:t xml:space="preserve">Approximately 300 </w:t>
            </w:r>
            <w:r>
              <w:rPr>
                <w:rFonts w:eastAsia="Arial"/>
                <w:lang w:val="en-US"/>
              </w:rPr>
              <w:t>e</w:t>
            </w:r>
            <w:r>
              <w:rPr>
                <w:rFonts w:eastAsia="Arial"/>
                <w:lang w:val="en-US"/>
              </w:rPr>
              <w:t xml:space="preserve">nd </w:t>
            </w:r>
            <w:r>
              <w:rPr>
                <w:rFonts w:eastAsia="Arial"/>
                <w:lang w:val="en-US"/>
              </w:rPr>
              <w:t>c</w:t>
            </w:r>
            <w:r>
              <w:rPr>
                <w:rFonts w:eastAsia="Arial"/>
                <w:lang w:val="en-US"/>
              </w:rPr>
              <w:t xml:space="preserve">onsumers in </w:t>
            </w:r>
            <w:r>
              <w:rPr>
                <w:rFonts w:eastAsia="Arial"/>
                <w:lang w:val="en-US"/>
              </w:rPr>
              <w:t>Levenmouth</w:t>
            </w:r>
            <w:r>
              <w:rPr>
                <w:rFonts w:eastAsia="Arial"/>
                <w:lang w:val="en-US"/>
              </w:rPr>
              <w:t xml:space="preserve"> will be asked if they want to take part in the demonstration (opt in). For those consumers taking part they will have</w:t>
            </w:r>
            <w:r>
              <w:rPr>
                <w:rFonts w:eastAsia="Arial"/>
                <w:lang w:val="en-US"/>
              </w:rPr>
              <w:t>, along with</w:t>
            </w:r>
            <w:r>
              <w:rPr>
                <w:rFonts w:eastAsia="Arial"/>
                <w:lang w:val="en-US"/>
              </w:rPr>
              <w:t xml:space="preserve"> the installation of</w:t>
            </w:r>
            <w:r>
              <w:rPr>
                <w:rFonts w:eastAsia="Arial"/>
                <w:lang w:val="en-US"/>
              </w:rPr>
              <w:t xml:space="preserve"> a hydrogen compatible meter,</w:t>
            </w:r>
            <w:r>
              <w:rPr>
                <w:rFonts w:eastAsia="Arial"/>
                <w:lang w:val="en-US"/>
              </w:rPr>
              <w:t xml:space="preserve"> their gas appliances changed (i.e. boilers, cookers</w:t>
            </w:r>
            <w:r>
              <w:rPr>
                <w:rFonts w:eastAsia="Arial"/>
                <w:lang w:val="en-US"/>
              </w:rPr>
              <w:t>,</w:t>
            </w:r>
            <w:r>
              <w:rPr>
                <w:rFonts w:eastAsia="Arial"/>
                <w:lang w:val="en-US"/>
              </w:rPr>
              <w:t xml:space="preserve"> gas fires,</w:t>
            </w:r>
            <w:r>
              <w:rPr>
                <w:rFonts w:eastAsia="Arial"/>
                <w:lang w:val="en-US"/>
              </w:rPr>
              <w:t xml:space="preserve"> gas meters</w:t>
            </w:r>
            <w:r>
              <w:rPr>
                <w:rFonts w:eastAsia="Arial"/>
                <w:lang w:val="en-US"/>
              </w:rPr>
              <w:t xml:space="preserve">) to ones that </w:t>
            </w:r>
            <w:r>
              <w:rPr>
                <w:rFonts w:eastAsia="Arial"/>
                <w:lang w:val="en-US"/>
              </w:rPr>
              <w:t xml:space="preserve">can </w:t>
            </w:r>
            <w:r>
              <w:rPr>
                <w:rFonts w:eastAsia="Arial"/>
                <w:lang w:val="en-US"/>
              </w:rPr>
              <w:t xml:space="preserve">run on 100% </w:t>
            </w:r>
            <w:r>
              <w:rPr>
                <w:rFonts w:eastAsia="Arial"/>
                <w:lang w:val="en-US"/>
              </w:rPr>
              <w:t>h</w:t>
            </w:r>
            <w:r>
              <w:rPr>
                <w:rFonts w:eastAsia="Arial"/>
                <w:lang w:val="en-US"/>
              </w:rPr>
              <w:t xml:space="preserve">ydrogen. </w:t>
            </w:r>
          </w:p>
          <w:p>
            <w:pPr>
              <w:rPr>
                <w:rFonts w:eastAsia="Arial"/>
              </w:rPr>
              <w:jc w:val="both"/>
            </w:pPr>
          </w:p>
          <w:p>
            <w:pPr>
              <w:rPr>
                <w:rFonts w:eastAsia="Arial"/>
              </w:rPr>
              <w:jc w:val="both"/>
            </w:pPr>
            <w:r>
              <w:rPr>
                <w:rFonts w:eastAsia="Arial"/>
                <w:lang w:val="en-US"/>
              </w:rPr>
              <w:t xml:space="preserve">H100 Fife is a critical </w:t>
            </w:r>
            <w:r>
              <w:rPr>
                <w:rFonts w:eastAsia="Arial"/>
                <w:lang w:val="en-US"/>
              </w:rPr>
              <w:t>demonstration</w:t>
            </w:r>
            <w:r>
              <w:rPr>
                <w:rFonts w:eastAsia="Arial"/>
                <w:lang w:val="en-US"/>
              </w:rPr>
              <w:t xml:space="preserve">, funded by </w:t>
            </w:r>
            <w:r>
              <w:rPr>
                <w:rFonts w:eastAsia="Arial"/>
                <w:lang w:val="en-US"/>
              </w:rPr>
              <w:t xml:space="preserve">the </w:t>
            </w:r>
            <w:r>
              <w:rPr>
                <w:rFonts w:eastAsia="Arial"/>
                <w:lang w:val="en-US"/>
              </w:rPr>
              <w:t xml:space="preserve">Ofgem </w:t>
            </w:r>
            <w:r>
              <w:rPr>
                <w:rFonts w:eastAsia="Arial"/>
                <w:lang w:val="en-US"/>
              </w:rPr>
              <w:t xml:space="preserve">Network Innovation </w:t>
            </w:r>
            <w:r>
              <w:rPr>
                <w:rFonts w:eastAsia="Arial"/>
                <w:lang w:val="en-US"/>
              </w:rPr>
              <w:t>Competition (</w:t>
            </w:r>
            <w:r>
              <w:rPr>
                <w:rFonts w:eastAsia="Arial"/>
                <w:lang w:val="en-US"/>
              </w:rPr>
              <w:t>NIC</w:t>
            </w:r>
            <w:r>
              <w:rPr>
                <w:rFonts w:eastAsia="Arial"/>
                <w:lang w:val="en-US"/>
              </w:rPr>
              <w:t>)</w:t>
            </w:r>
            <w:r>
              <w:rPr>
                <w:rFonts w:eastAsia="Arial"/>
                <w:lang w:val="en-US"/>
              </w:rPr>
              <w:t xml:space="preserve"> and a Scottish Government Grant</w:t>
            </w:r>
            <w:r>
              <w:rPr>
                <w:rFonts w:eastAsia="Arial"/>
                <w:lang w:val="en-US"/>
              </w:rPr>
              <w:t xml:space="preserve">, to show that 100% </w:t>
            </w:r>
            <w:r>
              <w:rPr>
                <w:rFonts w:eastAsia="Arial"/>
                <w:lang w:val="en-US"/>
              </w:rPr>
              <w:t>h</w:t>
            </w:r>
            <w:r>
              <w:rPr>
                <w:rFonts w:eastAsia="Arial"/>
                <w:lang w:val="en-US"/>
              </w:rPr>
              <w:t xml:space="preserve">ydrogen can play a role in the future of </w:t>
            </w:r>
            <w:r>
              <w:rPr>
                <w:rFonts w:eastAsia="Arial"/>
                <w:lang w:val="en-US"/>
              </w:rPr>
              <w:t>g</w:t>
            </w:r>
            <w:r>
              <w:rPr>
                <w:rFonts w:eastAsia="Arial"/>
                <w:lang w:val="en-US"/>
              </w:rPr>
              <w:t>as and help</w:t>
            </w:r>
            <w:r>
              <w:rPr>
                <w:rFonts w:eastAsia="Arial"/>
                <w:lang w:val="en-US"/>
              </w:rPr>
              <w:t xml:space="preserve"> the industry</w:t>
            </w:r>
            <w:r>
              <w:rPr>
                <w:rFonts w:eastAsia="Arial"/>
                <w:lang w:val="en-US"/>
              </w:rPr>
              <w:t xml:space="preserve"> achieve the </w:t>
            </w:r>
            <w:r>
              <w:rPr>
                <w:rFonts w:eastAsia="Arial"/>
                <w:lang w:val="en-US"/>
              </w:rPr>
              <w:t xml:space="preserve">UK </w:t>
            </w:r>
            <w:r>
              <w:rPr>
                <w:rFonts w:eastAsia="Arial"/>
                <w:lang w:val="en-US"/>
              </w:rPr>
              <w:t>Government Net Zero targets by 2050</w:t>
            </w:r>
            <w:r>
              <w:rPr>
                <w:rFonts w:eastAsia="Arial"/>
                <w:lang w:val="en-US"/>
              </w:rPr>
              <w:t>, and 2045 in Scotland</w:t>
            </w:r>
            <w:r>
              <w:rPr>
                <w:rFonts w:eastAsia="Arial"/>
                <w:lang w:val="en-US"/>
              </w:rPr>
              <w:t xml:space="preserve">. As well as showing that 100% </w:t>
            </w:r>
            <w:r>
              <w:rPr>
                <w:rFonts w:eastAsia="Arial"/>
                <w:lang w:val="en-US"/>
              </w:rPr>
              <w:t>h</w:t>
            </w:r>
            <w:r>
              <w:rPr>
                <w:rFonts w:eastAsia="Arial"/>
                <w:lang w:val="en-US"/>
              </w:rPr>
              <w:t xml:space="preserve">ydrogen can be used as an alternative to </w:t>
            </w:r>
            <w:r>
              <w:rPr>
                <w:rFonts w:eastAsia="Arial"/>
                <w:lang w:val="en-US"/>
              </w:rPr>
              <w:t>n</w:t>
            </w:r>
            <w:r>
              <w:rPr>
                <w:rFonts w:eastAsia="Arial"/>
                <w:lang w:val="en-US"/>
              </w:rPr>
              <w:t xml:space="preserve">atural </w:t>
            </w:r>
            <w:r>
              <w:rPr>
                <w:rFonts w:eastAsia="Arial"/>
                <w:lang w:val="en-US"/>
              </w:rPr>
              <w:t>g</w:t>
            </w:r>
            <w:r>
              <w:rPr>
                <w:rFonts w:eastAsia="Arial"/>
                <w:lang w:val="en-US"/>
              </w:rPr>
              <w:t xml:space="preserve">as, </w:t>
            </w:r>
            <w:r>
              <w:rPr>
                <w:rFonts w:eastAsia="Arial"/>
                <w:lang w:val="en-US"/>
              </w:rPr>
              <w:t xml:space="preserve">the demonstration must ensure that </w:t>
            </w:r>
            <w:r>
              <w:rPr>
                <w:rFonts w:eastAsia="Arial"/>
                <w:lang w:val="en-US"/>
              </w:rPr>
              <w:t>consumers that opt in to the H100 Fife demonstration</w:t>
            </w:r>
            <w:r>
              <w:rPr>
                <w:rFonts w:eastAsia="Arial"/>
                <w:lang w:val="en-US"/>
              </w:rPr>
              <w:t>:</w:t>
            </w:r>
          </w:p>
          <w:p>
            <w:pPr>
              <w:rPr>
                <w:rFonts w:eastAsia="Arial"/>
              </w:rPr>
              <w:numPr>
                <w:ilvl w:val="0"/>
                <w:numId w:val="1"/>
              </w:numPr>
              <w:jc w:val="both"/>
            </w:pPr>
            <w:r>
              <w:rPr>
                <w:rFonts w:eastAsia="Arial"/>
                <w:lang w:val="en-US"/>
              </w:rPr>
              <w:t>Can</w:t>
            </w:r>
            <w:r>
              <w:rPr>
                <w:rFonts w:eastAsia="Arial"/>
                <w:lang w:val="en-US"/>
              </w:rPr>
              <w:t xml:space="preserve"> opt out of the demonstration – i.e. </w:t>
            </w:r>
            <w:r>
              <w:rPr>
                <w:rFonts w:eastAsia="Arial"/>
                <w:lang w:val="en-US"/>
              </w:rPr>
              <w:t>revert back</w:t>
            </w:r>
            <w:r>
              <w:rPr>
                <w:rFonts w:eastAsia="Arial"/>
                <w:lang w:val="en-US"/>
              </w:rPr>
              <w:t xml:space="preserve"> to </w:t>
            </w:r>
            <w:r>
              <w:rPr>
                <w:rFonts w:eastAsia="Arial"/>
                <w:lang w:val="en-US"/>
              </w:rPr>
              <w:t>n</w:t>
            </w:r>
            <w:r>
              <w:rPr>
                <w:rFonts w:eastAsia="Arial"/>
                <w:lang w:val="en-US"/>
              </w:rPr>
              <w:t xml:space="preserve">atural </w:t>
            </w:r>
            <w:r>
              <w:rPr>
                <w:rFonts w:eastAsia="Arial"/>
                <w:lang w:val="en-US"/>
              </w:rPr>
              <w:t>g</w:t>
            </w:r>
            <w:r>
              <w:rPr>
                <w:rFonts w:eastAsia="Arial"/>
                <w:lang w:val="en-US"/>
              </w:rPr>
              <w:t xml:space="preserve">as provisions should they choose to </w:t>
            </w:r>
          </w:p>
          <w:p>
            <w:pPr>
              <w:rPr>
                <w:rFonts w:eastAsia="Arial"/>
              </w:rPr>
              <w:numPr>
                <w:ilvl w:val="0"/>
                <w:numId w:val="1"/>
              </w:numPr>
              <w:jc w:val="both"/>
            </w:pPr>
            <w:r>
              <w:rPr>
                <w:rFonts w:eastAsia="Arial"/>
                <w:lang w:val="en-US"/>
              </w:rPr>
              <w:t>Can</w:t>
            </w:r>
            <w:r>
              <w:rPr>
                <w:rFonts w:eastAsia="Arial"/>
                <w:lang w:val="en-US"/>
              </w:rPr>
              <w:t xml:space="preserve"> switch their Shipper and/or Supplier</w:t>
            </w:r>
            <w:r>
              <w:rPr>
                <w:rFonts w:eastAsia="Arial"/>
                <w:lang w:val="en-US"/>
              </w:rPr>
              <w:t xml:space="preserve"> </w:t>
            </w:r>
            <w:r>
              <w:rPr>
                <w:rFonts w:eastAsia="Arial"/>
                <w:lang w:val="en-US"/>
              </w:rPr>
              <w:t>whilst participating in the demonstration</w:t>
            </w:r>
          </w:p>
          <w:p>
            <w:pPr>
              <w:rPr>
                <w:rFonts w:eastAsia="Arial"/>
              </w:rPr>
              <w:numPr>
                <w:ilvl w:val="0"/>
                <w:numId w:val="1"/>
              </w:numPr>
              <w:jc w:val="both"/>
            </w:pPr>
            <w:r>
              <w:rPr>
                <w:rFonts w:eastAsia="Arial"/>
                <w:lang w:val="en-US"/>
              </w:rPr>
              <w:t>Not be (negatively) financially impacted, participation is on a cost neutral basis</w:t>
            </w:r>
          </w:p>
          <w:p>
            <w:pPr>
              <w:rPr>
                <w:rFonts w:eastAsia="Arial"/>
              </w:rPr>
              <w:numPr>
                <w:ilvl w:val="0"/>
                <w:numId w:val="1"/>
              </w:numPr>
              <w:jc w:val="both"/>
            </w:pPr>
            <w:r>
              <w:rPr>
                <w:rFonts w:eastAsia="Arial"/>
                <w:lang w:val="en-US"/>
              </w:rPr>
              <w:t xml:space="preserve">Have any disruption kept to a minimum </w:t>
            </w:r>
          </w:p>
          <w:p>
            <w:pPr>
              <w:rPr>
                <w:rFonts w:eastAsia="Arial"/>
              </w:rPr>
              <w:jc w:val="both"/>
              <w:ind w:left="720"/>
            </w:pPr>
          </w:p>
          <w:p>
            <w:pPr>
              <w:rPr>
                <w:rFonts w:eastAsia="Arial"/>
                <w:lang w:val="en-US"/>
              </w:rPr>
              <w:jc w:val="both"/>
            </w:pPr>
            <w:r>
              <w:rPr>
                <w:rFonts w:eastAsia="Arial"/>
                <w:lang w:val="en-US"/>
              </w:rPr>
              <w:t>From a central systems perspective these sites will continue to be subject to settlement processes so the CDSP</w:t>
            </w:r>
            <w:r>
              <w:rPr>
                <w:rFonts w:eastAsia="Arial"/>
                <w:lang w:val="en-US"/>
              </w:rPr>
              <w:t xml:space="preserve"> </w:t>
            </w:r>
            <w:r>
              <w:rPr>
                <w:rFonts w:eastAsia="Arial"/>
                <w:lang w:val="en-US"/>
              </w:rPr>
              <w:t xml:space="preserve">have been looking at how </w:t>
            </w:r>
            <w:r>
              <w:rPr>
                <w:rFonts w:eastAsia="Arial"/>
                <w:lang w:val="en-US"/>
              </w:rPr>
              <w:t>it</w:t>
            </w:r>
            <w:r>
              <w:rPr>
                <w:rFonts w:eastAsia="Arial"/>
                <w:lang w:val="en-US"/>
              </w:rPr>
              <w:t xml:space="preserve"> </w:t>
            </w:r>
            <w:r>
              <w:rPr>
                <w:rFonts w:eastAsia="Arial"/>
                <w:lang w:val="en-US"/>
              </w:rPr>
              <w:t xml:space="preserve">can support this </w:t>
            </w:r>
            <w:r>
              <w:rPr>
                <w:rFonts w:eastAsia="Arial"/>
                <w:lang w:val="en-US"/>
              </w:rPr>
              <w:t>demonstration</w:t>
            </w:r>
            <w:r>
              <w:rPr>
                <w:rFonts w:eastAsia="Arial"/>
                <w:lang w:val="en-US"/>
              </w:rPr>
              <w:t xml:space="preserve"> </w:t>
            </w:r>
            <w:r>
              <w:rPr>
                <w:rFonts w:eastAsia="Arial"/>
                <w:lang w:val="en-US"/>
              </w:rPr>
              <w:t xml:space="preserve">to achieve the above within the timescales of </w:t>
            </w:r>
            <w:r>
              <w:rPr>
                <w:rFonts w:eastAsia="Arial"/>
                <w:lang w:val="en-US"/>
              </w:rPr>
              <w:t xml:space="preserve">its </w:t>
            </w:r>
            <w:r>
              <w:rPr>
                <w:rFonts w:eastAsia="Arial"/>
                <w:lang w:val="en-US"/>
              </w:rPr>
              <w:t>first phase</w:t>
            </w:r>
            <w:r>
              <w:rPr>
                <w:rFonts w:eastAsia="Arial"/>
                <w:lang w:val="en-US"/>
              </w:rPr>
              <w:t xml:space="preserve"> (targeting November 2022 Major Release).</w:t>
            </w:r>
          </w:p>
          <w:p>
            <w:pPr>
              <w:rPr>
                <w:rFonts w:eastAsia="Arial"/>
              </w:rPr>
              <w:jc w:val="both"/>
            </w:pPr>
          </w:p>
          <w:p>
            <w:pPr>
              <w:rPr>
                <w:rFonts w:eastAsia="Arial"/>
              </w:rPr>
              <w:jc w:val="both"/>
            </w:pPr>
            <w:r>
              <w:rPr>
                <w:rFonts w:eastAsia="Arial"/>
              </w:rPr>
              <w:t>Please note th</w:t>
            </w:r>
            <w:r>
              <w:rPr>
                <w:rFonts w:eastAsia="Arial"/>
              </w:rPr>
              <w:t>at</w:t>
            </w:r>
            <w:r>
              <w:rPr>
                <w:rFonts w:eastAsia="Arial"/>
              </w:rPr>
              <w:t>,</w:t>
            </w:r>
            <w:r>
              <w:rPr>
                <w:rFonts w:eastAsia="Arial"/>
              </w:rPr>
              <w:t xml:space="preserve"> </w:t>
            </w:r>
            <w:r>
              <w:rPr>
                <w:rFonts w:eastAsia="Arial"/>
              </w:rPr>
              <w:t>as yet</w:t>
            </w:r>
            <w:r>
              <w:rPr>
                <w:rFonts w:eastAsia="Arial"/>
              </w:rPr>
              <w:t xml:space="preserve">, no confirmed </w:t>
            </w:r>
            <w:r>
              <w:rPr>
                <w:rFonts w:eastAsia="Arial"/>
              </w:rPr>
              <w:t xml:space="preserve">end date </w:t>
            </w:r>
            <w:r>
              <w:rPr>
                <w:rFonts w:eastAsia="Arial"/>
              </w:rPr>
              <w:t xml:space="preserve">for </w:t>
            </w:r>
            <w:r>
              <w:rPr>
                <w:rFonts w:eastAsia="Arial"/>
              </w:rPr>
              <w:t>this demonstration</w:t>
            </w:r>
            <w:r>
              <w:rPr>
                <w:rFonts w:eastAsia="Arial"/>
              </w:rPr>
              <w:t xml:space="preserve"> has been set</w:t>
            </w:r>
            <w:r>
              <w:rPr>
                <w:rFonts w:eastAsia="Arial"/>
              </w:rPr>
              <w:t xml:space="preserve">. The Government are aiming to </w:t>
            </w:r>
            <w:r>
              <w:rPr>
                <w:rFonts w:eastAsia="Arial"/>
              </w:rPr>
              <w:t>decide</w:t>
            </w:r>
            <w:r>
              <w:rPr>
                <w:rFonts w:eastAsia="Arial"/>
              </w:rPr>
              <w:t xml:space="preserve"> on whether </w:t>
            </w:r>
            <w:r>
              <w:rPr>
                <w:rFonts w:eastAsia="Arial"/>
              </w:rPr>
              <w:t>h</w:t>
            </w:r>
            <w:r>
              <w:rPr>
                <w:rFonts w:eastAsia="Arial"/>
              </w:rPr>
              <w:t xml:space="preserve">ydrogen is proven as an alternative to </w:t>
            </w:r>
            <w:r>
              <w:rPr>
                <w:rFonts w:eastAsia="Arial"/>
              </w:rPr>
              <w:t>n</w:t>
            </w:r>
            <w:r>
              <w:rPr>
                <w:rFonts w:eastAsia="Arial"/>
              </w:rPr>
              <w:t xml:space="preserve">atural </w:t>
            </w:r>
            <w:r>
              <w:rPr>
                <w:rFonts w:eastAsia="Arial"/>
              </w:rPr>
              <w:t>g</w:t>
            </w:r>
            <w:r>
              <w:rPr>
                <w:rFonts w:eastAsia="Arial"/>
              </w:rPr>
              <w:t xml:space="preserve">as </w:t>
            </w:r>
            <w:r>
              <w:rPr>
                <w:rFonts w:eastAsia="Arial"/>
              </w:rPr>
              <w:t xml:space="preserve">by </w:t>
            </w:r>
            <w:r>
              <w:rPr>
                <w:rFonts w:eastAsia="Arial"/>
              </w:rPr>
              <w:t xml:space="preserve">2025. </w:t>
            </w:r>
            <w:r>
              <w:rPr>
                <w:rFonts w:eastAsia="Arial"/>
              </w:rPr>
              <w:t>T</w:t>
            </w:r>
            <w:r>
              <w:rPr>
                <w:rFonts w:eastAsia="Arial"/>
              </w:rPr>
              <w:t xml:space="preserve">hese </w:t>
            </w:r>
            <w:r>
              <w:rPr>
                <w:rFonts w:eastAsia="Arial"/>
              </w:rPr>
              <w:t xml:space="preserve">consumers may remain on hydrogen for </w:t>
            </w:r>
            <w:r>
              <w:rPr>
                <w:rFonts w:eastAsia="Arial"/>
              </w:rPr>
              <w:t>a number of</w:t>
            </w:r>
            <w:r>
              <w:rPr>
                <w:rFonts w:eastAsia="Arial"/>
              </w:rPr>
              <w:t xml:space="preserve"> years</w:t>
            </w:r>
            <w:r>
              <w:rPr>
                <w:rFonts w:eastAsia="Arial"/>
              </w:rPr>
              <w:t xml:space="preserve"> until an enduring</w:t>
            </w:r>
            <w:r>
              <w:rPr>
                <w:rFonts w:eastAsia="Arial"/>
              </w:rPr>
              <w:t>,</w:t>
            </w:r>
            <w:r>
              <w:rPr>
                <w:rFonts w:eastAsia="Arial"/>
              </w:rPr>
              <w:t xml:space="preserve"> </w:t>
            </w:r>
            <w:r>
              <w:rPr>
                <w:rFonts w:eastAsia="Arial"/>
              </w:rPr>
              <w:t>long-term</w:t>
            </w:r>
            <w:r>
              <w:rPr>
                <w:rFonts w:eastAsia="Arial"/>
              </w:rPr>
              <w:t xml:space="preserve"> solution is agreed by the industry. </w:t>
            </w:r>
          </w:p>
          <w:p>
            <w:pPr>
              <w:rPr>
                <w:rFonts w:eastAsia="Arial"/>
              </w:rPr>
              <w:jc w:val="both"/>
            </w:pPr>
          </w:p>
          <w:p>
            <w:pPr>
              <w:rPr>
                <w:b w:val="1"/>
                <w:bCs w:val="1"/>
                <w:rFonts w:eastAsia="Arial"/>
              </w:rPr>
              <w:jc w:val="both"/>
            </w:pPr>
            <w:r>
              <w:rPr>
                <w:b w:val="1"/>
                <w:bCs w:val="1"/>
                <w:rFonts w:eastAsia="Arial"/>
              </w:rPr>
              <w:t>Calorific Value (CV)</w:t>
            </w:r>
          </w:p>
          <w:p>
            <w:pPr>
              <w:rPr>
                <w:rFonts w:eastAsia="Arial"/>
                <w:lang w:val="en-US"/>
              </w:rPr>
              <w:jc w:val="both"/>
            </w:pPr>
          </w:p>
          <w:p>
            <w:pPr>
              <w:rPr>
                <w:rFonts w:eastAsia="Arial"/>
                <w:lang w:val="en-US"/>
              </w:rPr>
              <w:jc w:val="both"/>
            </w:pPr>
            <w:r>
              <w:rPr>
                <w:rFonts w:eastAsia="Arial"/>
                <w:lang w:val="en-US"/>
              </w:rPr>
              <w:t xml:space="preserve">The CV of 100% </w:t>
            </w:r>
            <w:r>
              <w:rPr>
                <w:rFonts w:eastAsia="Arial"/>
                <w:lang w:val="en-US"/>
              </w:rPr>
              <w:t>h</w:t>
            </w:r>
            <w:r>
              <w:rPr>
                <w:rFonts w:eastAsia="Arial"/>
                <w:lang w:val="en-US"/>
              </w:rPr>
              <w:t xml:space="preserve">ydrogen is greatly different than the CV of </w:t>
            </w:r>
            <w:r>
              <w:rPr>
                <w:rFonts w:eastAsia="Arial"/>
                <w:lang w:val="en-US"/>
              </w:rPr>
              <w:t>n</w:t>
            </w:r>
            <w:r>
              <w:rPr>
                <w:rFonts w:eastAsia="Arial"/>
                <w:lang w:val="en-US"/>
              </w:rPr>
              <w:t xml:space="preserve">atural </w:t>
            </w:r>
            <w:r>
              <w:rPr>
                <w:rFonts w:eastAsia="Arial"/>
                <w:lang w:val="en-US"/>
              </w:rPr>
              <w:t>g</w:t>
            </w:r>
            <w:r>
              <w:rPr>
                <w:rFonts w:eastAsia="Arial"/>
                <w:lang w:val="en-US"/>
              </w:rPr>
              <w:t xml:space="preserve">as (hydrogen CV </w:t>
            </w:r>
            <w:r>
              <w:rPr>
                <w:rFonts w:eastAsia="Arial"/>
                <w:lang w:val="en-US"/>
              </w:rPr>
              <w:t xml:space="preserve">is </w:t>
            </w:r>
            <w:r>
              <w:rPr>
                <w:rFonts w:eastAsia="Arial"/>
                <w:lang w:val="en-US"/>
              </w:rPr>
              <w:t xml:space="preserve">approx. 12, </w:t>
            </w:r>
            <w:r>
              <w:rPr>
                <w:rFonts w:eastAsia="Arial"/>
                <w:lang w:val="en-US"/>
              </w:rPr>
              <w:t xml:space="preserve">whereas </w:t>
            </w:r>
            <w:r>
              <w:rPr>
                <w:rFonts w:eastAsia="Arial"/>
                <w:lang w:val="en-US"/>
              </w:rPr>
              <w:t>n</w:t>
            </w:r>
            <w:r>
              <w:rPr>
                <w:rFonts w:eastAsia="Arial"/>
                <w:lang w:val="en-US"/>
              </w:rPr>
              <w:t xml:space="preserve">atural </w:t>
            </w:r>
            <w:r>
              <w:rPr>
                <w:rFonts w:eastAsia="Arial"/>
                <w:lang w:val="en-US"/>
              </w:rPr>
              <w:t>g</w:t>
            </w:r>
            <w:r>
              <w:rPr>
                <w:rFonts w:eastAsia="Arial"/>
                <w:lang w:val="en-US"/>
              </w:rPr>
              <w:t xml:space="preserve">as CV </w:t>
            </w:r>
            <w:r>
              <w:rPr>
                <w:rFonts w:eastAsia="Arial"/>
                <w:lang w:val="en-US"/>
              </w:rPr>
              <w:t xml:space="preserve">is </w:t>
            </w:r>
            <w:r>
              <w:rPr>
                <w:rFonts w:eastAsia="Arial"/>
                <w:lang w:val="en-US"/>
              </w:rPr>
              <w:t>approx. 39.</w:t>
            </w:r>
            <w:r>
              <w:rPr>
                <w:rFonts w:eastAsia="Arial"/>
                <w:lang w:val="en-US"/>
              </w:rPr>
              <w:t>2</w:t>
            </w:r>
            <w:r>
              <w:rPr>
                <w:rFonts w:eastAsia="Arial"/>
                <w:lang w:val="en-US"/>
              </w:rPr>
              <w:t xml:space="preserve">). This means that </w:t>
            </w:r>
            <w:r>
              <w:rPr>
                <w:rFonts w:eastAsia="Arial"/>
                <w:lang w:val="en-US"/>
              </w:rPr>
              <w:t xml:space="preserve">a greater </w:t>
            </w:r>
            <w:r>
              <w:rPr>
                <w:rFonts w:eastAsia="Arial"/>
                <w:lang w:val="en-US"/>
              </w:rPr>
              <w:t>volume of</w:t>
            </w:r>
            <w:r>
              <w:rPr>
                <w:rFonts w:eastAsia="Arial"/>
                <w:lang w:val="en-US"/>
              </w:rPr>
              <w:t xml:space="preserve"> </w:t>
            </w:r>
            <w:r>
              <w:rPr>
                <w:rFonts w:eastAsia="Arial"/>
                <w:lang w:val="en-US"/>
              </w:rPr>
              <w:t>h</w:t>
            </w:r>
            <w:r>
              <w:rPr>
                <w:rFonts w:eastAsia="Arial"/>
                <w:lang w:val="en-US"/>
              </w:rPr>
              <w:t>ydrogen needs to flow through the meter to burn the same amount of energy</w:t>
            </w:r>
            <w:r>
              <w:rPr>
                <w:rFonts w:eastAsia="Arial"/>
                <w:lang w:val="en-US"/>
              </w:rPr>
              <w:t xml:space="preserve"> (kWh)</w:t>
            </w:r>
            <w:r>
              <w:rPr>
                <w:rFonts w:eastAsia="Arial"/>
                <w:lang w:val="en-US"/>
              </w:rPr>
              <w:t xml:space="preserve"> as </w:t>
            </w:r>
            <w:r>
              <w:rPr>
                <w:rFonts w:eastAsia="Arial"/>
                <w:lang w:val="en-US"/>
              </w:rPr>
              <w:t>n</w:t>
            </w:r>
            <w:r>
              <w:rPr>
                <w:rFonts w:eastAsia="Arial"/>
                <w:lang w:val="en-US"/>
              </w:rPr>
              <w:t xml:space="preserve">atural </w:t>
            </w:r>
            <w:r>
              <w:rPr>
                <w:rFonts w:eastAsia="Arial"/>
                <w:lang w:val="en-US"/>
              </w:rPr>
              <w:t>g</w:t>
            </w:r>
            <w:r>
              <w:rPr>
                <w:rFonts w:eastAsia="Arial"/>
                <w:lang w:val="en-US"/>
              </w:rPr>
              <w:t xml:space="preserve">as. </w:t>
            </w:r>
          </w:p>
          <w:p>
            <w:pPr>
              <w:rPr>
                <w:rFonts w:eastAsia="Arial"/>
              </w:rPr>
              <w:jc w:val="both"/>
            </w:pPr>
          </w:p>
          <w:p>
            <w:pPr>
              <w:rPr>
                <w:rFonts w:eastAsia="Arial"/>
              </w:rPr>
              <w:jc w:val="both"/>
            </w:pPr>
            <w:r>
              <w:rPr>
                <w:rFonts w:eastAsia="Arial"/>
                <w:lang w:val="en-US"/>
              </w:rPr>
              <w:t>If the F</w:t>
            </w:r>
            <w:r>
              <w:rPr>
                <w:rFonts w:eastAsia="Arial"/>
                <w:lang w:val="en-US"/>
              </w:rPr>
              <w:t xml:space="preserve">low </w:t>
            </w:r>
            <w:r>
              <w:rPr>
                <w:rFonts w:eastAsia="Arial"/>
                <w:lang w:val="en-US"/>
              </w:rPr>
              <w:t>W</w:t>
            </w:r>
            <w:r>
              <w:rPr>
                <w:rFonts w:eastAsia="Arial"/>
                <w:lang w:val="en-US"/>
              </w:rPr>
              <w:t xml:space="preserve">eighted </w:t>
            </w:r>
            <w:r>
              <w:rPr>
                <w:rFonts w:eastAsia="Arial"/>
                <w:lang w:val="en-US"/>
              </w:rPr>
              <w:t>A</w:t>
            </w:r>
            <w:r>
              <w:rPr>
                <w:rFonts w:eastAsia="Arial"/>
                <w:lang w:val="en-US"/>
              </w:rPr>
              <w:t xml:space="preserve">verage </w:t>
            </w:r>
            <w:r>
              <w:rPr>
                <w:rFonts w:eastAsia="Arial"/>
                <w:lang w:val="en-US"/>
              </w:rPr>
              <w:t>C</w:t>
            </w:r>
            <w:r>
              <w:rPr>
                <w:rFonts w:eastAsia="Arial"/>
                <w:lang w:val="en-US"/>
              </w:rPr>
              <w:t xml:space="preserve">alorific </w:t>
            </w:r>
            <w:r>
              <w:rPr>
                <w:rFonts w:eastAsia="Arial"/>
                <w:lang w:val="en-US"/>
              </w:rPr>
              <w:t>V</w:t>
            </w:r>
            <w:r>
              <w:rPr>
                <w:rFonts w:eastAsia="Arial"/>
                <w:lang w:val="en-US"/>
              </w:rPr>
              <w:t>alue (FWACV)</w:t>
            </w:r>
            <w:r>
              <w:rPr>
                <w:rFonts w:eastAsia="Arial"/>
                <w:lang w:val="en-US"/>
              </w:rPr>
              <w:t xml:space="preserve"> attributed to the L</w:t>
            </w:r>
            <w:r>
              <w:rPr>
                <w:rFonts w:eastAsia="Arial"/>
                <w:lang w:val="en-US"/>
              </w:rPr>
              <w:t xml:space="preserve">ocal </w:t>
            </w:r>
            <w:r>
              <w:rPr>
                <w:rFonts w:eastAsia="Arial"/>
                <w:lang w:val="en-US"/>
              </w:rPr>
              <w:t>D</w:t>
            </w:r>
            <w:r>
              <w:rPr>
                <w:rFonts w:eastAsia="Arial"/>
                <w:lang w:val="en-US"/>
              </w:rPr>
              <w:t xml:space="preserve">istribution </w:t>
            </w:r>
            <w:r>
              <w:rPr>
                <w:rFonts w:eastAsia="Arial"/>
                <w:lang w:val="en-US"/>
              </w:rPr>
              <w:t>Z</w:t>
            </w:r>
            <w:r>
              <w:rPr>
                <w:rFonts w:eastAsia="Arial"/>
                <w:lang w:val="en-US"/>
              </w:rPr>
              <w:t>one</w:t>
            </w:r>
            <w:r>
              <w:rPr>
                <w:rFonts w:eastAsia="Arial"/>
                <w:lang w:val="en-US"/>
              </w:rPr>
              <w:t xml:space="preserve"> </w:t>
            </w:r>
            <w:r>
              <w:rPr>
                <w:rFonts w:eastAsia="Arial"/>
                <w:lang w:val="en-US"/>
              </w:rPr>
              <w:t xml:space="preserve">(LDZ) </w:t>
            </w:r>
            <w:r>
              <w:rPr>
                <w:rFonts w:eastAsia="Arial"/>
                <w:lang w:val="en-US"/>
              </w:rPr>
              <w:t>that these sites reside within</w:t>
            </w:r>
            <w:r>
              <w:rPr>
                <w:rFonts w:eastAsia="Arial"/>
                <w:lang w:val="en-US"/>
              </w:rPr>
              <w:t xml:space="preserve"> were used to calculate volume</w:t>
            </w:r>
            <w:r>
              <w:rPr>
                <w:rFonts w:eastAsia="Arial"/>
                <w:lang w:val="en-US"/>
              </w:rPr>
              <w:t xml:space="preserve">, it would appear as though these sites were </w:t>
            </w:r>
            <w:r>
              <w:rPr>
                <w:rFonts w:eastAsia="Arial"/>
                <w:lang w:val="en-US"/>
              </w:rPr>
              <w:t>utilising</w:t>
            </w:r>
            <w:r>
              <w:rPr>
                <w:rFonts w:eastAsia="Arial"/>
                <w:lang w:val="en-US"/>
              </w:rPr>
              <w:t xml:space="preserve"> approx. 3 times the amount of energy they </w:t>
            </w:r>
            <w:r>
              <w:rPr>
                <w:rFonts w:eastAsia="Arial"/>
                <w:lang w:val="en-US"/>
              </w:rPr>
              <w:t xml:space="preserve">are </w:t>
            </w:r>
            <w:r>
              <w:rPr>
                <w:rFonts w:eastAsia="Arial"/>
                <w:lang w:val="en-US"/>
              </w:rPr>
              <w:t xml:space="preserve">actually </w:t>
            </w:r>
            <w:r>
              <w:rPr>
                <w:rFonts w:eastAsia="Arial"/>
                <w:lang w:val="en-US"/>
              </w:rPr>
              <w:t>consum</w:t>
            </w:r>
            <w:r>
              <w:rPr>
                <w:rFonts w:eastAsia="Arial"/>
                <w:lang w:val="en-US"/>
              </w:rPr>
              <w:t>ing</w:t>
            </w:r>
            <w:r>
              <w:rPr>
                <w:rFonts w:eastAsia="Arial"/>
                <w:lang w:val="en-US"/>
              </w:rPr>
              <w:t xml:space="preserve"> </w:t>
            </w:r>
            <w:r>
              <w:rPr>
                <w:rFonts w:eastAsia="Arial"/>
                <w:lang w:val="en-US"/>
              </w:rPr>
              <w:t>(</w:t>
            </w:r>
            <w:r>
              <w:rPr>
                <w:rFonts w:eastAsia="Arial"/>
                <w:lang w:val="en-US"/>
              </w:rPr>
              <w:t>based on the volume to energy calculation currently performed to derive Settlement charges</w:t>
            </w:r>
            <w:r>
              <w:rPr>
                <w:rFonts w:eastAsia="Arial"/>
                <w:lang w:val="en-US"/>
              </w:rPr>
              <w:t>)</w:t>
            </w:r>
            <w:r>
              <w:rPr>
                <w:rFonts w:eastAsia="Arial"/>
                <w:lang w:val="en-US"/>
              </w:rPr>
              <w:t xml:space="preserve">. </w:t>
            </w:r>
          </w:p>
          <w:p>
            <w:pPr>
              <w:rPr>
                <w:rFonts w:eastAsia="Arial"/>
                <w:lang w:val="en-US"/>
              </w:rPr>
              <w:jc w:val="both"/>
            </w:pPr>
          </w:p>
          <w:p>
            <w:pPr>
              <w:rPr>
                <w:rFonts w:eastAsia="Arial"/>
              </w:rPr>
              <w:jc w:val="both"/>
            </w:pPr>
            <w:r>
              <w:rPr>
                <w:rFonts w:eastAsia="Arial"/>
                <w:lang w:val="en-US"/>
              </w:rPr>
              <w:t xml:space="preserve">If the </w:t>
            </w:r>
            <w:r>
              <w:rPr>
                <w:rFonts w:eastAsia="Arial"/>
                <w:lang w:val="en-US"/>
              </w:rPr>
              <w:t>h</w:t>
            </w:r>
            <w:r>
              <w:rPr>
                <w:rFonts w:eastAsia="Arial"/>
                <w:lang w:val="en-US"/>
              </w:rPr>
              <w:t xml:space="preserve">ydrogen CV </w:t>
            </w:r>
            <w:r>
              <w:rPr>
                <w:rFonts w:eastAsia="Arial"/>
                <w:lang w:val="en-US"/>
              </w:rPr>
              <w:t>were to be u</w:t>
            </w:r>
            <w:r>
              <w:rPr>
                <w:rFonts w:eastAsia="Arial"/>
                <w:lang w:val="en-US"/>
              </w:rPr>
              <w:t>sed</w:t>
            </w:r>
            <w:r>
              <w:rPr>
                <w:rFonts w:eastAsia="Arial"/>
                <w:lang w:val="en-US"/>
              </w:rPr>
              <w:t xml:space="preserve"> </w:t>
            </w:r>
            <w:r>
              <w:rPr>
                <w:rFonts w:eastAsia="Arial"/>
                <w:lang w:val="en-US"/>
              </w:rPr>
              <w:t xml:space="preserve">in the current FWACV process, the CV for </w:t>
            </w:r>
            <w:r>
              <w:rPr>
                <w:rFonts w:eastAsia="Arial"/>
                <w:lang w:val="en-US"/>
              </w:rPr>
              <w:t xml:space="preserve">the specific </w:t>
            </w:r>
            <w:r>
              <w:rPr>
                <w:rFonts w:eastAsia="Arial"/>
                <w:lang w:val="en-US"/>
              </w:rPr>
              <w:t xml:space="preserve">Scotland LDZ </w:t>
            </w:r>
            <w:r>
              <w:rPr>
                <w:rFonts w:eastAsia="Arial"/>
                <w:lang w:val="en-US"/>
              </w:rPr>
              <w:t>(SC)</w:t>
            </w:r>
            <w:r>
              <w:rPr>
                <w:rFonts w:eastAsia="Arial"/>
                <w:lang w:val="en-US"/>
              </w:rPr>
              <w:t xml:space="preserve"> </w:t>
            </w:r>
            <w:r>
              <w:rPr>
                <w:rFonts w:eastAsia="Arial"/>
                <w:lang w:val="en-US"/>
              </w:rPr>
              <w:t>would be capped at 13</w:t>
            </w:r>
            <w:r>
              <w:rPr>
                <w:rFonts w:eastAsia="Arial"/>
                <w:lang w:val="en-US"/>
              </w:rPr>
              <w:t xml:space="preserve">, in accordance with the obligations set out in the </w:t>
            </w:r>
            <w:r>
              <w:rPr>
                <w:rStyle w:val="Strong"/>
                <w:shd w:val="clear" w:fill="FFFFFF"/>
                <w:b w:val="0"/>
                <w:bCs w:val="0"/>
                <w:color w:val="111111"/>
                <w:rFonts w:cs="Arial"/>
              </w:rPr>
              <w:t>Gas</w:t>
            </w:r>
            <w:r>
              <w:rPr>
                <w:shd w:val="clear" w:fill="FFFFFF"/>
                <w:color w:val="111111"/>
                <w:rFonts w:cs="Arial"/>
              </w:rPr>
              <w:t> (Calculation of </w:t>
            </w:r>
            <w:r>
              <w:rPr>
                <w:rStyle w:val="Strong"/>
                <w:shd w:val="clear" w:fill="FFFFFF"/>
                <w:b w:val="0"/>
                <w:bCs w:val="0"/>
                <w:color w:val="111111"/>
                <w:rFonts w:cs="Arial"/>
              </w:rPr>
              <w:t>Thermal</w:t>
            </w:r>
            <w:r>
              <w:rPr>
                <w:shd w:val="clear" w:fill="FFFFFF"/>
                <w:color w:val="111111"/>
                <w:rFonts w:cs="Arial"/>
              </w:rPr>
              <w:t> </w:t>
            </w:r>
            <w:r>
              <w:rPr>
                <w:rStyle w:val="Strong"/>
                <w:shd w:val="clear" w:fill="FFFFFF"/>
                <w:b w:val="0"/>
                <w:bCs w:val="0"/>
                <w:color w:val="111111"/>
                <w:rFonts w:cs="Arial"/>
              </w:rPr>
              <w:t>Energy</w:t>
            </w:r>
            <w:r>
              <w:rPr>
                <w:shd w:val="clear" w:fill="FFFFFF"/>
                <w:color w:val="111111"/>
                <w:rFonts w:cs="Arial"/>
              </w:rPr>
              <w:t>) </w:t>
            </w:r>
            <w:r>
              <w:rPr>
                <w:rStyle w:val="Strong"/>
                <w:shd w:val="clear" w:fill="FFFFFF"/>
                <w:b w:val="0"/>
                <w:bCs w:val="0"/>
                <w:color w:val="111111"/>
                <w:rFonts w:cs="Arial"/>
              </w:rPr>
              <w:t>Regulations</w:t>
            </w:r>
            <w:r>
              <w:rPr>
                <w:rFonts w:eastAsia="Arial"/>
                <w:lang w:val="en-US"/>
              </w:rPr>
              <w:t>.</w:t>
            </w:r>
            <w:r>
              <w:rPr>
                <w:rFonts w:eastAsia="Arial"/>
                <w:lang w:val="en-US"/>
              </w:rPr>
              <w:t xml:space="preserve"> This would mean that </w:t>
            </w:r>
            <w:r>
              <w:rPr>
                <w:rFonts w:eastAsia="Arial"/>
                <w:lang w:val="en-US"/>
              </w:rPr>
              <w:t>h</w:t>
            </w:r>
            <w:r>
              <w:rPr>
                <w:rFonts w:eastAsia="Arial"/>
                <w:lang w:val="en-US"/>
              </w:rPr>
              <w:t xml:space="preserve">ydrogen energy </w:t>
            </w:r>
            <w:r>
              <w:rPr>
                <w:rFonts w:eastAsia="Arial"/>
                <w:lang w:val="en-US"/>
              </w:rPr>
              <w:t>would be</w:t>
            </w:r>
            <w:r>
              <w:rPr>
                <w:rFonts w:eastAsia="Arial"/>
                <w:lang w:val="en-US"/>
              </w:rPr>
              <w:t xml:space="preserve"> </w:t>
            </w:r>
            <w:r>
              <w:rPr>
                <w:rFonts w:eastAsia="Arial"/>
                <w:lang w:val="en-US"/>
              </w:rPr>
              <w:t>overstated,</w:t>
            </w:r>
            <w:r>
              <w:rPr>
                <w:rFonts w:eastAsia="Arial"/>
                <w:lang w:val="en-US"/>
              </w:rPr>
              <w:t xml:space="preserve"> and </w:t>
            </w:r>
            <w:r>
              <w:rPr>
                <w:rFonts w:eastAsia="Arial"/>
                <w:lang w:val="en-US"/>
              </w:rPr>
              <w:t>n</w:t>
            </w:r>
            <w:r>
              <w:rPr>
                <w:rFonts w:eastAsia="Arial"/>
                <w:lang w:val="en-US"/>
              </w:rPr>
              <w:t xml:space="preserve">atural </w:t>
            </w:r>
            <w:r>
              <w:rPr>
                <w:rFonts w:eastAsia="Arial"/>
                <w:lang w:val="en-US"/>
              </w:rPr>
              <w:t>g</w:t>
            </w:r>
            <w:r>
              <w:rPr>
                <w:rFonts w:eastAsia="Arial"/>
                <w:lang w:val="en-US"/>
              </w:rPr>
              <w:t xml:space="preserve">as understated </w:t>
            </w:r>
            <w:r>
              <w:rPr>
                <w:rFonts w:eastAsia="Arial"/>
                <w:lang w:val="en-US"/>
              </w:rPr>
              <w:t>which</w:t>
            </w:r>
            <w:r>
              <w:rPr>
                <w:rFonts w:eastAsia="Arial"/>
                <w:lang w:val="en-US"/>
              </w:rPr>
              <w:t xml:space="preserve"> would impact energy balancing and settlement processes for all sites</w:t>
            </w:r>
            <w:r>
              <w:rPr>
                <w:rFonts w:eastAsia="Arial"/>
                <w:lang w:val="en-US"/>
              </w:rPr>
              <w:t xml:space="preserve"> within the specific LDZ. For the avoidance of doubt, this would</w:t>
            </w:r>
            <w:r>
              <w:rPr>
                <w:rFonts w:eastAsia="Arial"/>
                <w:lang w:val="en-US"/>
              </w:rPr>
              <w:t xml:space="preserve"> </w:t>
            </w:r>
            <w:r>
              <w:rPr>
                <w:rFonts w:eastAsia="Arial"/>
                <w:lang w:val="en-US"/>
              </w:rPr>
              <w:t>includ</w:t>
            </w:r>
            <w:r>
              <w:rPr>
                <w:rFonts w:eastAsia="Arial"/>
                <w:lang w:val="en-US"/>
              </w:rPr>
              <w:t xml:space="preserve">e sites </w:t>
            </w:r>
            <w:r>
              <w:rPr>
                <w:rFonts w:eastAsia="Arial"/>
                <w:lang w:val="en-US"/>
              </w:rPr>
              <w:t xml:space="preserve">not </w:t>
            </w:r>
            <w:r>
              <w:rPr>
                <w:rFonts w:eastAsia="Arial"/>
                <w:lang w:val="en-US"/>
              </w:rPr>
              <w:t>taking part in</w:t>
            </w:r>
            <w:r>
              <w:rPr>
                <w:rFonts w:eastAsia="Arial"/>
                <w:lang w:val="en-US"/>
              </w:rPr>
              <w:t xml:space="preserve"> the demonstration. </w:t>
            </w:r>
          </w:p>
          <w:p>
            <w:pPr>
              <w:rPr>
                <w:rFonts w:eastAsia="Arial"/>
              </w:rPr>
              <w:jc w:val="both"/>
            </w:pPr>
          </w:p>
          <w:p>
            <w:pPr>
              <w:rPr>
                <w:rFonts w:eastAsia="Arial"/>
                <w:lang w:val="en-US"/>
              </w:rPr>
              <w:jc w:val="both"/>
            </w:pPr>
            <w:r>
              <w:rPr>
                <w:rFonts w:eastAsia="Arial"/>
              </w:rPr>
              <w:t>For reference</w:t>
            </w:r>
            <w:r>
              <w:rPr>
                <w:rFonts w:eastAsia="Arial"/>
              </w:rPr>
              <w:t>,</w:t>
            </w:r>
            <w:r>
              <w:rPr>
                <w:rFonts w:eastAsia="Arial"/>
              </w:rPr>
              <w:t xml:space="preserve"> t</w:t>
            </w:r>
            <w:r>
              <w:rPr>
                <w:rFonts w:eastAsia="Arial"/>
                <w:lang w:val="en-US"/>
              </w:rPr>
              <w:t>he C</w:t>
            </w:r>
            <w:r>
              <w:rPr>
                <w:rFonts w:eastAsia="Arial"/>
                <w:lang w:val="en-US"/>
              </w:rPr>
              <w:t>V</w:t>
            </w:r>
            <w:r>
              <w:rPr>
                <w:rFonts w:eastAsia="Arial"/>
                <w:lang w:val="en-US"/>
              </w:rPr>
              <w:t xml:space="preserve"> of </w:t>
            </w:r>
            <w:r>
              <w:rPr>
                <w:rFonts w:eastAsia="Arial"/>
                <w:lang w:val="en-US"/>
              </w:rPr>
              <w:t>n</w:t>
            </w:r>
            <w:r>
              <w:rPr>
                <w:rFonts w:eastAsia="Arial"/>
                <w:lang w:val="en-US"/>
              </w:rPr>
              <w:t xml:space="preserve">atural </w:t>
            </w:r>
            <w:r>
              <w:rPr>
                <w:rFonts w:eastAsia="Arial"/>
                <w:lang w:val="en-US"/>
              </w:rPr>
              <w:t>g</w:t>
            </w:r>
            <w:r>
              <w:rPr>
                <w:rFonts w:eastAsia="Arial"/>
                <w:lang w:val="en-US"/>
              </w:rPr>
              <w:t>as is measured at over 110 different locations on the pipeline system. Each LDZ has a number of these measuring locations within it</w:t>
            </w:r>
            <w:r>
              <w:rPr>
                <w:rFonts w:eastAsia="Arial"/>
                <w:lang w:val="en-US"/>
              </w:rPr>
              <w:t>.</w:t>
            </w:r>
            <w:r>
              <w:rPr>
                <w:rFonts w:eastAsia="Arial"/>
                <w:lang w:val="en-US"/>
              </w:rPr>
              <w:t xml:space="preserve"> </w:t>
            </w:r>
            <w:r>
              <w:rPr>
                <w:rFonts w:eastAsia="Arial"/>
                <w:lang w:val="en-US"/>
              </w:rPr>
              <w:t>T</w:t>
            </w:r>
            <w:r>
              <w:rPr>
                <w:rFonts w:eastAsia="Arial"/>
                <w:lang w:val="en-US"/>
              </w:rPr>
              <w:t xml:space="preserve">he CV from all the locations is taken and a </w:t>
            </w:r>
            <w:r>
              <w:rPr>
                <w:rFonts w:eastAsia="Arial"/>
                <w:lang w:val="en-US"/>
              </w:rPr>
              <w:t>FWACV</w:t>
            </w:r>
            <w:r>
              <w:rPr>
                <w:rFonts w:eastAsia="Arial"/>
                <w:lang w:val="en-US"/>
              </w:rPr>
              <w:t xml:space="preserve"> is determined for each LDZ. The FWACV is capped at 1MJ/m3 (megajoule per cubic meter) above the lowest CV value for that LDZ. This FWACV CV</w:t>
            </w:r>
            <w:r>
              <w:rPr>
                <w:rFonts w:eastAsia="Arial"/>
                <w:lang w:val="en-US"/>
              </w:rPr>
              <w:t xml:space="preserve"> (for </w:t>
            </w:r>
            <w:r>
              <w:rPr>
                <w:rFonts w:eastAsia="Arial"/>
                <w:lang w:val="en-US"/>
              </w:rPr>
              <w:t>n</w:t>
            </w:r>
            <w:r>
              <w:rPr>
                <w:rFonts w:eastAsia="Arial"/>
                <w:lang w:val="en-US"/>
              </w:rPr>
              <w:t xml:space="preserve">atural </w:t>
            </w:r>
            <w:r>
              <w:rPr>
                <w:rFonts w:eastAsia="Arial"/>
                <w:lang w:val="en-US"/>
              </w:rPr>
              <w:t>g</w:t>
            </w:r>
            <w:r>
              <w:rPr>
                <w:rFonts w:eastAsia="Arial"/>
                <w:lang w:val="en-US"/>
              </w:rPr>
              <w:t>as</w:t>
            </w:r>
            <w:r>
              <w:rPr>
                <w:rFonts w:eastAsia="Arial"/>
                <w:lang w:val="en-US"/>
              </w:rPr>
              <w:t>)</w:t>
            </w:r>
            <w:r>
              <w:rPr>
                <w:rFonts w:eastAsia="Arial"/>
                <w:lang w:val="en-US"/>
              </w:rPr>
              <w:t xml:space="preserve"> is </w:t>
            </w:r>
            <w:r>
              <w:rPr>
                <w:rFonts w:eastAsia="Arial"/>
                <w:lang w:val="en-US"/>
              </w:rPr>
              <w:t xml:space="preserve">currently </w:t>
            </w:r>
            <w:r>
              <w:rPr>
                <w:rFonts w:eastAsia="Arial"/>
                <w:lang w:val="en-US"/>
              </w:rPr>
              <w:t>sent to Shippers</w:t>
            </w:r>
            <w:r>
              <w:rPr>
                <w:rFonts w:eastAsia="Arial"/>
                <w:lang w:val="en-US"/>
              </w:rPr>
              <w:t xml:space="preserve">, via </w:t>
            </w:r>
            <w:r>
              <w:rPr>
                <w:rFonts w:eastAsia="Arial"/>
                <w:lang w:val="en-US"/>
              </w:rPr>
              <w:t xml:space="preserve">the </w:t>
            </w:r>
            <w:r>
              <w:rPr>
                <w:rFonts w:eastAsia="Arial"/>
                <w:lang w:val="en-US"/>
              </w:rPr>
              <w:t>.</w:t>
            </w:r>
            <w:r>
              <w:rPr>
                <w:rFonts w:eastAsia="Arial"/>
                <w:lang w:val="en-US"/>
              </w:rPr>
              <w:t>SC9 file,</w:t>
            </w:r>
            <w:r>
              <w:rPr>
                <w:rFonts w:eastAsia="Arial"/>
                <w:lang w:val="en-US"/>
              </w:rPr>
              <w:t xml:space="preserve"> and </w:t>
            </w:r>
            <w:r>
              <w:rPr>
                <w:rFonts w:eastAsia="Arial"/>
                <w:lang w:val="en-US"/>
              </w:rPr>
              <w:t>published</w:t>
            </w:r>
            <w:r>
              <w:rPr>
                <w:rFonts w:eastAsia="Arial"/>
                <w:lang w:val="en-US"/>
              </w:rPr>
              <w:t xml:space="preserve"> on National Grid</w:t>
            </w:r>
            <w:r>
              <w:rPr>
                <w:rFonts w:eastAsia="Arial"/>
                <w:lang w:val="en-US"/>
              </w:rPr>
              <w:t>’</w:t>
            </w:r>
            <w:r>
              <w:rPr>
                <w:rFonts w:eastAsia="Arial"/>
                <w:lang w:val="en-US"/>
              </w:rPr>
              <w:t xml:space="preserve">s MIPI website. </w:t>
            </w:r>
          </w:p>
          <w:p>
            <w:pPr>
              <w:rPr>
                <w:rFonts w:eastAsia="Arial"/>
                <w:lang w:val="en-US"/>
              </w:rPr>
              <w:jc w:val="both"/>
            </w:pPr>
          </w:p>
          <w:p>
            <w:pPr>
              <w:rPr>
                <w:sz w:val="22"/>
                <w:szCs w:val="22"/>
              </w:rPr>
              <w:pStyle w:val="annotation text"/>
            </w:pPr>
            <w:r>
              <w:rPr>
                <w:rFonts w:eastAsia="Arial"/>
                <w:lang w:val="en-US"/>
                <w:sz w:val="22"/>
                <w:szCs w:val="22"/>
              </w:rPr>
              <w:t xml:space="preserve">The proposal under the H100 Fife demonstration is to declare a </w:t>
            </w:r>
            <w:r>
              <w:rPr>
                <w:sz w:val="22"/>
                <w:szCs w:val="22"/>
              </w:rPr>
              <w:t xml:space="preserve">CV of approx. </w:t>
            </w:r>
            <w:r>
              <w:rPr>
                <w:sz w:val="22"/>
                <w:szCs w:val="22"/>
              </w:rPr>
              <w:t>12MJ</w:t>
            </w:r>
            <w:r>
              <w:rPr>
                <w:sz w:val="22"/>
                <w:szCs w:val="22"/>
              </w:rPr>
              <w:t xml:space="preserve">, and that this CV is not included in FWACV calculations. As part of the project the H100 Fife CV will be defined prior to go-live.  </w:t>
            </w:r>
          </w:p>
          <w:p>
            <w:pPr>
              <w:rPr>
                <w:rFonts w:eastAsia="Arial"/>
                <w:lang w:val="en-US"/>
              </w:rPr>
              <w:jc w:val="both"/>
            </w:pPr>
          </w:p>
          <w:p>
            <w:pPr>
              <w:rPr>
                <w:rFonts w:eastAsia="Arial"/>
              </w:rPr>
              <w:jc w:val="both"/>
            </w:pPr>
          </w:p>
          <w:p>
            <w:pPr>
              <w:rPr>
                <w:b w:val="1"/>
                <w:bCs w:val="1"/>
                <w:rFonts w:cs="Arial"/>
                <w:u w:val="single"/>
              </w:rPr>
              <w:jc w:val="both"/>
            </w:pPr>
            <w:r>
              <w:rPr>
                <w:b w:val="1"/>
                <w:bCs w:val="1"/>
                <w:rFonts w:cs="Arial"/>
                <w:u w:val="single"/>
              </w:rPr>
              <w:t xml:space="preserve">Discounted </w:t>
            </w:r>
            <w:r>
              <w:rPr>
                <w:b w:val="1"/>
                <w:bCs w:val="1"/>
                <w:rFonts w:cs="Arial"/>
                <w:u w:val="single"/>
              </w:rPr>
              <w:t>Solution</w:t>
            </w:r>
            <w:r>
              <w:rPr>
                <w:b w:val="1"/>
                <w:bCs w:val="1"/>
                <w:rFonts w:cs="Arial"/>
                <w:u w:val="single"/>
              </w:rPr>
              <w:t xml:space="preserve"> Overview</w:t>
            </w:r>
            <w:r>
              <w:rPr>
                <w:b w:val="1"/>
                <w:bCs w:val="1"/>
                <w:rFonts w:cs="Arial"/>
                <w:u w:val="single"/>
              </w:rPr>
              <w:t xml:space="preserve"> (for information only)</w:t>
            </w:r>
          </w:p>
          <w:p>
            <w:pPr>
              <w:rPr>
                <w:rFonts w:cs="Arial"/>
              </w:rPr>
              <w:jc w:val="both"/>
            </w:pPr>
          </w:p>
          <w:p>
            <w:pPr>
              <w:rPr>
                <w:rFonts w:cs="Arial"/>
              </w:rPr>
              <w:jc w:val="both"/>
            </w:pPr>
            <w:r>
              <w:rPr>
                <w:rFonts w:cs="Arial"/>
              </w:rPr>
              <w:t>Following high-</w:t>
            </w:r>
            <w:r>
              <w:rPr>
                <w:rFonts w:cs="Arial"/>
              </w:rPr>
              <w:t>level requirements gathering for XRN5298, these options have been considered and discounted due to constraints detailed below</w:t>
            </w:r>
            <w:r>
              <w:rPr>
                <w:rFonts w:cs="Arial"/>
              </w:rPr>
              <w:t>:</w:t>
            </w:r>
            <w:r>
              <w:rPr>
                <w:rFonts w:cs="Arial"/>
              </w:rPr>
              <w:t xml:space="preserve"> </w:t>
            </w:r>
          </w:p>
          <w:p>
            <w:pPr>
              <w:rPr>
                <w:rFonts w:cs="Arial"/>
              </w:rPr>
              <w:numPr>
                <w:ilvl w:val="0"/>
                <w:numId w:val="2"/>
              </w:numPr>
              <w:pStyle w:val="List Paragraph"/>
              <w:jc w:val="both"/>
            </w:pPr>
            <w:r>
              <w:rPr>
                <w:rFonts w:cs="Arial"/>
              </w:rPr>
              <w:t>Create a new LDZ</w:t>
            </w:r>
            <w:r>
              <w:rPr>
                <w:rFonts w:cs="Arial"/>
              </w:rPr>
              <w:t xml:space="preserve"> (specifically for </w:t>
            </w:r>
            <w:r>
              <w:rPr>
                <w:rFonts w:cs="Arial"/>
              </w:rPr>
              <w:t xml:space="preserve">end consumers that have opted into the </w:t>
            </w:r>
            <w:r>
              <w:rPr>
                <w:rFonts w:cs="Arial"/>
              </w:rPr>
              <w:t>h</w:t>
            </w:r>
            <w:r>
              <w:rPr>
                <w:rFonts w:cs="Arial"/>
              </w:rPr>
              <w:t xml:space="preserve">ydrogen </w:t>
            </w:r>
            <w:r>
              <w:rPr>
                <w:rFonts w:cs="Arial"/>
              </w:rPr>
              <w:t>demonstration</w:t>
            </w:r>
            <w:r>
              <w:rPr>
                <w:rFonts w:cs="Arial"/>
              </w:rPr>
              <w:t>)</w:t>
            </w:r>
            <w:r>
              <w:rPr>
                <w:rFonts w:cs="Arial"/>
              </w:rPr>
              <w:t xml:space="preserve"> so that</w:t>
            </w:r>
            <w:r>
              <w:rPr>
                <w:b w:val="1"/>
                <w:bCs w:val="1"/>
                <w:rFonts w:cs="Arial"/>
              </w:rPr>
              <w:t xml:space="preserve"> </w:t>
            </w:r>
            <w:r>
              <w:rPr>
                <w:rFonts w:cs="Arial"/>
              </w:rPr>
              <w:t>t</w:t>
            </w:r>
            <w:r>
              <w:rPr>
                <w:rFonts w:cs="Arial"/>
              </w:rPr>
              <w:t xml:space="preserve">he </w:t>
            </w:r>
            <w:r>
              <w:rPr>
                <w:rFonts w:cs="Arial"/>
              </w:rPr>
              <w:t>h</w:t>
            </w:r>
            <w:r>
              <w:rPr>
                <w:rFonts w:cs="Arial"/>
              </w:rPr>
              <w:t>ydrogen specific</w:t>
            </w:r>
            <w:r>
              <w:rPr>
                <w:rFonts w:cs="Arial"/>
              </w:rPr>
              <w:t xml:space="preserve"> CV</w:t>
            </w:r>
            <w:r>
              <w:rPr>
                <w:rFonts w:cs="Arial"/>
              </w:rPr>
              <w:t xml:space="preserve"> can be applied to each MPRN in that LDZ</w:t>
            </w:r>
            <w:r>
              <w:rPr>
                <w:rFonts w:cs="Arial"/>
              </w:rPr>
              <w:t xml:space="preserve">. </w:t>
            </w:r>
          </w:p>
          <w:p>
            <w:pPr>
              <w:rPr>
                <w:rFonts w:cs="Arial"/>
              </w:rPr>
              <w:jc w:val="both"/>
              <w:ind w:left="360"/>
            </w:pPr>
            <w:r>
              <w:rPr>
                <w:rFonts w:cs="Arial"/>
                <w:u w:val="single"/>
              </w:rPr>
              <w:t xml:space="preserve">Primary </w:t>
            </w:r>
            <w:r>
              <w:rPr>
                <w:rFonts w:cs="Arial"/>
                <w:u w:val="single"/>
              </w:rPr>
              <w:t>Constraint</w:t>
            </w:r>
            <w:r>
              <w:rPr>
                <w:rFonts w:cs="Arial"/>
              </w:rPr>
              <w:t xml:space="preserve"> </w:t>
            </w:r>
            <w:r>
              <w:rPr>
                <w:rFonts w:cs="Arial"/>
              </w:rPr>
              <w:t>The new LDZ would have to be created across the industry, including Gemini and UK</w:t>
            </w:r>
            <w:r>
              <w:rPr>
                <w:rFonts w:cs="Arial"/>
              </w:rPr>
              <w:t xml:space="preserve"> </w:t>
            </w:r>
            <w:r>
              <w:rPr>
                <w:rFonts w:cs="Arial"/>
              </w:rPr>
              <w:t>Link</w:t>
            </w:r>
            <w:r>
              <w:rPr>
                <w:rFonts w:cs="Arial"/>
              </w:rPr>
              <w:t xml:space="preserve">, </w:t>
            </w:r>
            <w:r>
              <w:rPr>
                <w:rFonts w:cs="Arial"/>
              </w:rPr>
              <w:t xml:space="preserve">which cannot </w:t>
            </w:r>
            <w:r>
              <w:rPr>
                <w:rFonts w:cs="Arial"/>
              </w:rPr>
              <w:t xml:space="preserve">be achieved within the timescales of the </w:t>
            </w:r>
            <w:r>
              <w:rPr>
                <w:rFonts w:cs="Arial"/>
              </w:rPr>
              <w:t>demonstration</w:t>
            </w:r>
            <w:r>
              <w:rPr>
                <w:rFonts w:cs="Arial"/>
              </w:rPr>
              <w:t>.</w:t>
            </w:r>
            <w:r>
              <w:rPr>
                <w:rFonts w:cs="Arial"/>
              </w:rPr>
              <w:t xml:space="preserve"> Therefore,</w:t>
            </w:r>
            <w:r>
              <w:rPr>
                <w:rFonts w:cs="Arial"/>
              </w:rPr>
              <w:t xml:space="preserve"> </w:t>
            </w:r>
            <w:r>
              <w:rPr>
                <w:rFonts w:cs="Arial"/>
              </w:rPr>
              <w:t>primarily due to</w:t>
            </w:r>
            <w:r>
              <w:rPr>
                <w:rFonts w:cs="Arial"/>
              </w:rPr>
              <w:t xml:space="preserve"> time constraints</w:t>
            </w:r>
            <w:r>
              <w:rPr>
                <w:rFonts w:cs="Arial"/>
              </w:rPr>
              <w:t xml:space="preserve"> and impacts to customers</w:t>
            </w:r>
            <w:r>
              <w:rPr>
                <w:rFonts w:cs="Arial"/>
              </w:rPr>
              <w:t xml:space="preserve">, this solution </w:t>
            </w:r>
            <w:r>
              <w:rPr>
                <w:rFonts w:cs="Arial"/>
              </w:rPr>
              <w:t>option has been discounted.</w:t>
            </w:r>
          </w:p>
          <w:p>
            <w:pPr>
              <w:rPr>
                <w:rFonts w:cs="Arial"/>
              </w:rPr>
              <w:pStyle w:val="List Paragraph"/>
              <w:jc w:val="both"/>
              <w:ind w:left="360"/>
            </w:pPr>
          </w:p>
          <w:p>
            <w:pPr>
              <w:rPr>
                <w:rFonts w:cs="Arial"/>
              </w:rPr>
              <w:numPr>
                <w:ilvl w:val="0"/>
                <w:numId w:val="2"/>
              </w:numPr>
              <w:pStyle w:val="List Paragraph"/>
              <w:jc w:val="both"/>
            </w:pPr>
            <w:r>
              <w:rPr>
                <w:rFonts w:cs="Arial"/>
              </w:rPr>
              <w:t>Create a new Scottish Independent Network</w:t>
            </w:r>
            <w:r>
              <w:rPr>
                <w:rFonts w:cs="Arial"/>
              </w:rPr>
              <w:t xml:space="preserve"> (these are effectively LDZs with discrete MPRNs and arrangements associated to them). </w:t>
            </w:r>
          </w:p>
          <w:p>
            <w:pPr>
              <w:rPr>
                <w:rFonts w:cs="Arial"/>
              </w:rPr>
              <w:pStyle w:val="List Paragraph"/>
              <w:jc w:val="both"/>
              <w:ind w:left="360"/>
            </w:pPr>
            <w:r>
              <w:rPr>
                <w:rFonts w:cs="Arial"/>
                <w:u w:val="single"/>
              </w:rPr>
              <w:t xml:space="preserve">Primary </w:t>
            </w:r>
            <w:r>
              <w:rPr>
                <w:rFonts w:cs="Arial"/>
                <w:u w:val="single"/>
              </w:rPr>
              <w:t>Constrain</w:t>
            </w:r>
            <w:r>
              <w:rPr>
                <w:rFonts w:cs="Arial"/>
                <w:u w:val="single"/>
              </w:rPr>
              <w:t>t</w:t>
            </w:r>
            <w:r>
              <w:rPr>
                <w:rFonts w:cs="Arial"/>
              </w:rPr>
              <w:t xml:space="preserve"> Thi</w:t>
            </w:r>
            <w:r>
              <w:rPr>
                <w:rFonts w:cs="Arial"/>
              </w:rPr>
              <w:t>s was investigated as an alternative to setting up a new LDZ</w:t>
            </w:r>
            <w:r>
              <w:rPr>
                <w:rFonts w:cs="Arial"/>
              </w:rPr>
              <w:t xml:space="preserve"> </w:t>
            </w:r>
            <w:r>
              <w:rPr>
                <w:rFonts w:cs="Arial"/>
              </w:rPr>
              <w:t xml:space="preserve">however </w:t>
            </w:r>
            <w:r>
              <w:rPr>
                <w:rFonts w:cs="Arial"/>
              </w:rPr>
              <w:t xml:space="preserve">as many of the processes are mirrored to </w:t>
            </w:r>
            <w:r>
              <w:rPr>
                <w:rFonts w:cs="Arial"/>
              </w:rPr>
              <w:t>that of an</w:t>
            </w:r>
            <w:r>
              <w:rPr>
                <w:rFonts w:cs="Arial"/>
              </w:rPr>
              <w:t xml:space="preserve"> LDZ it is just as complex </w:t>
            </w:r>
            <w:r>
              <w:rPr>
                <w:rFonts w:cs="Arial"/>
              </w:rPr>
              <w:t xml:space="preserve">and cannot be achieved within the timescales of the </w:t>
            </w:r>
            <w:r>
              <w:rPr>
                <w:rFonts w:cs="Arial"/>
              </w:rPr>
              <w:t>demonstration</w:t>
            </w:r>
            <w:r>
              <w:rPr>
                <w:rFonts w:cs="Arial"/>
              </w:rPr>
              <w:t xml:space="preserve">. </w:t>
            </w:r>
            <w:r>
              <w:rPr>
                <w:rFonts w:cs="Arial"/>
              </w:rPr>
              <w:t>Therefore, primarily due to time constraints</w:t>
            </w:r>
            <w:r>
              <w:rPr>
                <w:rFonts w:cs="Arial"/>
              </w:rPr>
              <w:t xml:space="preserve"> and associated impacts to customers</w:t>
            </w:r>
            <w:r>
              <w:rPr>
                <w:rFonts w:cs="Arial"/>
              </w:rPr>
              <w:t>, this solution option has been discounted.</w:t>
            </w:r>
          </w:p>
          <w:p>
            <w:pPr>
              <w:rPr>
                <w:rFonts w:cs="Arial"/>
              </w:rPr>
              <w:pStyle w:val="List Paragraph"/>
              <w:jc w:val="both"/>
              <w:ind w:left="360"/>
            </w:pPr>
          </w:p>
          <w:p>
            <w:pPr>
              <w:rPr>
                <w:rFonts w:cs="Arial"/>
              </w:rPr>
              <w:numPr>
                <w:ilvl w:val="0"/>
                <w:numId w:val="2"/>
              </w:numPr>
              <w:pStyle w:val="List Paragraph"/>
              <w:jc w:val="both"/>
            </w:pPr>
            <w:r>
              <w:rPr>
                <w:rFonts w:cs="Arial"/>
              </w:rPr>
              <w:t xml:space="preserve">Apply an </w:t>
            </w:r>
            <w:r>
              <w:rPr>
                <w:rFonts w:cs="Arial"/>
              </w:rPr>
              <w:t>Annual Quantity (</w:t>
            </w:r>
            <w:r>
              <w:rPr>
                <w:rFonts w:cs="Arial"/>
              </w:rPr>
              <w:t>AQ</w:t>
            </w:r>
            <w:r>
              <w:rPr>
                <w:rFonts w:cs="Arial"/>
              </w:rPr>
              <w:t>)</w:t>
            </w:r>
            <w:r>
              <w:rPr>
                <w:rFonts w:cs="Arial"/>
              </w:rPr>
              <w:t xml:space="preserve"> backstop</w:t>
            </w:r>
            <w:r>
              <w:rPr>
                <w:rFonts w:cs="Arial"/>
              </w:rPr>
              <w:t xml:space="preserve"> to prevent the AQ from becoming impacted by the increased volume.</w:t>
            </w:r>
            <w:r>
              <w:rPr>
                <w:rFonts w:cs="Arial"/>
              </w:rPr>
              <w:t xml:space="preserve"> </w:t>
            </w:r>
            <w:r>
              <w:rPr>
                <w:rFonts w:cs="Arial"/>
              </w:rPr>
              <w:t xml:space="preserve">Compensation </w:t>
            </w:r>
            <w:r>
              <w:rPr>
                <w:rFonts w:cs="Arial"/>
              </w:rPr>
              <w:t>p</w:t>
            </w:r>
            <w:r>
              <w:rPr>
                <w:rFonts w:cs="Arial"/>
              </w:rPr>
              <w:t>ayments</w:t>
            </w:r>
            <w:r>
              <w:rPr>
                <w:rFonts w:cs="Arial"/>
              </w:rPr>
              <w:t xml:space="preserve"> </w:t>
            </w:r>
            <w:r>
              <w:rPr>
                <w:rFonts w:cs="Arial"/>
              </w:rPr>
              <w:t>would</w:t>
            </w:r>
            <w:r>
              <w:rPr>
                <w:rFonts w:cs="Arial"/>
              </w:rPr>
              <w:t xml:space="preserve"> be processed and issued</w:t>
            </w:r>
            <w:r>
              <w:rPr>
                <w:rFonts w:cs="Arial"/>
              </w:rPr>
              <w:t xml:space="preserve"> to the Shipper who must pass these onto the Supplier and ultimately the end consumer. </w:t>
            </w:r>
          </w:p>
          <w:p>
            <w:pPr>
              <w:rPr>
                <w:rFonts w:cs="Arial"/>
              </w:rPr>
              <w:pStyle w:val="List Paragraph"/>
              <w:jc w:val="both"/>
              <w:ind w:left="360"/>
            </w:pPr>
            <w:r>
              <w:rPr>
                <w:rFonts w:cs="Arial"/>
                <w:u w:val="single"/>
              </w:rPr>
              <w:t xml:space="preserve">Primary </w:t>
            </w:r>
            <w:r>
              <w:rPr>
                <w:rFonts w:cs="Arial"/>
                <w:u w:val="single"/>
              </w:rPr>
              <w:t>Constraint</w:t>
            </w:r>
            <w:r>
              <w:rPr>
                <w:rFonts w:cs="Arial"/>
              </w:rPr>
              <w:t xml:space="preserve"> </w:t>
            </w:r>
            <w:r>
              <w:rPr>
                <w:rFonts w:cs="Arial"/>
              </w:rPr>
              <w:t>T</w:t>
            </w:r>
            <w:r>
              <w:rPr>
                <w:rFonts w:cs="Arial"/>
              </w:rPr>
              <w:t>he</w:t>
            </w:r>
            <w:r>
              <w:rPr>
                <w:rFonts w:cs="Arial"/>
              </w:rPr>
              <w:t xml:space="preserve"> AQ would not be accurate over time as m</w:t>
            </w:r>
            <w:r>
              <w:rPr>
                <w:rFonts w:cs="Arial"/>
              </w:rPr>
              <w:t>ultiple AQ Backstops would need to be applied</w:t>
            </w:r>
            <w:r>
              <w:rPr>
                <w:rFonts w:cs="Arial"/>
              </w:rPr>
              <w:t>. The</w:t>
            </w:r>
            <w:r>
              <w:rPr>
                <w:rFonts w:cs="Arial"/>
              </w:rPr>
              <w:t xml:space="preserve"> c</w:t>
            </w:r>
            <w:r>
              <w:rPr>
                <w:rFonts w:cs="Arial"/>
              </w:rPr>
              <w:t>ompensation payments are likely to be 3</w:t>
            </w:r>
            <w:r>
              <w:rPr>
                <w:rFonts w:cs="Arial"/>
              </w:rPr>
              <w:t xml:space="preserve"> times the</w:t>
            </w:r>
            <w:r>
              <w:rPr>
                <w:rFonts w:cs="Arial"/>
              </w:rPr>
              <w:t xml:space="preserve"> billed </w:t>
            </w:r>
            <w:r>
              <w:rPr>
                <w:rFonts w:cs="Arial"/>
              </w:rPr>
              <w:t xml:space="preserve">position </w:t>
            </w:r>
            <w:r>
              <w:rPr>
                <w:rFonts w:cs="Arial"/>
              </w:rPr>
              <w:t>and</w:t>
            </w:r>
            <w:r>
              <w:rPr>
                <w:rFonts w:cs="Arial"/>
              </w:rPr>
              <w:t xml:space="preserve"> </w:t>
            </w:r>
            <w:r>
              <w:rPr>
                <w:rFonts w:cs="Arial"/>
              </w:rPr>
              <w:t xml:space="preserve">the end consumer may, for </w:t>
            </w:r>
            <w:r>
              <w:rPr>
                <w:rFonts w:cs="Arial"/>
              </w:rPr>
              <w:t>a period of time</w:t>
            </w:r>
            <w:r>
              <w:rPr>
                <w:rFonts w:cs="Arial"/>
              </w:rPr>
              <w:t xml:space="preserve">, be financially disadvantaged (depending when the compensation payment is processed) </w:t>
            </w:r>
            <w:r>
              <w:rPr>
                <w:rFonts w:cs="Arial"/>
              </w:rPr>
              <w:t xml:space="preserve">therefore </w:t>
            </w:r>
            <w:r>
              <w:rPr>
                <w:rFonts w:cs="Arial"/>
              </w:rPr>
              <w:t>the solution is</w:t>
            </w:r>
            <w:r>
              <w:rPr>
                <w:rFonts w:cs="Arial"/>
              </w:rPr>
              <w:t xml:space="preserve"> not sustainable</w:t>
            </w:r>
            <w:r>
              <w:rPr>
                <w:rFonts w:cs="Arial"/>
              </w:rPr>
              <w:t>,</w:t>
            </w:r>
            <w:r>
              <w:rPr>
                <w:rFonts w:cs="Arial"/>
              </w:rPr>
              <w:t xml:space="preserve"> </w:t>
            </w:r>
            <w:r>
              <w:rPr>
                <w:rFonts w:cs="Arial"/>
              </w:rPr>
              <w:t>n</w:t>
            </w:r>
            <w:r>
              <w:rPr>
                <w:rFonts w:cs="Arial"/>
              </w:rPr>
              <w:t>or fair</w:t>
            </w:r>
            <w:r>
              <w:rPr>
                <w:rFonts w:cs="Arial"/>
              </w:rPr>
              <w:t>,</w:t>
            </w:r>
            <w:r>
              <w:rPr>
                <w:rFonts w:cs="Arial"/>
              </w:rPr>
              <w:t xml:space="preserve"> to impose on </w:t>
            </w:r>
            <w:r>
              <w:rPr>
                <w:rFonts w:cs="Arial"/>
              </w:rPr>
              <w:t xml:space="preserve">end </w:t>
            </w:r>
            <w:r>
              <w:rPr>
                <w:rFonts w:cs="Arial"/>
              </w:rPr>
              <w:t>consumer</w:t>
            </w:r>
            <w:r>
              <w:rPr>
                <w:rFonts w:cs="Arial"/>
              </w:rPr>
              <w:t>s</w:t>
            </w:r>
            <w:r>
              <w:rPr>
                <w:rFonts w:cs="Arial"/>
              </w:rPr>
              <w:t>.</w:t>
            </w:r>
            <w:r>
              <w:rPr>
                <w:rFonts w:cs="Arial"/>
              </w:rPr>
              <w:t xml:space="preserve"> This solution option has been discounted </w:t>
            </w:r>
            <w:r>
              <w:rPr>
                <w:rFonts w:cs="Arial"/>
              </w:rPr>
              <w:t xml:space="preserve">primarily </w:t>
            </w:r>
            <w:r>
              <w:rPr>
                <w:rFonts w:cs="Arial"/>
              </w:rPr>
              <w:t>on the basis o</w:t>
            </w:r>
            <w:r>
              <w:rPr>
                <w:rFonts w:cs="Arial"/>
              </w:rPr>
              <w:t>n customer disadvantage.</w:t>
            </w:r>
          </w:p>
          <w:p>
            <w:pPr>
              <w:rPr>
                <w:rFonts w:cs="Arial"/>
              </w:rPr>
              <w:pStyle w:val="List Paragraph"/>
              <w:jc w:val="both"/>
              <w:ind w:left="360"/>
            </w:pPr>
          </w:p>
          <w:p>
            <w:pPr>
              <w:rPr>
                <w:rFonts w:cs="Arial"/>
              </w:rPr>
              <w:numPr>
                <w:ilvl w:val="0"/>
                <w:numId w:val="2"/>
              </w:numPr>
              <w:pStyle w:val="List Paragraph"/>
              <w:jc w:val="both"/>
            </w:pPr>
            <w:r>
              <w:rPr>
                <w:rFonts w:cs="Arial"/>
                <w:lang w:val="en-US"/>
              </w:rPr>
              <w:t xml:space="preserve">Rather than using the standard </w:t>
            </w:r>
            <w:r>
              <w:rPr>
                <w:rFonts w:cs="Arial"/>
                <w:lang w:val="en-US"/>
              </w:rPr>
              <w:t>C</w:t>
            </w:r>
            <w:r>
              <w:rPr>
                <w:rFonts w:cs="Arial"/>
                <w:lang w:val="en-US"/>
              </w:rPr>
              <w:t>onversion (c</w:t>
            </w:r>
            <w:r>
              <w:rPr>
                <w:rFonts w:cs="Arial"/>
                <w:lang w:val="en-US"/>
              </w:rPr>
              <w:t>orrection</w:t>
            </w:r>
            <w:r>
              <w:rPr>
                <w:rFonts w:cs="Arial"/>
                <w:lang w:val="en-US"/>
              </w:rPr>
              <w:t>)</w:t>
            </w:r>
            <w:r>
              <w:rPr>
                <w:rFonts w:cs="Arial"/>
                <w:lang w:val="en-US"/>
              </w:rPr>
              <w:t xml:space="preserve"> </w:t>
            </w:r>
            <w:r>
              <w:rPr>
                <w:rFonts w:cs="Arial"/>
                <w:lang w:val="en-US"/>
              </w:rPr>
              <w:t>F</w:t>
            </w:r>
            <w:r>
              <w:rPr>
                <w:rFonts w:cs="Arial"/>
                <w:lang w:val="en-US"/>
              </w:rPr>
              <w:t xml:space="preserve">actor </w:t>
            </w:r>
            <w:r>
              <w:rPr>
                <w:rFonts w:cs="Arial"/>
                <w:lang w:val="en-US"/>
              </w:rPr>
              <w:t xml:space="preserve">(where </w:t>
            </w:r>
            <w:r>
              <w:rPr>
                <w:rFonts w:cs="Arial"/>
                <w:lang w:val="en-US"/>
              </w:rPr>
              <w:t>an</w:t>
            </w:r>
            <w:r>
              <w:rPr>
                <w:rFonts w:cs="Arial"/>
                <w:lang w:val="en-US"/>
              </w:rPr>
              <w:t xml:space="preserve"> </w:t>
            </w:r>
            <w:r>
              <w:rPr>
                <w:rFonts w:cs="Arial"/>
                <w:lang w:val="en-US"/>
              </w:rPr>
              <w:t xml:space="preserve">AQ is less than 732,000 kWh </w:t>
            </w:r>
            <w:r>
              <w:rPr>
                <w:rFonts w:cs="Arial"/>
                <w:lang w:val="en-US"/>
              </w:rPr>
              <w:t xml:space="preserve">the standard conversion factor </w:t>
            </w:r>
            <w:r>
              <w:rPr>
                <w:rFonts w:cs="Arial"/>
                <w:lang w:val="en-US"/>
              </w:rPr>
              <w:t xml:space="preserve">is 1.02264) </w:t>
            </w:r>
            <w:r>
              <w:rPr>
                <w:rFonts w:cs="Arial"/>
                <w:lang w:val="en-US"/>
              </w:rPr>
              <w:t xml:space="preserve">a </w:t>
            </w:r>
            <w:r>
              <w:rPr>
                <w:rFonts w:cs="Arial"/>
                <w:lang w:val="en-US"/>
              </w:rPr>
              <w:t xml:space="preserve">value will be </w:t>
            </w:r>
            <w:r>
              <w:rPr>
                <w:rFonts w:cs="Arial"/>
                <w:lang w:val="en-US"/>
              </w:rPr>
              <w:t>determined</w:t>
            </w:r>
            <w:r>
              <w:rPr>
                <w:rFonts w:cs="Arial"/>
                <w:lang w:val="en-US"/>
              </w:rPr>
              <w:t xml:space="preserve"> and used to</w:t>
            </w:r>
            <w:r>
              <w:rPr>
                <w:rFonts w:cs="Arial"/>
                <w:lang w:val="en-US"/>
              </w:rPr>
              <w:t xml:space="preserve"> effectively convert the hydrogen volume into </w:t>
            </w:r>
            <w:r>
              <w:rPr>
                <w:rFonts w:cs="Arial"/>
                <w:lang w:val="en-US"/>
              </w:rPr>
              <w:t>n</w:t>
            </w:r>
            <w:r>
              <w:rPr>
                <w:rFonts w:cs="Arial"/>
                <w:lang w:val="en-US"/>
              </w:rPr>
              <w:t xml:space="preserve">atural </w:t>
            </w:r>
            <w:r>
              <w:rPr>
                <w:rFonts w:cs="Arial"/>
                <w:lang w:val="en-US"/>
              </w:rPr>
              <w:t>g</w:t>
            </w:r>
            <w:r>
              <w:rPr>
                <w:rFonts w:cs="Arial"/>
                <w:lang w:val="en-US"/>
              </w:rPr>
              <w:t xml:space="preserve">as </w:t>
            </w:r>
            <w:r>
              <w:rPr>
                <w:rFonts w:cs="Arial"/>
                <w:lang w:val="en-US"/>
              </w:rPr>
              <w:t>volume.</w:t>
            </w:r>
          </w:p>
          <w:p>
            <w:pPr>
              <w:rPr>
                <w:rFonts w:cs="Arial"/>
              </w:rPr>
              <w:pStyle w:val="List Paragraph"/>
              <w:jc w:val="both"/>
              <w:ind w:left="360"/>
            </w:pPr>
            <w:r>
              <w:rPr>
                <w:rFonts w:cs="Arial"/>
                <w:u w:val="single"/>
              </w:rPr>
              <w:t xml:space="preserve">Primary </w:t>
            </w:r>
            <w:r>
              <w:rPr>
                <w:rFonts w:cs="Arial"/>
                <w:u w:val="single"/>
              </w:rPr>
              <w:t>Constraint</w:t>
            </w:r>
            <w:r>
              <w:rPr>
                <w:rFonts w:cs="Arial"/>
              </w:rPr>
              <w:t xml:space="preserve"> </w:t>
            </w:r>
            <w:r>
              <w:rPr>
                <w:rFonts w:cs="Arial"/>
              </w:rPr>
              <w:t>T</w:t>
            </w:r>
            <w:r>
              <w:rPr>
                <w:rFonts w:cs="Arial"/>
              </w:rPr>
              <w:t>he</w:t>
            </w:r>
            <w:r>
              <w:rPr>
                <w:rFonts w:cs="Arial"/>
              </w:rPr>
              <w:t xml:space="preserve"> Gas (Calculation of Thermal Energy) Regulations would require </w:t>
            </w:r>
            <w:r>
              <w:rPr>
                <w:rFonts w:cs="Arial"/>
              </w:rPr>
              <w:t xml:space="preserve">either </w:t>
            </w:r>
            <w:r>
              <w:rPr>
                <w:rFonts w:cs="Arial"/>
              </w:rPr>
              <w:t>updating</w:t>
            </w:r>
            <w:r>
              <w:rPr>
                <w:rFonts w:cs="Arial"/>
              </w:rPr>
              <w:t xml:space="preserve"> or a </w:t>
            </w:r>
            <w:r>
              <w:rPr>
                <w:rFonts w:cs="Arial"/>
              </w:rPr>
              <w:t>derogation applied</w:t>
            </w:r>
            <w:r>
              <w:rPr>
                <w:rFonts w:cs="Arial"/>
              </w:rPr>
              <w:t xml:space="preserve"> which cannot be achieved within the timescales of the </w:t>
            </w:r>
            <w:r>
              <w:rPr>
                <w:rFonts w:cs="Arial"/>
              </w:rPr>
              <w:t>demonstration</w:t>
            </w:r>
            <w:r>
              <w:rPr>
                <w:rFonts w:cs="Arial"/>
              </w:rPr>
              <w:t>.</w:t>
            </w:r>
            <w:r>
              <w:rPr>
                <w:rFonts w:cs="Arial"/>
              </w:rPr>
              <w:t xml:space="preserve"> Also, UNC</w:t>
            </w:r>
            <w:r>
              <w:rPr>
                <w:rFonts w:cs="Arial"/>
              </w:rPr>
              <w:t>/IGT UNC</w:t>
            </w:r>
            <w:r>
              <w:rPr>
                <w:rFonts w:cs="Arial"/>
              </w:rPr>
              <w:t xml:space="preserve"> recently </w:t>
            </w:r>
            <w:r>
              <w:rPr>
                <w:rFonts w:cs="Arial"/>
              </w:rPr>
              <w:t>introduced (</w:t>
            </w:r>
            <w:r>
              <w:rPr>
                <w:rFonts w:cs="Arial"/>
              </w:rPr>
              <w:t>MOD0681S</w:t>
            </w:r>
            <w:r>
              <w:rPr>
                <w:rFonts w:cs="Arial"/>
              </w:rPr>
              <w:t xml:space="preserve"> / </w:t>
            </w:r>
            <w:r>
              <w:rPr>
                <w:rFonts w:cs="Arial"/>
              </w:rPr>
              <w:t>XRN</w:t>
            </w:r>
            <w:r>
              <w:rPr>
                <w:rFonts w:cs="Arial"/>
              </w:rPr>
              <w:t>4932</w:t>
            </w:r>
            <w:r>
              <w:rPr>
                <w:rFonts w:cs="Arial"/>
              </w:rPr>
              <w:t>)</w:t>
            </w:r>
            <w:r>
              <w:rPr>
                <w:rFonts w:cs="Arial"/>
              </w:rPr>
              <w:t xml:space="preserve"> </w:t>
            </w:r>
            <w:r>
              <w:rPr>
                <w:rFonts w:cs="Arial"/>
              </w:rPr>
              <w:t xml:space="preserve">the authority for the CDSP to amend Conversion Factors at Supply Meter Points where the AQ </w:t>
            </w:r>
            <w:r>
              <w:rPr>
                <w:rFonts w:cs="Arial"/>
              </w:rPr>
              <w:t xml:space="preserve">goes above or below 732,000 (with </w:t>
            </w:r>
            <w:r>
              <w:rPr>
                <w:rFonts w:cs="Arial"/>
              </w:rPr>
              <w:t>the standard</w:t>
            </w:r>
            <w:r>
              <w:rPr>
                <w:rFonts w:cs="Arial"/>
              </w:rPr>
              <w:t xml:space="preserve"> C</w:t>
            </w:r>
            <w:r>
              <w:rPr>
                <w:rFonts w:cs="Arial"/>
              </w:rPr>
              <w:t xml:space="preserve">onversion </w:t>
            </w:r>
            <w:r>
              <w:rPr>
                <w:rFonts w:cs="Arial"/>
              </w:rPr>
              <w:t>F</w:t>
            </w:r>
            <w:r>
              <w:rPr>
                <w:rFonts w:cs="Arial"/>
              </w:rPr>
              <w:t>actor</w:t>
            </w:r>
            <w:r>
              <w:rPr>
                <w:rFonts w:cs="Arial"/>
              </w:rPr>
              <w:t xml:space="preserve"> being applied for AQ’s </w:t>
            </w:r>
            <w:r>
              <w:rPr>
                <w:rFonts w:cs="Arial"/>
              </w:rPr>
              <w:t>below</w:t>
            </w:r>
            <w:r>
              <w:rPr>
                <w:rFonts w:cs="Arial"/>
              </w:rPr>
              <w:t xml:space="preserve">), </w:t>
            </w:r>
            <w:r>
              <w:rPr>
                <w:rFonts w:cs="Arial"/>
              </w:rPr>
              <w:t xml:space="preserve">therefore </w:t>
            </w:r>
            <w:r>
              <w:rPr>
                <w:rFonts w:cs="Arial"/>
              </w:rPr>
              <w:t xml:space="preserve">a </w:t>
            </w:r>
            <w:r>
              <w:rPr>
                <w:rFonts w:cs="Arial"/>
              </w:rPr>
              <w:t>Modification</w:t>
            </w:r>
            <w:r>
              <w:rPr>
                <w:rFonts w:cs="Arial"/>
              </w:rPr>
              <w:t xml:space="preserve"> or </w:t>
            </w:r>
            <w:r>
              <w:rPr>
                <w:rFonts w:cs="Arial"/>
              </w:rPr>
              <w:t>d</w:t>
            </w:r>
            <w:r>
              <w:rPr>
                <w:rFonts w:cs="Arial"/>
              </w:rPr>
              <w:t>erogation may be needed</w:t>
            </w:r>
            <w:r>
              <w:rPr>
                <w:rFonts w:cs="Arial"/>
              </w:rPr>
              <w:t xml:space="preserve"> to exclude demonstration MPRNs from this rule.</w:t>
            </w:r>
            <w:r>
              <w:rPr>
                <w:rFonts w:cs="Arial"/>
              </w:rPr>
              <w:t xml:space="preserve"> Therefore, primarily due to time constraints, this solution option has been discounted.</w:t>
            </w:r>
          </w:p>
          <w:p>
            <w:pPr>
              <w:rPr>
                <w:rFonts w:cs="Arial"/>
              </w:rPr>
              <w:pStyle w:val="List Paragraph"/>
              <w:jc w:val="both"/>
              <w:ind w:left="360"/>
            </w:pPr>
          </w:p>
          <w:p>
            <w:pPr>
              <w:rPr>
                <w:rFonts w:cs="Arial"/>
              </w:rPr>
              <w:pStyle w:val="List Paragraph"/>
              <w:jc w:val="both"/>
              <w:ind w:left="360"/>
            </w:pPr>
          </w:p>
          <w:p>
            <w:pPr>
              <w:rPr>
                <w:rFonts w:cs="Arial"/>
              </w:rPr>
              <w:numPr>
                <w:ilvl w:val="0"/>
                <w:numId w:val="2"/>
              </w:numPr>
              <w:pStyle w:val="List Paragraph"/>
              <w:jc w:val="both"/>
            </w:pPr>
            <w:r>
              <w:rPr>
                <w:rFonts w:cs="Arial"/>
              </w:rPr>
              <w:t>Calculate</w:t>
            </w:r>
            <w:r>
              <w:rPr>
                <w:rFonts w:cs="Arial"/>
              </w:rPr>
              <w:t xml:space="preserve">, and record, </w:t>
            </w:r>
            <w:r>
              <w:rPr>
                <w:rFonts w:cs="Arial"/>
              </w:rPr>
              <w:t>the CV for every MPRN</w:t>
            </w:r>
            <w:r>
              <w:rPr>
                <w:rFonts w:cs="Arial"/>
              </w:rPr>
              <w:t>,</w:t>
            </w:r>
            <w:r>
              <w:rPr>
                <w:rFonts w:cs="Arial"/>
              </w:rPr>
              <w:t xml:space="preserve"> </w:t>
            </w:r>
            <w:r>
              <w:rPr>
                <w:rFonts w:cs="Arial"/>
              </w:rPr>
              <w:t xml:space="preserve">including MPRNs that are not included in the </w:t>
            </w:r>
            <w:r>
              <w:rPr>
                <w:rFonts w:cs="Arial"/>
              </w:rPr>
              <w:t>demonstration</w:t>
            </w:r>
            <w:r>
              <w:rPr>
                <w:rFonts w:cs="Arial"/>
              </w:rPr>
              <w:t>,</w:t>
            </w:r>
            <w:r>
              <w:rPr>
                <w:rFonts w:cs="Arial"/>
              </w:rPr>
              <w:t xml:space="preserve"> </w:t>
            </w:r>
            <w:r>
              <w:rPr>
                <w:rFonts w:cs="Arial"/>
              </w:rPr>
              <w:t xml:space="preserve">which would be used to calculate energy. </w:t>
            </w:r>
          </w:p>
          <w:p>
            <w:pPr>
              <w:rPr>
                <w:rFonts w:cs="Arial"/>
              </w:rPr>
              <w:pStyle w:val="List Paragraph"/>
              <w:jc w:val="both"/>
              <w:ind w:left="360"/>
            </w:pPr>
            <w:r>
              <w:rPr>
                <w:rFonts w:cs="Arial"/>
                <w:u w:val="single"/>
              </w:rPr>
              <w:t xml:space="preserve">Primary </w:t>
            </w:r>
            <w:r>
              <w:rPr>
                <w:rFonts w:cs="Arial"/>
                <w:u w:val="single"/>
              </w:rPr>
              <w:t>Constraint</w:t>
            </w:r>
            <w:r>
              <w:rPr>
                <w:rFonts w:cs="Arial"/>
              </w:rPr>
              <w:t xml:space="preserve"> </w:t>
            </w:r>
            <w:r>
              <w:rPr>
                <w:rFonts w:cs="Arial"/>
              </w:rPr>
              <w:t xml:space="preserve">Changes would be required to multiple </w:t>
            </w:r>
            <w:r>
              <w:rPr>
                <w:rFonts w:cs="Arial"/>
              </w:rPr>
              <w:t xml:space="preserve">legislations, </w:t>
            </w:r>
            <w:r>
              <w:rPr>
                <w:rFonts w:cs="Arial"/>
              </w:rPr>
              <w:t>codes</w:t>
            </w:r>
            <w:r>
              <w:rPr>
                <w:rFonts w:cs="Arial"/>
              </w:rPr>
              <w:t xml:space="preserve"> and systems throughout the gas industry</w:t>
            </w:r>
            <w:r>
              <w:rPr>
                <w:rFonts w:cs="Arial"/>
              </w:rPr>
              <w:t xml:space="preserve">. As it has yet to be determined that hydrogen will be used in the long term a change </w:t>
            </w:r>
            <w:r>
              <w:rPr>
                <w:rFonts w:cs="Arial"/>
              </w:rPr>
              <w:t xml:space="preserve">of </w:t>
            </w:r>
            <w:r>
              <w:rPr>
                <w:rFonts w:cs="Arial"/>
              </w:rPr>
              <w:t xml:space="preserve">this scale is not yet required. </w:t>
            </w:r>
            <w:r>
              <w:rPr>
                <w:rFonts w:cs="Arial"/>
              </w:rPr>
              <w:t xml:space="preserve">Therefore, this solution option has been discounted </w:t>
            </w:r>
            <w:r>
              <w:rPr>
                <w:rFonts w:cs="Arial"/>
              </w:rPr>
              <w:t>on the basis of</w:t>
            </w:r>
            <w:r>
              <w:rPr>
                <w:rFonts w:cs="Arial"/>
              </w:rPr>
              <w:t xml:space="preserve"> </w:t>
            </w:r>
            <w:r>
              <w:rPr>
                <w:rFonts w:cs="Arial"/>
              </w:rPr>
              <w:t xml:space="preserve">the scale of </w:t>
            </w:r>
            <w:r>
              <w:rPr>
                <w:rFonts w:cs="Arial"/>
              </w:rPr>
              <w:t xml:space="preserve">industry </w:t>
            </w:r>
            <w:r>
              <w:rPr>
                <w:rFonts w:cs="Arial"/>
              </w:rPr>
              <w:t xml:space="preserve">disruption </w:t>
            </w:r>
            <w:r>
              <w:rPr>
                <w:rFonts w:cs="Arial"/>
              </w:rPr>
              <w:t>required for implementation.</w:t>
            </w:r>
          </w:p>
          <w:p>
            <w:pPr>
              <w:rPr>
                <w:rFonts w:cs="Arial"/>
              </w:rPr>
              <w:jc w:val="both"/>
            </w:pPr>
          </w:p>
          <w:p>
            <w:pPr>
              <w:rPr>
                <w:rFonts w:cs="Arial"/>
              </w:rPr>
              <w:jc w:val="both"/>
            </w:pPr>
          </w:p>
          <w:p>
            <w:pPr>
              <w:rPr>
                <w:b w:val="1"/>
                <w:bCs w:val="1"/>
                <w:rFonts w:cs="Arial"/>
                <w:u w:val="single"/>
              </w:rPr>
              <w:jc w:val="both"/>
            </w:pPr>
            <w:r>
              <w:rPr>
                <w:b w:val="1"/>
                <w:bCs w:val="1"/>
                <w:rFonts w:cs="Arial"/>
                <w:u w:val="single"/>
              </w:rPr>
              <w:t>Change/Solution Overview</w:t>
            </w:r>
            <w:r>
              <w:rPr>
                <w:b w:val="1"/>
                <w:bCs w:val="1"/>
                <w:rFonts w:cs="Arial"/>
                <w:u w:val="single"/>
              </w:rPr>
              <w:t xml:space="preserve"> (for representation)</w:t>
            </w:r>
          </w:p>
          <w:p>
            <w:pPr>
              <w:rPr>
                <w:rFonts w:cs="Arial"/>
              </w:rPr>
              <w:jc w:val="both"/>
            </w:pPr>
          </w:p>
          <w:p>
            <w:pPr>
              <w:rPr>
                <w:rFonts w:cs="Arial"/>
              </w:rPr>
              <w:jc w:val="both"/>
            </w:pPr>
            <w:r>
              <w:rPr>
                <w:rFonts w:cs="Arial"/>
              </w:rPr>
              <w:t>T</w:t>
            </w:r>
            <w:r>
              <w:rPr>
                <w:rFonts w:cs="Arial"/>
              </w:rPr>
              <w:t xml:space="preserve">wo </w:t>
            </w:r>
            <w:r>
              <w:rPr>
                <w:rFonts w:cs="Arial"/>
              </w:rPr>
              <w:t>viable</w:t>
            </w:r>
            <w:r>
              <w:rPr>
                <w:rFonts w:cs="Arial"/>
              </w:rPr>
              <w:t xml:space="preserve"> </w:t>
            </w:r>
            <w:r>
              <w:rPr>
                <w:rFonts w:cs="Arial"/>
              </w:rPr>
              <w:t>high level</w:t>
            </w:r>
            <w:r>
              <w:rPr>
                <w:rFonts w:cs="Arial"/>
              </w:rPr>
              <w:t xml:space="preserve"> solution</w:t>
            </w:r>
            <w:r>
              <w:rPr>
                <w:rFonts w:cs="Arial"/>
              </w:rPr>
              <w:t xml:space="preserve"> options</w:t>
            </w:r>
            <w:r>
              <w:rPr>
                <w:rFonts w:cs="Arial"/>
              </w:rPr>
              <w:t xml:space="preserve"> </w:t>
            </w:r>
            <w:r>
              <w:rPr>
                <w:rFonts w:cs="Arial"/>
              </w:rPr>
              <w:t>have been developed</w:t>
            </w:r>
            <w:r>
              <w:rPr>
                <w:rFonts w:cs="Arial"/>
              </w:rPr>
              <w:t xml:space="preserve"> further</w:t>
            </w:r>
            <w:r>
              <w:rPr>
                <w:rFonts w:cs="Arial"/>
              </w:rPr>
              <w:t xml:space="preserve"> </w:t>
            </w:r>
            <w:r>
              <w:rPr>
                <w:rFonts w:cs="Arial"/>
              </w:rPr>
              <w:t xml:space="preserve">and </w:t>
            </w:r>
            <w:r>
              <w:rPr>
                <w:rFonts w:cs="Arial"/>
              </w:rPr>
              <w:t>are presented here</w:t>
            </w:r>
            <w:r>
              <w:rPr>
                <w:rFonts w:cs="Arial"/>
              </w:rPr>
              <w:t xml:space="preserve"> for industry consideration</w:t>
            </w:r>
            <w:r>
              <w:rPr>
                <w:rFonts w:cs="Arial"/>
              </w:rPr>
              <w:t xml:space="preserve"> and representation</w:t>
            </w:r>
            <w:r>
              <w:rPr>
                <w:rFonts w:cs="Arial"/>
              </w:rPr>
              <w:t>. For clarity</w:t>
            </w:r>
            <w:r>
              <w:rPr>
                <w:rFonts w:cs="Arial"/>
              </w:rPr>
              <w:t>,</w:t>
            </w:r>
            <w:r>
              <w:rPr>
                <w:rFonts w:cs="Arial"/>
              </w:rPr>
              <w:t xml:space="preserve"> the below options </w:t>
            </w:r>
            <w:r>
              <w:rPr>
                <w:rFonts w:cs="Arial"/>
              </w:rPr>
              <w:t xml:space="preserve">have been assessed </w:t>
            </w:r>
            <w:r>
              <w:rPr>
                <w:rFonts w:cs="Arial"/>
              </w:rPr>
              <w:t>as suitable</w:t>
            </w:r>
            <w:r>
              <w:rPr>
                <w:rFonts w:cs="Arial"/>
              </w:rPr>
              <w:t xml:space="preserve"> solutions to support </w:t>
            </w:r>
            <w:r>
              <w:rPr>
                <w:rFonts w:cs="Arial"/>
              </w:rPr>
              <w:t xml:space="preserve">smaller scale </w:t>
            </w:r>
            <w:r>
              <w:rPr>
                <w:rFonts w:cs="Arial"/>
              </w:rPr>
              <w:t>100% hydrogen demonstrations</w:t>
            </w:r>
            <w:r>
              <w:rPr>
                <w:rFonts w:cs="Arial"/>
              </w:rPr>
              <w:t>, including the hydrogen village trials programme</w:t>
            </w:r>
            <w:r>
              <w:rPr>
                <w:rFonts w:cs="Arial"/>
              </w:rPr>
              <w:t>. Further engagement and discussion will be undertaken across the industry to develop solution options</w:t>
            </w:r>
            <w:r>
              <w:rPr>
                <w:rFonts w:cs="Arial"/>
              </w:rPr>
              <w:t xml:space="preserve"> for hydrogen conversion roll out at scale</w:t>
            </w:r>
            <w:r>
              <w:rPr>
                <w:rFonts w:cs="Arial"/>
              </w:rPr>
              <w:t>.</w:t>
            </w:r>
          </w:p>
          <w:p>
            <w:pPr>
              <w:rPr>
                <w:rFonts w:cs="Arial"/>
              </w:rPr>
              <w:jc w:val="both"/>
            </w:pPr>
          </w:p>
          <w:p>
            <w:pPr>
              <w:rPr>
                <w:b w:val="1"/>
                <w:bCs w:val="1"/>
                <w:rFonts w:cs="Arial"/>
              </w:rPr>
              <w:jc w:val="both"/>
            </w:pPr>
            <w:r>
              <w:rPr>
                <w:b w:val="1"/>
                <w:bCs w:val="1"/>
                <w:rFonts w:cs="Arial"/>
              </w:rPr>
              <w:t xml:space="preserve">Option 1: </w:t>
            </w:r>
            <w:r>
              <w:rPr>
                <w:b w:val="1"/>
                <w:bCs w:val="1"/>
                <w:rFonts w:cs="Arial"/>
              </w:rPr>
              <w:t xml:space="preserve">Consumption Adjustment: </w:t>
            </w:r>
            <w:r>
              <w:rPr>
                <w:b w:val="1"/>
                <w:bCs w:val="1"/>
                <w:rFonts w:cs="Arial"/>
              </w:rPr>
              <w:t xml:space="preserve">Use the </w:t>
            </w:r>
            <w:r>
              <w:rPr>
                <w:b w:val="1"/>
                <w:bCs w:val="1"/>
                <w:rFonts w:cs="Arial"/>
              </w:rPr>
              <w:t>h</w:t>
            </w:r>
            <w:r>
              <w:rPr>
                <w:b w:val="1"/>
                <w:bCs w:val="1"/>
                <w:rFonts w:cs="Arial"/>
              </w:rPr>
              <w:t xml:space="preserve">ydrogen CV to reverse calculate the volume that would have been used had the meter been flowing </w:t>
            </w:r>
            <w:r>
              <w:rPr>
                <w:b w:val="1"/>
                <w:bCs w:val="1"/>
                <w:rFonts w:cs="Arial"/>
              </w:rPr>
              <w:t>n</w:t>
            </w:r>
            <w:r>
              <w:rPr>
                <w:b w:val="1"/>
                <w:bCs w:val="1"/>
                <w:rFonts w:cs="Arial"/>
              </w:rPr>
              <w:t xml:space="preserve">atural </w:t>
            </w:r>
            <w:r>
              <w:rPr>
                <w:b w:val="1"/>
                <w:bCs w:val="1"/>
                <w:rFonts w:cs="Arial"/>
              </w:rPr>
              <w:t>g</w:t>
            </w:r>
            <w:r>
              <w:rPr>
                <w:b w:val="1"/>
                <w:bCs w:val="1"/>
                <w:rFonts w:cs="Arial"/>
              </w:rPr>
              <w:t>as</w:t>
            </w:r>
          </w:p>
          <w:p>
            <w:pPr>
              <w:rPr>
                <w:b w:val="1"/>
                <w:bCs w:val="1"/>
                <w:rFonts w:cs="Arial"/>
                <w:u w:val="single"/>
              </w:rPr>
              <w:jc w:val="both"/>
            </w:pPr>
          </w:p>
          <w:p>
            <w:pPr>
              <w:rPr>
                <w:rFonts w:cs="Arial"/>
              </w:rPr>
              <w:jc w:val="both"/>
            </w:pPr>
            <w:r>
              <w:rPr>
                <w:rFonts w:cs="Arial"/>
              </w:rPr>
              <w:t xml:space="preserve">This solution option </w:t>
            </w:r>
            <w:r>
              <w:rPr>
                <w:rFonts w:cs="Arial"/>
              </w:rPr>
              <w:t>will</w:t>
            </w:r>
            <w:r>
              <w:rPr>
                <w:rFonts w:cs="Arial"/>
              </w:rPr>
              <w:t xml:space="preserve"> apply a consumption adjustment to adjust the volume following receipt of a </w:t>
            </w:r>
            <w:r>
              <w:rPr>
                <w:rFonts w:cs="Arial"/>
              </w:rPr>
              <w:t>V</w:t>
            </w:r>
            <w:r>
              <w:rPr>
                <w:rFonts w:cs="Arial"/>
              </w:rPr>
              <w:t>alid meter read</w:t>
            </w:r>
            <w:r>
              <w:rPr>
                <w:rFonts w:cs="Arial"/>
              </w:rPr>
              <w:t xml:space="preserve"> where a Reconciliation Period is generated</w:t>
            </w:r>
            <w:r>
              <w:rPr>
                <w:rFonts w:cs="Arial"/>
              </w:rPr>
              <w:t xml:space="preserve"> or updated</w:t>
            </w:r>
            <w:r>
              <w:rPr>
                <w:rFonts w:cs="Arial"/>
              </w:rPr>
              <w:t xml:space="preserve">. </w:t>
            </w:r>
            <w:r>
              <w:rPr>
                <w:rFonts w:cs="Arial"/>
              </w:rPr>
              <w:t xml:space="preserve"> </w:t>
            </w:r>
            <w:r>
              <w:rPr>
                <w:rFonts w:cs="Arial"/>
              </w:rPr>
              <w:t xml:space="preserve"> </w:t>
            </w:r>
          </w:p>
          <w:p>
            <w:pPr>
              <w:rPr>
                <w:rFonts w:cs="Arial"/>
              </w:rPr>
              <w:jc w:val="both"/>
            </w:pPr>
          </w:p>
          <w:p>
            <w:pPr>
              <w:rPr>
                <w:rFonts w:cs="Arial"/>
              </w:rPr>
              <w:jc w:val="both"/>
            </w:pPr>
            <w:r>
              <w:rPr>
                <w:rFonts w:cs="Arial"/>
              </w:rPr>
              <w:t xml:space="preserve">When a </w:t>
            </w:r>
            <w:r>
              <w:rPr>
                <w:rFonts w:cs="Arial"/>
              </w:rPr>
              <w:t>V</w:t>
            </w:r>
            <w:r>
              <w:rPr>
                <w:rFonts w:cs="Arial"/>
              </w:rPr>
              <w:t xml:space="preserve">alid meter </w:t>
            </w:r>
            <w:r>
              <w:rPr>
                <w:rFonts w:cs="Arial"/>
              </w:rPr>
              <w:t xml:space="preserve">read is </w:t>
            </w:r>
            <w:r>
              <w:rPr>
                <w:rFonts w:cs="Arial"/>
              </w:rPr>
              <w:t>received</w:t>
            </w:r>
            <w:r>
              <w:rPr>
                <w:rFonts w:cs="Arial"/>
              </w:rPr>
              <w:t>,</w:t>
            </w:r>
            <w:r>
              <w:rPr>
                <w:rFonts w:cs="Arial"/>
              </w:rPr>
              <w:t xml:space="preserve"> triggering </w:t>
            </w:r>
            <w:r>
              <w:rPr>
                <w:rFonts w:cs="Arial"/>
              </w:rPr>
              <w:t>reconciliation</w:t>
            </w:r>
            <w:r>
              <w:rPr>
                <w:rFonts w:cs="Arial"/>
              </w:rPr>
              <w:t>,</w:t>
            </w:r>
            <w:r>
              <w:rPr>
                <w:rFonts w:cs="Arial"/>
              </w:rPr>
              <w:t xml:space="preserve"> </w:t>
            </w:r>
            <w:r>
              <w:rPr>
                <w:rFonts w:cs="Arial"/>
              </w:rPr>
              <w:t xml:space="preserve">the volume and energy will be calculated as per </w:t>
            </w:r>
            <w:r>
              <w:rPr>
                <w:rFonts w:cs="Arial"/>
              </w:rPr>
              <w:t>standard processes, u</w:t>
            </w:r>
            <w:r>
              <w:rPr>
                <w:rFonts w:cs="Arial"/>
              </w:rPr>
              <w:t xml:space="preserve">sing the </w:t>
            </w:r>
            <w:r>
              <w:rPr>
                <w:rFonts w:cs="Arial"/>
              </w:rPr>
              <w:t>LDZ FWACV</w:t>
            </w:r>
            <w:r>
              <w:rPr>
                <w:rFonts w:cs="Arial"/>
              </w:rPr>
              <w:t xml:space="preserve">. The energy will then be </w:t>
            </w:r>
            <w:r>
              <w:rPr>
                <w:rFonts w:cs="Arial"/>
              </w:rPr>
              <w:t>re</w:t>
            </w:r>
            <w:r>
              <w:rPr>
                <w:rFonts w:cs="Arial"/>
              </w:rPr>
              <w:t xml:space="preserve">calculated, using the </w:t>
            </w:r>
            <w:r>
              <w:rPr>
                <w:rFonts w:cs="Arial"/>
              </w:rPr>
              <w:t>hydrogen CV,</w:t>
            </w:r>
            <w:r>
              <w:rPr>
                <w:rFonts w:cs="Arial"/>
              </w:rPr>
              <w:t xml:space="preserve"> </w:t>
            </w:r>
            <w:r>
              <w:rPr>
                <w:rFonts w:cs="Arial"/>
              </w:rPr>
              <w:t>and</w:t>
            </w:r>
            <w:r>
              <w:rPr>
                <w:rFonts w:cs="Arial"/>
              </w:rPr>
              <w:t xml:space="preserve"> </w:t>
            </w:r>
            <w:r>
              <w:rPr>
                <w:rFonts w:cs="Arial"/>
              </w:rPr>
              <w:t>a</w:t>
            </w:r>
            <w:r>
              <w:rPr>
                <w:rFonts w:cs="Arial"/>
              </w:rPr>
              <w:t xml:space="preserve"> consumption adjustment will then be applied to override the original volume calculated. </w:t>
            </w:r>
          </w:p>
          <w:p>
            <w:pPr>
              <w:rPr>
                <w:rFonts w:cs="Arial"/>
              </w:rPr>
              <w:jc w:val="both"/>
            </w:pPr>
          </w:p>
          <w:p>
            <w:pPr>
              <w:rPr>
                <w:rFonts w:cs="Arial"/>
              </w:rPr>
              <w:jc w:val="both"/>
            </w:pPr>
            <w:r>
              <w:rPr>
                <w:rFonts w:cs="Arial"/>
              </w:rPr>
              <w:t xml:space="preserve">The CV for hydrogen will be </w:t>
            </w:r>
            <w:r>
              <w:rPr>
                <w:rFonts w:cs="Arial"/>
              </w:rPr>
              <w:t>calculated</w:t>
            </w:r>
            <w:r>
              <w:rPr>
                <w:rFonts w:cs="Arial"/>
              </w:rPr>
              <w:t xml:space="preserve">, </w:t>
            </w:r>
            <w:r>
              <w:rPr>
                <w:rFonts w:cs="Arial"/>
              </w:rPr>
              <w:t>provided</w:t>
            </w:r>
            <w:r>
              <w:rPr>
                <w:rFonts w:cs="Arial"/>
              </w:rPr>
              <w:t xml:space="preserve"> and issued </w:t>
            </w:r>
            <w:r>
              <w:rPr>
                <w:rFonts w:cs="Arial"/>
              </w:rPr>
              <w:t xml:space="preserve">by </w:t>
            </w:r>
            <w:r>
              <w:rPr>
                <w:rFonts w:cs="Arial"/>
              </w:rPr>
              <w:t xml:space="preserve">SGN to the relevant Shippers. </w:t>
            </w:r>
            <w:r>
              <w:rPr>
                <w:rFonts w:cs="Arial"/>
              </w:rPr>
              <w:t xml:space="preserve">This will be in addition to the existing .SC9 file which contains the FWACV data. </w:t>
            </w:r>
          </w:p>
          <w:p>
            <w:pPr>
              <w:rPr>
                <w:rFonts w:cs="Arial"/>
              </w:rPr>
              <w:jc w:val="both"/>
            </w:pPr>
          </w:p>
          <w:p>
            <w:pPr>
              <w:rPr>
                <w:rFonts w:cs="Arial"/>
              </w:rPr>
              <w:jc w:val="both"/>
            </w:pPr>
            <w:r>
              <w:rPr>
                <w:rFonts w:cs="Arial"/>
              </w:rPr>
              <w:t xml:space="preserve">The details used to calculate Shipper Settlement and Reconciliation charges will be made available in existing invoicing files and supporting information datasets. Under this option it is recognised that downstream of Shippers, Suppliers may need to consider associated Consumption Adjustment details when billing end consumers. </w:t>
            </w:r>
          </w:p>
          <w:p>
            <w:pPr>
              <w:rPr>
                <w:rFonts w:cs="Arial"/>
              </w:rPr>
              <w:jc w:val="both"/>
            </w:pPr>
          </w:p>
          <w:p>
            <w:pPr>
              <w:rPr>
                <w:b w:val="1"/>
                <w:bCs w:val="1"/>
                <w:rFonts w:cs="Arial"/>
              </w:rPr>
              <w:jc w:val="both"/>
            </w:pPr>
            <w:r>
              <w:rPr>
                <w:b w:val="1"/>
                <w:bCs w:val="1"/>
                <w:rFonts w:cs="Arial"/>
              </w:rPr>
              <w:t xml:space="preserve">Option </w:t>
            </w:r>
            <w:r>
              <w:rPr>
                <w:b w:val="1"/>
                <w:bCs w:val="1"/>
                <w:rFonts w:cs="Arial"/>
              </w:rPr>
              <w:t>2</w:t>
            </w:r>
            <w:r>
              <w:rPr>
                <w:b w:val="1"/>
                <w:bCs w:val="1"/>
                <w:rFonts w:cs="Arial"/>
              </w:rPr>
              <w:t xml:space="preserve">: </w:t>
            </w:r>
            <w:r>
              <w:rPr>
                <w:b w:val="1"/>
                <w:bCs w:val="1"/>
                <w:rFonts w:cs="Arial"/>
              </w:rPr>
              <w:t>Amend the Multiplication Factor</w:t>
            </w:r>
            <w:r>
              <w:rPr>
                <w:b w:val="1"/>
                <w:bCs w:val="1"/>
                <w:rFonts w:cs="Arial"/>
              </w:rPr>
              <w:t xml:space="preserve"> (MF)</w:t>
            </w:r>
            <w:r>
              <w:rPr>
                <w:b w:val="1"/>
                <w:bCs w:val="1"/>
                <w:rFonts w:cs="Arial"/>
              </w:rPr>
              <w:t xml:space="preserve"> within the volume to energy calculation</w:t>
            </w:r>
          </w:p>
          <w:p>
            <w:pPr>
              <w:rPr>
                <w:b w:val="1"/>
                <w:bCs w:val="1"/>
                <w:rFonts w:cs="Arial"/>
                <w:u w:val="single"/>
              </w:rPr>
              <w:jc w:val="both"/>
            </w:pPr>
          </w:p>
          <w:p>
            <w:pPr>
              <w:rPr>
                <w:rFonts w:cs="Arial"/>
              </w:rPr>
              <w:jc w:val="both"/>
            </w:pPr>
            <w:r>
              <w:rPr>
                <w:rFonts w:cs="Arial"/>
              </w:rPr>
              <w:t xml:space="preserve">This solution option </w:t>
            </w:r>
            <w:r>
              <w:rPr>
                <w:rFonts w:cs="Arial"/>
              </w:rPr>
              <w:t xml:space="preserve">will </w:t>
            </w:r>
            <w:r>
              <w:rPr>
                <w:rFonts w:cs="Arial"/>
              </w:rPr>
              <w:t>us</w:t>
            </w:r>
            <w:r>
              <w:rPr>
                <w:rFonts w:cs="Arial"/>
              </w:rPr>
              <w:t>e</w:t>
            </w:r>
            <w:r>
              <w:rPr>
                <w:rFonts w:cs="Arial"/>
              </w:rPr>
              <w:t xml:space="preserve"> a </w:t>
            </w:r>
            <w:r>
              <w:rPr>
                <w:rFonts w:cs="Arial"/>
              </w:rPr>
              <w:t>M</w:t>
            </w:r>
            <w:r>
              <w:rPr>
                <w:rFonts w:cs="Arial"/>
              </w:rPr>
              <w:t>F</w:t>
            </w:r>
            <w:r>
              <w:rPr>
                <w:rFonts w:cs="Arial"/>
              </w:rPr>
              <w:t xml:space="preserve"> </w:t>
            </w:r>
            <w:r>
              <w:rPr>
                <w:rFonts w:cs="Arial"/>
              </w:rPr>
              <w:t xml:space="preserve">developed/defined specifically for hydrogen </w:t>
            </w:r>
            <w:r>
              <w:rPr>
                <w:rFonts w:cs="Arial"/>
              </w:rPr>
              <w:t xml:space="preserve">meters. When </w:t>
            </w:r>
            <w:r>
              <w:rPr>
                <w:rFonts w:cs="Arial"/>
              </w:rPr>
              <w:t>a</w:t>
            </w:r>
            <w:r>
              <w:rPr>
                <w:rFonts w:cs="Arial"/>
              </w:rPr>
              <w:t xml:space="preserve"> Valid</w:t>
            </w:r>
            <w:r>
              <w:rPr>
                <w:rFonts w:cs="Arial"/>
              </w:rPr>
              <w:t xml:space="preserve"> read is received </w:t>
            </w:r>
            <w:r>
              <w:rPr>
                <w:rFonts w:cs="Arial"/>
              </w:rPr>
              <w:t xml:space="preserve">this </w:t>
            </w:r>
            <w:r>
              <w:rPr>
                <w:rFonts w:cs="Arial"/>
              </w:rPr>
              <w:t xml:space="preserve">value </w:t>
            </w:r>
            <w:r>
              <w:rPr>
                <w:rFonts w:cs="Arial"/>
              </w:rPr>
              <w:t xml:space="preserve">will be </w:t>
            </w:r>
            <w:r>
              <w:rPr>
                <w:rFonts w:cs="Arial"/>
              </w:rPr>
              <w:t xml:space="preserve">used in the </w:t>
            </w:r>
            <w:r>
              <w:rPr>
                <w:rFonts w:cs="Arial"/>
              </w:rPr>
              <w:t>calculati</w:t>
            </w:r>
            <w:r>
              <w:rPr>
                <w:rFonts w:cs="Arial"/>
              </w:rPr>
              <w:t xml:space="preserve">on of consumption to account for the difference in volume that is required </w:t>
            </w:r>
            <w:r>
              <w:rPr>
                <w:rFonts w:cs="Arial"/>
              </w:rPr>
              <w:t>for</w:t>
            </w:r>
            <w:r>
              <w:rPr>
                <w:rFonts w:cs="Arial"/>
              </w:rPr>
              <w:t xml:space="preserve"> hydrogen to deliver the equivalent energy </w:t>
            </w:r>
            <w:r>
              <w:rPr>
                <w:rFonts w:cs="Arial"/>
              </w:rPr>
              <w:t>of</w:t>
            </w:r>
            <w:r>
              <w:rPr>
                <w:rFonts w:cs="Arial"/>
              </w:rPr>
              <w:t xml:space="preserve"> natural gas.</w:t>
            </w:r>
          </w:p>
          <w:p>
            <w:pPr>
              <w:rPr>
                <w:rFonts w:cs="Arial"/>
              </w:rPr>
              <w:jc w:val="both"/>
            </w:pPr>
            <w:r>
              <w:rPr>
                <w:rFonts w:cs="Arial"/>
              </w:rPr>
              <w:t xml:space="preserve"> </w:t>
            </w:r>
          </w:p>
          <w:p>
            <w:pPr>
              <w:rPr>
                <w:rFonts w:cs="Arial"/>
              </w:rPr>
              <w:jc w:val="both"/>
            </w:pPr>
            <w:r>
              <w:rPr>
                <w:rFonts w:cs="Arial"/>
              </w:rPr>
              <w:t xml:space="preserve">Market Domain Data (MDD) will </w:t>
            </w:r>
            <w:r>
              <w:rPr>
                <w:rFonts w:cs="Arial"/>
              </w:rPr>
              <w:t xml:space="preserve">need to </w:t>
            </w:r>
            <w:r>
              <w:rPr>
                <w:rFonts w:cs="Arial"/>
              </w:rPr>
              <w:t xml:space="preserve">reflect the </w:t>
            </w:r>
            <w:r>
              <w:rPr>
                <w:rFonts w:cs="Arial"/>
              </w:rPr>
              <w:t xml:space="preserve">defined </w:t>
            </w:r>
            <w:r>
              <w:rPr>
                <w:rFonts w:cs="Arial"/>
              </w:rPr>
              <w:t>MF</w:t>
            </w:r>
            <w:r>
              <w:rPr>
                <w:rFonts w:cs="Arial"/>
              </w:rPr>
              <w:t>. This will be</w:t>
            </w:r>
            <w:r>
              <w:rPr>
                <w:rFonts w:cs="Arial"/>
              </w:rPr>
              <w:t xml:space="preserve"> </w:t>
            </w:r>
            <w:r>
              <w:rPr>
                <w:rFonts w:cs="Arial"/>
              </w:rPr>
              <w:t>dependent</w:t>
            </w:r>
            <w:r>
              <w:rPr>
                <w:rFonts w:cs="Arial"/>
              </w:rPr>
              <w:t xml:space="preserve"> on agreement from the meter manufacturer</w:t>
            </w:r>
            <w:r>
              <w:rPr>
                <w:rFonts w:cs="Arial"/>
              </w:rPr>
              <w:t>(</w:t>
            </w:r>
            <w:r>
              <w:rPr>
                <w:rFonts w:cs="Arial"/>
              </w:rPr>
              <w:t>s</w:t>
            </w:r>
            <w:r>
              <w:rPr>
                <w:rFonts w:cs="Arial"/>
              </w:rPr>
              <w:t>)</w:t>
            </w:r>
            <w:r>
              <w:rPr>
                <w:rFonts w:cs="Arial"/>
              </w:rPr>
              <w:t xml:space="preserve"> </w:t>
            </w:r>
            <w:r>
              <w:rPr>
                <w:rFonts w:cs="Arial"/>
              </w:rPr>
              <w:t>that when updating</w:t>
            </w:r>
            <w:r>
              <w:rPr>
                <w:rFonts w:cs="Arial"/>
              </w:rPr>
              <w:t xml:space="preserve"> the MDD </w:t>
            </w:r>
            <w:r>
              <w:rPr>
                <w:rFonts w:cs="Arial"/>
              </w:rPr>
              <w:t xml:space="preserve">with the hydrogen meter they will include </w:t>
            </w:r>
            <w:r>
              <w:rPr>
                <w:rFonts w:cs="Arial"/>
              </w:rPr>
              <w:t xml:space="preserve">the developed/defined </w:t>
            </w:r>
            <w:r>
              <w:rPr>
                <w:rFonts w:cs="Arial"/>
              </w:rPr>
              <w:t>MF</w:t>
            </w:r>
            <w:r>
              <w:rPr>
                <w:rFonts w:cs="Arial"/>
              </w:rPr>
              <w:t xml:space="preserve">. </w:t>
            </w:r>
          </w:p>
          <w:p>
            <w:pPr>
              <w:rPr>
                <w:rFonts w:cs="Arial"/>
              </w:rPr>
              <w:jc w:val="both"/>
            </w:pPr>
          </w:p>
          <w:p>
            <w:pPr>
              <w:rPr>
                <w:rFonts w:cs="Arial"/>
              </w:rPr>
              <w:jc w:val="both"/>
            </w:pPr>
            <w:r>
              <w:rPr>
                <w:rFonts w:cs="Arial"/>
              </w:rPr>
              <w:t>It is expected that the standard process for updating meter details in CDSP</w:t>
            </w:r>
            <w:r>
              <w:rPr>
                <w:rFonts w:cs="Arial"/>
              </w:rPr>
              <w:t xml:space="preserve"> systems will continue</w:t>
            </w:r>
            <w:r>
              <w:rPr>
                <w:rFonts w:cs="Arial"/>
              </w:rPr>
              <w:t xml:space="preserve"> </w:t>
            </w:r>
            <w:r>
              <w:rPr>
                <w:rFonts w:cs="Arial"/>
              </w:rPr>
              <w:t xml:space="preserve">i.e. </w:t>
            </w:r>
            <w:r>
              <w:rPr>
                <w:rFonts w:cs="Arial"/>
              </w:rPr>
              <w:t>MAM installs the meter and provide</w:t>
            </w:r>
            <w:r>
              <w:rPr>
                <w:rFonts w:cs="Arial"/>
              </w:rPr>
              <w:t>s</w:t>
            </w:r>
            <w:r>
              <w:rPr>
                <w:rFonts w:cs="Arial"/>
              </w:rPr>
              <w:t xml:space="preserve"> details to the Supplier, Supplier provides the details to the Shipper and the Shipper provides the details to the CDSP. </w:t>
            </w:r>
          </w:p>
          <w:p>
            <w:pPr>
              <w:rPr>
                <w:rFonts w:cs="Arial"/>
              </w:rPr>
              <w:jc w:val="both"/>
            </w:pPr>
          </w:p>
          <w:p>
            <w:pPr>
              <w:rPr>
                <w:b w:val="1"/>
                <w:bCs w:val="1"/>
                <w:rFonts w:cs="Arial"/>
              </w:rPr>
              <w:jc w:val="both"/>
            </w:pPr>
            <w:r>
              <w:rPr>
                <w:b w:val="1"/>
                <w:bCs w:val="1"/>
                <w:rFonts w:cs="Arial"/>
              </w:rPr>
              <w:t>General considerations</w:t>
            </w:r>
            <w:r>
              <w:rPr>
                <w:b w:val="1"/>
                <w:bCs w:val="1"/>
                <w:rFonts w:cs="Arial"/>
              </w:rPr>
              <w:t>/proposals</w:t>
            </w:r>
            <w:r>
              <w:rPr>
                <w:b w:val="1"/>
                <w:bCs w:val="1"/>
                <w:rFonts w:cs="Arial"/>
              </w:rPr>
              <w:t xml:space="preserve"> for both </w:t>
            </w:r>
            <w:r>
              <w:rPr>
                <w:b w:val="1"/>
                <w:bCs w:val="1"/>
                <w:rFonts w:cs="Arial"/>
              </w:rPr>
              <w:t>Solution O</w:t>
            </w:r>
            <w:r>
              <w:rPr>
                <w:b w:val="1"/>
                <w:bCs w:val="1"/>
                <w:rFonts w:cs="Arial"/>
              </w:rPr>
              <w:t>ptions</w:t>
            </w:r>
            <w:r>
              <w:rPr>
                <w:b w:val="1"/>
                <w:bCs w:val="1"/>
                <w:rFonts w:cs="Arial"/>
              </w:rPr>
              <w:t>:</w:t>
            </w:r>
          </w:p>
          <w:p>
            <w:pPr>
              <w:rPr>
                <w:rFonts w:cs="Arial"/>
              </w:rPr>
              <w:jc w:val="both"/>
            </w:pPr>
          </w:p>
          <w:p>
            <w:pPr>
              <w:rPr>
                <w:rFonts w:cs="Arial"/>
              </w:rPr>
              <w:jc w:val="both"/>
            </w:pPr>
            <w:r>
              <w:rPr>
                <w:rFonts w:cs="Arial"/>
              </w:rPr>
              <w:t xml:space="preserve">Both solution options would need to </w:t>
            </w:r>
            <w:r>
              <w:rPr>
                <w:rFonts w:cs="Arial"/>
              </w:rPr>
              <w:t>take into account</w:t>
            </w:r>
            <w:r>
              <w:rPr>
                <w:rFonts w:cs="Arial"/>
              </w:rPr>
              <w:t xml:space="preserve"> the </w:t>
            </w:r>
            <w:r>
              <w:rPr>
                <w:rFonts w:cs="Arial"/>
              </w:rPr>
              <w:t xml:space="preserve">following </w:t>
            </w:r>
            <w:r>
              <w:rPr>
                <w:rFonts w:cs="Arial"/>
              </w:rPr>
              <w:t>considerations</w:t>
            </w:r>
            <w:r>
              <w:rPr>
                <w:rFonts w:cs="Arial"/>
              </w:rPr>
              <w:t xml:space="preserve">: </w:t>
            </w:r>
          </w:p>
          <w:p>
            <w:pPr>
              <w:rPr>
                <w:rFonts w:cs="Arial"/>
              </w:rPr>
              <w:numPr>
                <w:ilvl w:val="0"/>
                <w:numId w:val="3"/>
              </w:numPr>
              <w:pStyle w:val="List Paragraph"/>
              <w:jc w:val="both"/>
              <w:ind w:left="360"/>
            </w:pPr>
            <w:r>
              <w:rPr>
                <w:rFonts w:cs="Arial"/>
                <w:i w:val="1"/>
                <w:iCs w:val="1"/>
                <w:u w:val="single"/>
              </w:rPr>
              <w:t xml:space="preserve">Notification of MPRNs in </w:t>
            </w:r>
            <w:r>
              <w:rPr>
                <w:rFonts w:cs="Arial"/>
                <w:i w:val="1"/>
                <w:iCs w:val="1"/>
                <w:u w:val="single"/>
              </w:rPr>
              <w:t xml:space="preserve">the </w:t>
            </w:r>
            <w:r>
              <w:rPr>
                <w:rFonts w:cs="Arial"/>
                <w:i w:val="1"/>
                <w:iCs w:val="1"/>
                <w:u w:val="single"/>
              </w:rPr>
              <w:t>demonstration</w:t>
            </w:r>
            <w:r>
              <w:rPr>
                <w:rFonts w:cs="Arial"/>
              </w:rPr>
              <w:t xml:space="preserve"> </w:t>
            </w:r>
            <w:r>
              <w:rPr>
                <w:rFonts w:cs="Arial"/>
              </w:rPr>
              <w:t>–</w:t>
            </w:r>
            <w:r>
              <w:rPr>
                <w:rFonts w:cs="Arial"/>
              </w:rPr>
              <w:t xml:space="preserve"> </w:t>
            </w:r>
            <w:r>
              <w:rPr>
                <w:rFonts w:cs="Arial"/>
              </w:rPr>
              <w:t xml:space="preserve">It is proposed that </w:t>
            </w:r>
            <w:r>
              <w:rPr>
                <w:rFonts w:cs="Arial"/>
              </w:rPr>
              <w:t>the</w:t>
            </w:r>
            <w:r>
              <w:rPr>
                <w:rFonts w:cs="Arial"/>
              </w:rPr>
              <w:t xml:space="preserve"> existing</w:t>
            </w:r>
            <w:r>
              <w:rPr>
                <w:rFonts w:cs="Arial"/>
              </w:rPr>
              <w:t xml:space="preserve"> Network Project Flag</w:t>
            </w:r>
            <w:r>
              <w:rPr>
                <w:rFonts w:cs="Arial"/>
              </w:rPr>
              <w:t xml:space="preserve">, in Data Enquiry Service, </w:t>
            </w:r>
            <w:r>
              <w:rPr>
                <w:rFonts w:cs="Arial"/>
              </w:rPr>
              <w:t xml:space="preserve">will be </w:t>
            </w:r>
            <w:r>
              <w:rPr>
                <w:rFonts w:cs="Arial"/>
              </w:rPr>
              <w:t>utilised</w:t>
            </w:r>
            <w:r>
              <w:rPr>
                <w:rFonts w:cs="Arial"/>
              </w:rPr>
              <w:t xml:space="preserve"> </w:t>
            </w:r>
            <w:r>
              <w:rPr>
                <w:rFonts w:cs="Arial"/>
              </w:rPr>
              <w:t>to allow</w:t>
            </w:r>
            <w:r>
              <w:rPr>
                <w:rFonts w:cs="Arial"/>
              </w:rPr>
              <w:t xml:space="preserve"> </w:t>
            </w:r>
            <w:r>
              <w:rPr>
                <w:rFonts w:cs="Arial"/>
              </w:rPr>
              <w:t>users</w:t>
            </w:r>
            <w:r>
              <w:rPr>
                <w:rFonts w:cs="Arial"/>
              </w:rPr>
              <w:t xml:space="preserve"> </w:t>
            </w:r>
            <w:r>
              <w:rPr>
                <w:rFonts w:cs="Arial"/>
              </w:rPr>
              <w:t xml:space="preserve">to </w:t>
            </w:r>
            <w:r>
              <w:rPr>
                <w:rFonts w:cs="Arial"/>
              </w:rPr>
              <w:t xml:space="preserve">identify sites included in the </w:t>
            </w:r>
            <w:r>
              <w:rPr>
                <w:rFonts w:cs="Arial"/>
              </w:rPr>
              <w:t>demonstration</w:t>
            </w:r>
            <w:r>
              <w:rPr>
                <w:rFonts w:cs="Arial"/>
              </w:rPr>
              <w:t xml:space="preserve">. </w:t>
            </w:r>
            <w:r>
              <w:rPr>
                <w:rFonts w:cs="Arial"/>
              </w:rPr>
              <w:t>SGN will be responsible for maintaining this data item in the Supply Point Register.</w:t>
            </w:r>
          </w:p>
          <w:p>
            <w:pPr>
              <w:rPr>
                <w:rFonts w:cs="Arial"/>
              </w:rPr>
              <w:jc w:val="both"/>
            </w:pPr>
          </w:p>
          <w:p>
            <w:pPr>
              <w:rPr>
                <w:rFonts w:cs="Arial"/>
              </w:rPr>
              <w:pStyle w:val="List Paragraph"/>
              <w:jc w:val="both"/>
              <w:ind w:left="360"/>
            </w:pPr>
            <w:r>
              <w:rPr>
                <w:rFonts w:cs="Arial"/>
              </w:rPr>
              <w:t xml:space="preserve">A notification will </w:t>
            </w:r>
            <w:r>
              <w:rPr>
                <w:rFonts w:cs="Arial"/>
              </w:rPr>
              <w:t xml:space="preserve">also </w:t>
            </w:r>
            <w:r>
              <w:rPr>
                <w:rFonts w:cs="Arial"/>
              </w:rPr>
              <w:t xml:space="preserve">be issued to Shippers when they </w:t>
            </w:r>
            <w:r>
              <w:rPr>
                <w:rFonts w:cs="Arial"/>
              </w:rPr>
              <w:t xml:space="preserve">take on a MPRN that is included in the </w:t>
            </w:r>
            <w:r>
              <w:rPr>
                <w:rFonts w:cs="Arial"/>
              </w:rPr>
              <w:t>demonstration</w:t>
            </w:r>
            <w:r>
              <w:rPr>
                <w:rFonts w:cs="Arial"/>
              </w:rPr>
              <w:t>.</w:t>
            </w:r>
          </w:p>
          <w:p>
            <w:pPr>
              <w:rPr>
                <w:rFonts w:cs="Arial"/>
              </w:rPr>
              <w:pStyle w:val="List Paragraph"/>
              <w:jc w:val="both"/>
              <w:ind w:left="360"/>
            </w:pPr>
          </w:p>
          <w:p>
            <w:pPr>
              <w:rPr>
                <w:rFonts w:cs="Arial"/>
              </w:rPr>
              <w:numPr>
                <w:ilvl w:val="0"/>
                <w:numId w:val="3"/>
              </w:numPr>
              <w:pStyle w:val="List Paragraph"/>
              <w:jc w:val="both"/>
              <w:ind w:left="360"/>
            </w:pPr>
            <w:r>
              <w:rPr>
                <w:rFonts w:cs="Arial"/>
                <w:i w:val="1"/>
                <w:iCs w:val="1"/>
                <w:u w:val="single"/>
              </w:rPr>
              <w:t>Ofgem</w:t>
            </w:r>
            <w:r>
              <w:rPr>
                <w:rFonts w:cs="Arial"/>
              </w:rPr>
              <w:t xml:space="preserve">– </w:t>
            </w:r>
            <w:r>
              <w:rPr>
                <w:rFonts w:cs="Arial"/>
              </w:rPr>
              <w:t xml:space="preserve">Each option has been discussed with Ofgem and the </w:t>
            </w:r>
            <w:r>
              <w:rPr>
                <w:rFonts w:cs="Arial"/>
              </w:rPr>
              <w:t xml:space="preserve">solution option </w:t>
            </w:r>
            <w:r>
              <w:rPr>
                <w:rFonts w:cs="Arial"/>
              </w:rPr>
              <w:t>that is approved</w:t>
            </w:r>
            <w:r>
              <w:rPr>
                <w:rFonts w:cs="Arial"/>
              </w:rPr>
              <w:t xml:space="preserve"> by the industry will </w:t>
            </w:r>
            <w:r>
              <w:rPr>
                <w:rFonts w:cs="Arial"/>
              </w:rPr>
              <w:t>be communicated to</w:t>
            </w:r>
            <w:r>
              <w:rPr>
                <w:rFonts w:cs="Arial"/>
              </w:rPr>
              <w:t xml:space="preserve"> Ofgem to ensure </w:t>
            </w:r>
            <w:r>
              <w:rPr>
                <w:rFonts w:cs="Arial"/>
              </w:rPr>
              <w:t>consumers</w:t>
            </w:r>
            <w:r>
              <w:rPr>
                <w:rFonts w:cs="Arial"/>
              </w:rPr>
              <w:t xml:space="preserve"> remain protected and</w:t>
            </w:r>
            <w:r>
              <w:rPr>
                <w:rFonts w:cs="Arial"/>
              </w:rPr>
              <w:t xml:space="preserve"> are not disadvantaged</w:t>
            </w:r>
            <w:r>
              <w:rPr>
                <w:rFonts w:cs="Arial"/>
              </w:rPr>
              <w:t xml:space="preserve">. </w:t>
            </w:r>
            <w:r>
              <w:rPr>
                <w:rFonts w:cs="Arial"/>
              </w:rPr>
              <w:t xml:space="preserve"> </w:t>
            </w:r>
          </w:p>
          <w:p>
            <w:pPr>
              <w:rPr>
                <w:rFonts w:cs="Arial"/>
              </w:rPr>
              <w:pStyle w:val="List Paragraph"/>
              <w:jc w:val="both"/>
              <w:ind w:left="360"/>
            </w:pPr>
          </w:p>
          <w:p>
            <w:pPr>
              <w:rPr>
                <w:rFonts w:cs="Arial"/>
              </w:rPr>
              <w:numPr>
                <w:ilvl w:val="0"/>
                <w:numId w:val="3"/>
              </w:numPr>
              <w:pStyle w:val="List Paragraph"/>
              <w:jc w:val="both"/>
              <w:ind w:left="360"/>
            </w:pPr>
            <w:r>
              <w:rPr>
                <w:rFonts w:eastAsia="Arial"/>
              </w:rPr>
              <w:t>E</w:t>
            </w:r>
            <w:r>
              <w:rPr>
                <w:rFonts w:eastAsia="Arial"/>
              </w:rPr>
              <w:t xml:space="preserve">nd consumers </w:t>
            </w:r>
            <w:r>
              <w:rPr>
                <w:rFonts w:eastAsia="Arial"/>
              </w:rPr>
              <w:t xml:space="preserve">who take part in the demonstration </w:t>
            </w:r>
            <w:r>
              <w:rPr>
                <w:rFonts w:eastAsia="Arial"/>
              </w:rPr>
              <w:t xml:space="preserve">may remain on hydrogen </w:t>
            </w:r>
            <w:r>
              <w:rPr>
                <w:rFonts w:eastAsia="Arial"/>
              </w:rPr>
              <w:t>under</w:t>
            </w:r>
            <w:r>
              <w:rPr>
                <w:rFonts w:eastAsia="Arial"/>
              </w:rPr>
              <w:t xml:space="preserve"> the solution option chosen</w:t>
            </w:r>
            <w:r>
              <w:rPr>
                <w:rFonts w:eastAsia="Arial"/>
              </w:rPr>
              <w:t>,</w:t>
            </w:r>
            <w:r>
              <w:rPr>
                <w:rFonts w:eastAsia="Arial"/>
              </w:rPr>
              <w:t xml:space="preserve"> for </w:t>
            </w:r>
            <w:r>
              <w:rPr>
                <w:rFonts w:eastAsia="Arial"/>
              </w:rPr>
              <w:t>a number of</w:t>
            </w:r>
            <w:r>
              <w:rPr>
                <w:rFonts w:eastAsia="Arial"/>
              </w:rPr>
              <w:t xml:space="preserve"> years</w:t>
            </w:r>
            <w:r>
              <w:rPr>
                <w:rFonts w:eastAsia="Arial"/>
              </w:rPr>
              <w:t>,</w:t>
            </w:r>
            <w:r>
              <w:rPr>
                <w:rFonts w:eastAsia="Arial"/>
              </w:rPr>
              <w:t xml:space="preserve"> until an enduring long-term solution is agreed by the industry. </w:t>
            </w:r>
          </w:p>
          <w:p>
            <w:pPr>
              <w:rPr>
                <w:rFonts w:cs="Arial"/>
              </w:rPr>
              <w:pStyle w:val="List Paragraph"/>
              <w:jc w:val="both"/>
              <w:ind w:left="360"/>
            </w:pPr>
          </w:p>
          <w:p>
            <w:pPr>
              <w:rPr>
                <w:rFonts w:cs="Arial"/>
              </w:rPr>
              <w:numPr>
                <w:ilvl w:val="0"/>
                <w:numId w:val="3"/>
              </w:numPr>
              <w:pStyle w:val="List Paragraph"/>
              <w:jc w:val="both"/>
              <w:ind w:left="360"/>
            </w:pPr>
            <w:r>
              <w:rPr>
                <w:rFonts w:cs="Arial"/>
              </w:rPr>
              <w:t>F</w:t>
            </w:r>
            <w:r>
              <w:rPr>
                <w:rFonts w:cs="Arial"/>
              </w:rPr>
              <w:t xml:space="preserve">or the duration of the </w:t>
            </w:r>
            <w:r>
              <w:rPr>
                <w:rFonts w:cs="Arial"/>
              </w:rPr>
              <w:t>demonstration</w:t>
            </w:r>
            <w:r>
              <w:rPr>
                <w:rFonts w:cs="Arial"/>
              </w:rPr>
              <w:t xml:space="preserve"> </w:t>
            </w:r>
            <w:r>
              <w:rPr>
                <w:rFonts w:cs="Arial"/>
              </w:rPr>
              <w:t>the CDSP</w:t>
            </w:r>
            <w:r>
              <w:rPr>
                <w:rFonts w:cs="Arial"/>
              </w:rPr>
              <w:t xml:space="preserve"> </w:t>
            </w:r>
            <w:r>
              <w:rPr>
                <w:rFonts w:cs="Arial"/>
              </w:rPr>
              <w:t xml:space="preserve">will look to </w:t>
            </w:r>
            <w:r>
              <w:rPr>
                <w:rFonts w:cs="Arial"/>
              </w:rPr>
              <w:t>provide visibility of these sites within</w:t>
            </w:r>
            <w:r>
              <w:rPr>
                <w:rFonts w:cs="Arial"/>
              </w:rPr>
              <w:t xml:space="preserve"> the Data Discovery Platform (</w:t>
            </w:r>
            <w:r>
              <w:rPr>
                <w:rFonts w:cs="Arial"/>
              </w:rPr>
              <w:t>DDP</w:t>
            </w:r>
            <w:r>
              <w:rPr>
                <w:rFonts w:cs="Arial"/>
              </w:rPr>
              <w:t>)</w:t>
            </w:r>
            <w:r>
              <w:rPr>
                <w:rFonts w:cs="Arial"/>
              </w:rPr>
              <w:t xml:space="preserve">. </w:t>
            </w:r>
          </w:p>
          <w:p>
            <w:pPr>
              <w:rPr>
                <w:rFonts w:cs="Arial"/>
              </w:rPr>
              <w:pStyle w:val="List Paragraph"/>
              <w:jc w:val="both"/>
              <w:ind w:left="360"/>
            </w:pPr>
          </w:p>
          <w:p>
            <w:pPr>
              <w:rPr>
                <w:rFonts w:cs="Arial"/>
              </w:rPr>
              <w:numPr>
                <w:ilvl w:val="0"/>
                <w:numId w:val="3"/>
              </w:numPr>
              <w:pStyle w:val="List Paragraph"/>
              <w:jc w:val="both"/>
              <w:ind w:left="360"/>
            </w:pPr>
            <w:r>
              <w:rPr>
                <w:rFonts w:cs="Arial"/>
              </w:rPr>
              <w:t xml:space="preserve">To support accurate billing of end consumers, gas Suppliers may need </w:t>
            </w:r>
            <w:r>
              <w:rPr>
                <w:rFonts w:cs="Arial"/>
              </w:rPr>
              <w:t>to be provided with, via their Shipper, the same information that the CDSP has used to calculate settlement charges</w:t>
            </w:r>
            <w:r>
              <w:rPr>
                <w:rFonts w:cs="Arial"/>
              </w:rPr>
              <w:t>.</w:t>
            </w:r>
            <w:r>
              <w:rPr>
                <w:rFonts w:cs="Arial"/>
              </w:rPr>
              <w:t xml:space="preserve"> </w:t>
            </w:r>
            <w:r>
              <w:rPr>
                <w:rFonts w:cs="Arial"/>
              </w:rPr>
              <w:t>This is to</w:t>
            </w:r>
            <w:r>
              <w:rPr>
                <w:rFonts w:cs="Arial"/>
              </w:rPr>
              <w:t xml:space="preserve"> enable them to accurately</w:t>
            </w:r>
            <w:r>
              <w:rPr>
                <w:rFonts w:cs="Arial"/>
              </w:rPr>
              <w:t xml:space="preserve"> calculate</w:t>
            </w:r>
            <w:r>
              <w:rPr>
                <w:rFonts w:cs="Arial"/>
              </w:rPr>
              <w:t xml:space="preserve"> </w:t>
            </w:r>
            <w:r>
              <w:rPr>
                <w:rFonts w:cs="Arial"/>
              </w:rPr>
              <w:t xml:space="preserve">the end consumers energy usage and associated charges. </w:t>
            </w:r>
          </w:p>
          <w:p>
            <w:pPr>
              <w:rPr>
                <w:rFonts w:cs="Arial"/>
              </w:rPr>
              <w:jc w:val="both"/>
            </w:pPr>
          </w:p>
          <w:p>
            <w:pPr>
              <w:rPr>
                <w:rFonts w:cs="Arial"/>
              </w:rPr>
              <w:jc w:val="both"/>
            </w:pPr>
          </w:p>
          <w:p>
            <w:pPr>
              <w:rPr>
                <w:b w:val="1"/>
                <w:bCs w:val="1"/>
                <w:rFonts w:cs="Arial"/>
                <w:u w:val="single"/>
              </w:rPr>
              <w:jc w:val="both"/>
            </w:pPr>
            <w:r>
              <w:rPr>
                <w:b w:val="1"/>
                <w:bCs w:val="1"/>
                <w:rFonts w:cs="Arial"/>
                <w:u w:val="single"/>
              </w:rPr>
              <w:t>High Level Solution Option</w:t>
            </w:r>
          </w:p>
          <w:p>
            <w:pPr>
              <w:rPr>
                <w:rFonts w:cs="Arial"/>
              </w:rPr>
              <w:jc w:val="both"/>
            </w:pPr>
          </w:p>
          <w:p>
            <w:pPr>
              <w:rPr>
                <w:rFonts w:cs="Arial"/>
              </w:rPr>
              <w:pStyle w:val="List Paragraph"/>
              <w:jc w:val="both"/>
              <w:ind w:left="0"/>
            </w:pPr>
            <w:r>
              <w:rPr>
                <w:rFonts w:cs="Arial"/>
              </w:rPr>
              <w:t>For reference please see a</w:t>
            </w:r>
            <w:r>
              <w:rPr>
                <w:rFonts w:cs="Arial"/>
              </w:rPr>
              <w:t xml:space="preserve">ttached </w:t>
            </w:r>
            <w:hyperlink r:id="Raa11d55d5b1346e2">
              <w:r>
                <w:rPr>
                  <w:rStyle w:val="Hyperlink"/>
                  <w:b w:val="1"/>
                  <w:bCs w:val="1"/>
                  <w:rFonts w:cs="Arial"/>
                </w:rPr>
                <w:t>HLSO</w:t>
              </w:r>
            </w:hyperlink>
            <w:r>
              <w:rPr>
                <w:rFonts w:cs="Arial"/>
              </w:rPr>
              <w:t xml:space="preserve"> </w:t>
            </w:r>
            <w:r>
              <w:rPr>
                <w:rFonts w:cs="Arial"/>
              </w:rPr>
              <w:t>for XRN</w:t>
            </w:r>
            <w:r>
              <w:rPr>
                <w:rFonts w:cs="Arial"/>
              </w:rPr>
              <w:t>5298</w:t>
            </w:r>
          </w:p>
          <w:p>
            <w:pPr>
              <w:rPr>
                <w:rFonts w:cs="Arial"/>
                <w:sz w:val="10"/>
                <w:szCs w:val="10"/>
              </w:rPr>
              <w:pStyle w:val="List Paragraph"/>
              <w:jc w:val="both"/>
              <w:ind w:left="0"/>
            </w:pPr>
          </w:p>
        </w:tc>
      </w:tr>
      <w:tr>
        <w:trPr>
          <w:trHeight w:hRule="atLeast" w:val="616"/>
        </w:trPr>
        <w:tc>
          <w:tcPr>
            <w:shd w:val="clear" w:fill="B3EDFB"/>
            <w:tcW w:type="pct" w:w="1223"/>
            <w:vAlign w:val="center"/>
          </w:tcPr>
          <w:p>
            <w:pPr>
              <w:rPr>
                <w:rFonts w:cs="Arial"/>
              </w:rPr>
              <w:jc w:val="right"/>
            </w:pPr>
            <w:r>
              <w:rPr>
                <w:rFonts w:cs="Arial"/>
              </w:rPr>
              <w:t>Implementation Date for this Solution Option:</w:t>
            </w:r>
          </w:p>
        </w:tc>
        <w:tc>
          <w:tcPr>
            <w:tcW w:type="pct" w:w="3777"/>
            <w:vAlign w:val="center"/>
          </w:tcPr>
          <w:p>
            <w:pPr>
              <w:rPr>
                <w:rFonts w:cs="Arial"/>
              </w:rPr>
              <w:jc w:val="both"/>
            </w:pPr>
            <w:r>
              <w:rPr>
                <w:rFonts w:cs="Arial"/>
              </w:rPr>
              <w:t xml:space="preserve">Proposed </w:t>
            </w:r>
            <w:r>
              <w:rPr>
                <w:rFonts w:cs="Arial"/>
              </w:rPr>
              <w:t>Implementation Date</w:t>
            </w:r>
            <w:r>
              <w:rPr>
                <w:rFonts w:cs="Arial"/>
              </w:rPr>
              <w:t xml:space="preserve"> of</w:t>
            </w:r>
            <w:r>
              <w:rPr>
                <w:rFonts w:cs="Arial"/>
              </w:rPr>
              <w:t xml:space="preserve"> November 2022</w:t>
            </w:r>
            <w:r>
              <w:rPr>
                <w:rFonts w:cs="Arial"/>
              </w:rPr>
              <w:t xml:space="preserve"> (UK Link Major Release)</w:t>
            </w:r>
          </w:p>
        </w:tc>
      </w:tr>
      <w:tr>
        <w:trPr>
          <w:trHeight w:hRule="atLeast" w:val="403"/>
        </w:trPr>
        <w:tc>
          <w:tcPr>
            <w:shd w:val="clear" w:fill="B3EDFB"/>
            <w:tcW w:type="pct" w:w="1223"/>
            <w:vAlign w:val="center"/>
          </w:tcPr>
          <w:p>
            <w:pPr>
              <w:rPr>
                <w:rFonts w:cs="Arial"/>
              </w:rPr>
              <w:jc w:val="right"/>
            </w:pPr>
            <w:r>
              <w:rPr>
                <w:rFonts w:cs="Arial"/>
              </w:rPr>
              <w:t>Xoserve preferred option:</w:t>
            </w:r>
          </w:p>
          <w:p>
            <w:pPr>
              <w:rPr>
                <w:rFonts w:cs="Arial"/>
              </w:rPr>
              <w:jc w:val="right"/>
            </w:pPr>
            <w:r>
              <w:rPr>
                <w:rFonts w:cs="Arial"/>
              </w:rPr>
              <w:t>(including rationale)</w:t>
            </w:r>
          </w:p>
        </w:tc>
        <w:tc>
          <w:tcPr>
            <w:tcW w:type="pct" w:w="3777"/>
            <w:vAlign w:val="center"/>
          </w:tcPr>
          <w:p>
            <w:pPr>
              <w:rPr>
                <w:b w:val="1"/>
                <w:bCs w:val="1"/>
                <w:rFonts w:cs="Arial"/>
              </w:rPr>
              <w:jc w:val="both"/>
            </w:pPr>
            <w:r>
              <w:rPr>
                <w:b w:val="1"/>
                <w:bCs w:val="1"/>
                <w:rFonts w:cs="Arial"/>
              </w:rPr>
              <w:t xml:space="preserve">Option </w:t>
            </w:r>
            <w:r>
              <w:rPr>
                <w:b w:val="1"/>
                <w:bCs w:val="1"/>
                <w:rFonts w:cs="Arial"/>
              </w:rPr>
              <w:t>2</w:t>
            </w:r>
            <w:r>
              <w:rPr>
                <w:b w:val="1"/>
                <w:bCs w:val="1"/>
                <w:rFonts w:cs="Arial"/>
              </w:rPr>
              <w:t>:</w:t>
            </w:r>
            <w:r>
              <w:rPr>
                <w:b w:val="1"/>
                <w:bCs w:val="1"/>
                <w:rFonts w:cs="Arial"/>
              </w:rPr>
              <w:t xml:space="preserve"> </w:t>
            </w:r>
            <w:r>
              <w:rPr>
                <w:b w:val="1"/>
                <w:bCs w:val="1"/>
                <w:rFonts w:cs="Arial"/>
              </w:rPr>
              <w:t>Amend the Multiplication Factor</w:t>
            </w:r>
            <w:r>
              <w:rPr>
                <w:b w:val="1"/>
                <w:bCs w:val="1"/>
                <w:rFonts w:cs="Arial"/>
              </w:rPr>
              <w:t xml:space="preserve"> (MF)</w:t>
            </w:r>
            <w:r>
              <w:rPr>
                <w:b w:val="1"/>
                <w:bCs w:val="1"/>
                <w:rFonts w:cs="Arial"/>
              </w:rPr>
              <w:t xml:space="preserve"> within the volume to energy calculation</w:t>
            </w:r>
          </w:p>
          <w:p>
            <w:pPr>
              <w:rPr>
                <w:rFonts w:cs="Arial"/>
              </w:rPr>
              <w:jc w:val="both"/>
            </w:pPr>
            <w:r>
              <w:rPr>
                <w:rFonts w:cs="Arial"/>
              </w:rPr>
              <w:t xml:space="preserve">As this option </w:t>
            </w:r>
            <w:r>
              <w:rPr>
                <w:rFonts w:cs="Arial"/>
              </w:rPr>
              <w:t>utilises</w:t>
            </w:r>
            <w:r>
              <w:rPr>
                <w:rFonts w:cs="Arial"/>
              </w:rPr>
              <w:t xml:space="preserve"> existing MDD data that every Shipper and Supplier will use there is a significant reduction of risk that the end consumer will be billed incorrectly</w:t>
            </w:r>
            <w:r>
              <w:rPr>
                <w:rFonts w:cs="Arial"/>
              </w:rPr>
              <w:t>. This option is less complex than option 1</w:t>
            </w:r>
            <w:r>
              <w:rPr>
                <w:rFonts w:cs="Arial"/>
              </w:rPr>
              <w:t>,</w:t>
            </w:r>
            <w:r>
              <w:rPr>
                <w:rFonts w:cs="Arial"/>
              </w:rPr>
              <w:t xml:space="preserve"> with l</w:t>
            </w:r>
            <w:r>
              <w:rPr>
                <w:rFonts w:cs="Arial"/>
              </w:rPr>
              <w:t>esser</w:t>
            </w:r>
            <w:r>
              <w:rPr>
                <w:rFonts w:cs="Arial"/>
              </w:rPr>
              <w:t xml:space="preserve"> impact on CDSP systems. </w:t>
            </w:r>
          </w:p>
        </w:tc>
      </w:tr>
      <w:tr>
        <w:trPr>
          <w:trHeight w:hRule="atLeast" w:val="403"/>
        </w:trPr>
        <w:tc>
          <w:tcPr>
            <w:shd w:val="clear" w:fill="B3EDFB"/>
            <w:tcW w:type="pct" w:w="1223"/>
            <w:vAlign w:val="center"/>
          </w:tcPr>
          <w:p>
            <w:pPr>
              <w:rPr>
                <w:rFonts w:cs="Arial"/>
              </w:rPr>
              <w:jc w:val="right"/>
            </w:pPr>
            <w:r>
              <w:rPr>
                <w:rFonts w:cs="Arial"/>
              </w:rPr>
              <w:t>DSG preferred solution option:</w:t>
            </w:r>
          </w:p>
          <w:p>
            <w:pPr>
              <w:rPr>
                <w:rFonts w:cs="Arial"/>
              </w:rPr>
              <w:jc w:val="right"/>
            </w:pPr>
            <w:r>
              <w:rPr>
                <w:rFonts w:cs="Arial"/>
              </w:rPr>
              <w:t>(including rationale)</w:t>
            </w:r>
          </w:p>
        </w:tc>
        <w:tc>
          <w:tcPr>
            <w:tcW w:type="pct" w:w="3777"/>
            <w:vAlign w:val="center"/>
          </w:tcPr>
          <w:p>
            <w:pPr>
              <w:rPr>
                <w:rFonts w:cs="Arial"/>
              </w:rPr>
              <w:jc w:val="both"/>
            </w:pPr>
            <w:r>
              <w:rPr>
                <w:rFonts w:cs="Arial"/>
              </w:rPr>
              <w:t>Being presented at DSG on 2</w:t>
            </w:r>
            <w:r>
              <w:rPr>
                <w:rFonts w:cs="Arial"/>
              </w:rPr>
              <w:t>5</w:t>
            </w:r>
            <w:r>
              <w:rPr>
                <w:rFonts w:cs="Arial"/>
                <w:vertAlign w:val="superscript"/>
              </w:rPr>
              <w:t>th</w:t>
            </w:r>
            <w:r>
              <w:rPr>
                <w:rFonts w:cs="Arial"/>
              </w:rPr>
              <w:t xml:space="preserve"> October</w:t>
            </w:r>
            <w:r>
              <w:rPr>
                <w:rFonts w:cs="Arial"/>
              </w:rPr>
              <w:t xml:space="preserve"> </w:t>
            </w:r>
            <w:r>
              <w:rPr>
                <w:rFonts w:cs="Arial"/>
              </w:rPr>
              <w:t>20</w:t>
            </w:r>
            <w:r>
              <w:rPr>
                <w:rFonts w:cs="Arial"/>
              </w:rPr>
              <w:t>2</w:t>
            </w:r>
            <w:r>
              <w:rPr>
                <w:rFonts w:cs="Arial"/>
              </w:rPr>
              <w:t>1</w:t>
            </w:r>
          </w:p>
        </w:tc>
      </w:tr>
      <w:tr>
        <w:trPr>
          <w:trHeight w:hRule="atLeast" w:val="403"/>
        </w:trPr>
        <w:tc>
          <w:tcPr>
            <w:shd w:val="clear" w:fill="B3EDFB"/>
            <w:tcW w:type="pct" w:w="1223"/>
            <w:vAlign w:val="center"/>
          </w:tcPr>
          <w:p>
            <w:pPr>
              <w:rPr>
                <w:rFonts w:cs="Arial"/>
              </w:rPr>
              <w:jc w:val="right"/>
            </w:pPr>
            <w:r>
              <w:rPr>
                <w:rFonts w:cs="Arial"/>
              </w:rPr>
              <w:t>Consultation closeout:</w:t>
            </w:r>
          </w:p>
        </w:tc>
        <w:tc>
          <w:tcPr>
            <w:tcW w:type="pct" w:w="3777"/>
            <w:vAlign w:val="center"/>
          </w:tcPr>
          <w:p>
            <w:pPr>
              <w:rPr>
                <w:rFonts w:cs="Arial"/>
              </w:rPr>
              <w:jc w:val="both"/>
            </w:pPr>
            <w:r>
              <w:rPr>
                <w:rFonts w:cs="Arial"/>
              </w:rPr>
              <w:t>0</w:t>
            </w:r>
            <w:r>
              <w:rPr>
                <w:rFonts w:cs="Arial"/>
              </w:rPr>
              <w:t>8</w:t>
            </w:r>
            <w:r>
              <w:rPr>
                <w:rFonts w:cs="Arial"/>
              </w:rPr>
              <w:t>/11/2021</w:t>
            </w:r>
          </w:p>
        </w:tc>
      </w:tr>
    </w:tbl>
    <w:p>
      <w:pPr/>
    </w:p>
    <w:p>
      <w:pPr>
        <w:pStyle w:val="Title"/>
      </w:pPr>
      <w:bookmarkStart w:id="0" w:name="_GoBack"/>
      <w:bookmarkEnd w:id="0"/>
      <w:r>
        <w:br w:type="page"/>
      </w:r>
      <w:r>
        <w:t>Section E: Industry Response Solution Options Review</w:t>
      </w:r>
    </w:p>
    <w:p>
      <w:pPr>
        <w:rPr>
          <w:color w:val="auto"/>
          <w:i w:val="1"/>
          <w:iCs w:val="1"/>
          <w:sz w:val="22"/>
          <w:szCs w:val="22"/>
        </w:rPr>
        <w:pStyle w:val="heading 1"/>
      </w:pPr>
      <w:r>
        <w:rPr>
          <w:color w:val="auto"/>
          <w:i w:val="1"/>
          <w:iCs w:val="1"/>
          <w:sz w:val="22"/>
          <w:szCs w:val="22"/>
        </w:rPr>
        <w:t>Please consider any commercial impacts to your organisation that Xoserve need to be aware of when formulating your response</w:t>
      </w: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14"/>
        <w:gridCol w:w="1659"/>
        <w:gridCol w:w="517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Octopus Energy</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Dion Tickner</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dion.tickner@octoenergy.com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07927978345</w:t>
            </w:r>
          </w:p>
        </w:tc>
      </w:tr>
      <w:tr>
        <w:trPr>
          <w:trHeight w:hRule="atLeast" w:val="1137"/>
        </w:trPr>
        <w:tc>
          <w:tcPr>
            <w:shd w:val="clear" w:fill="B3EDFB"/>
            <w:tcW w:type="pct" w:w="1223"/>
            <w:vAlign w:val="center"/>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gridSpan w:val="2"/>
          </w:tcPr>
          <w:p>
            <w:pPr>
              <w:rPr>
                <w:rFonts w:cs="Arial"/>
              </w:rPr>
            </w:pPr>
            <w:r>
              <w:rPr>
                <w:rFonts w:cs="Arial"/>
              </w:rPr>
              <w:t>The options put forward are not entirely clear. Our understanding is that you are asking suppliers to implement extensive and costly changes to billing platforms in both these scenarios? As per the pledge that participants 'will not be (negatively) financially impacted, since participation is on a cost neutral basis', the onus ought to be removed from suppliers to calculate the difference in charges and this responsibility should rest with SGN as the administrators of the scheme - the cost must be built into the trial costs not the supplier costs as this will significantly and negatively impact all consumers.</w:t>
            </w:r>
            <w:r>
              <w:rPr>
                <w:rFonts w:cs="Arial"/>
              </w:rPr>
              <w:br w:type="textWrapping"/>
            </w:r>
            <w:r>
              <w:rPr>
                <w:rFonts w:cs="Arial"/>
              </w:rPr>
              <w:br w:type="textWrapping"/>
            </w:r>
            <w:r>
              <w:rPr>
                <w:rFonts w:cs="Arial"/>
              </w:rPr>
              <w:t xml:space="preserve">Contrary to the listed constraint, our view is that the most feasible option would be to apply an Annual Quantity (AQ) backstop to prevent the AQ from becoming impacted by the increased volume. Compensation payments would be processed and issued to the Shipper who must pass these onto the Supplier and ultimately the end consumer, as is already done in other hydrogen trials. Though temporarily at a financial disadvantage, participants would, on aggregate, be no worse off than the alternative options outlined in this document might leave them. </w:t>
            </w:r>
            <w:r>
              <w:rPr>
                <w:rFonts w:cs="Arial"/>
              </w:rPr>
              <w:br w:type="textWrapping"/>
            </w:r>
            <w:r>
              <w:rPr>
                <w:rFonts w:cs="Arial"/>
              </w:rPr>
              <w:br w:type="textWrapping"/>
            </w:r>
            <w:r>
              <w:rPr>
                <w:rFonts w:cs="Arial"/>
              </w:rPr>
              <w:t xml:space="preserve">Though also discounted, the proposal for a value that will be determined and used to effectively convert the hydrogen volume into natural gas volume rather than using the standard Conversion (correction) Factor would mitigate the need for a supplier to alter their billing process and pass costs to the end consumer in doing so.  The installation of gas meters using emerging technology such as thermal-mass flow (for example in Secure branded SMETS2 gas meters) could offer a solution depending on how long it would take to update the relevant regulations.   </w:t>
            </w:r>
            <w:r>
              <w:rPr>
                <w:rFonts w:cs="Arial"/>
              </w:rPr>
              <w:br w:type="textWrapping"/>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Reject</w:t>
            </w:r>
          </w:p>
        </w:tc>
      </w:tr>
      <w:tr>
        <w:trPr>
          <w:trHeight w:hRule="atLeast" w:val="403"/>
        </w:trPr>
        <w:tc>
          <w:tcPr>
            <w:shd w:val="clear" w:fill="B3EDFB"/>
            <w:tcW w:type="pct" w:w="1223"/>
            <w:vAlign w:val="center"/>
          </w:tcPr>
          <w:p>
            <w:pPr>
              <w:rPr>
                <w:rFonts w:cs="Arial"/>
              </w:rPr>
              <w:jc w:val="right"/>
            </w:pPr>
            <w:r>
              <w:rPr>
                <w:rFonts w:cs="Arial"/>
              </w:rPr>
              <w:t>Xoserve preferred solution option</w:t>
            </w:r>
            <w:r>
              <w:rPr>
                <w:rFonts w:cs="Arial"/>
              </w:rPr>
              <w:t>:</w:t>
            </w:r>
          </w:p>
        </w:tc>
        <w:tc>
          <w:tcPr>
            <w:tcW w:type="pct" w:w="3777"/>
            <w:vAlign w:val="center"/>
            <w:gridSpan w:val="2"/>
          </w:tcPr>
          <w:p>
            <w:pPr>
              <w:rPr>
                <w:rFonts w:cs="Arial"/>
              </w:rPr>
            </w:pPr>
            <w:r>
              <w:rPr>
                <w:rFonts w:cs="Arial"/>
              </w:rPr>
              <w:t>Reject</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Reject</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 xml:space="preserve">Xoserve’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 representation comments.</w:t>
            </w:r>
            <w:r>
              <w:rPr>
                <w:rFonts w:cs="Arial"/>
              </w:rPr>
              <w:br w:type="textWrapping"/>
            </w:r>
            <w:r>
              <w:rPr>
                <w:rFonts w:cs="Arial"/>
              </w:rPr>
              <w:br w:type="textWrapping"/>
            </w:r>
            <w:r>
              <w:rPr>
                <w:rFonts w:cs="Arial"/>
              </w:rPr>
              <w:t xml:space="preserve">We appreciate that a number of aspects of the proposed solutions have only been outlined at a high level at this stage, and that during detailed design we will need to work closely with impacted parties (notably Suppliers and Shippers) to ensure the solution being delivered to support this 100% Hydrogen Innovation Project is fully understood and can operate as desired with minimum impacts to all of the parties involved.   </w:t>
            </w:r>
            <w:r>
              <w:rPr>
                <w:rFonts w:cs="Arial"/>
              </w:rPr>
              <w:br w:type="textWrapping"/>
            </w:r>
            <w:r>
              <w:rPr>
                <w:rFonts w:cs="Arial"/>
              </w:rPr>
              <w:br w:type="textWrapping"/>
            </w:r>
            <w:r>
              <w:rPr>
                <w:rFonts w:cs="Arial"/>
              </w:rPr>
              <w:t>Whilst we are actively supporting Settlement activities on an existing, blended Hydrogen Network Innovation Pilot in the form of HyDeploy 2, this is utilising a 20% injection of Hydrogen alongside natural gas within existing gas networks operated by Northern Gas Networks. When developing H100 Fife solution option, it was quickly ascertained that the materiality of the charge difference to consumers would be approximately 5 times greater. In order to protect end consumers it was confirmed that applying an AQ Backstop and issuing Compensation Payments would not be appropriate. We have therefore sought options that minimise impacts to our Shipper and Supplier customers, noting that the Consumption Adjustment will be performed automatically on receipt of a valid meter read, with the relevant charges and supporting information being provided to Shippers. In addition, the intention of utilising Multiplication Factor is that this is applied in the charge calculation and would allow charges to be calculated accurately without the need to apply any adjustments or continuously compensate consumers.</w:t>
            </w:r>
          </w:p>
        </w:tc>
      </w:tr>
    </w:tbl>
    <w:p>
      <w:pPr/>
    </w:p>
    <w:p>
      <w:pPr>
        <w:rPr>
          <w:color w:val="auto"/>
          <w:i w:val="1"/>
          <w:iCs w:val="1"/>
          <w:sz w:val="22"/>
          <w:szCs w:val="22"/>
        </w:rPr>
        <w:pStyle w:val="heading 1"/>
      </w:pPr>
      <w:r>
        <w:rPr>
          <w:color w:val="auto"/>
          <w:i w:val="1"/>
          <w:iCs w:val="1"/>
          <w:sz w:val="22"/>
          <w:szCs w:val="22"/>
        </w:rPr>
        <w:t>Please consider any commercial impacts to your organisation that Xoserve need to be aware of when formulating your response</w:t>
      </w: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14"/>
        <w:gridCol w:w="1659"/>
        <w:gridCol w:w="517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SGN</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Sally Hardman</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sally.hardman@sgn.co.uk</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07970 019027</w:t>
            </w:r>
          </w:p>
        </w:tc>
      </w:tr>
      <w:tr>
        <w:trPr>
          <w:trHeight w:hRule="atLeast" w:val="1137"/>
        </w:trPr>
        <w:tc>
          <w:tcPr>
            <w:shd w:val="clear" w:fill="B3EDFB"/>
            <w:tcW w:type="pct" w:w="1223"/>
            <w:vAlign w:val="center"/>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gridSpan w:val="2"/>
          </w:tcPr>
          <w:p>
            <w:pPr>
              <w:rPr>
                <w:rFonts w:cs="Arial"/>
              </w:rPr>
            </w:pPr>
            <w:r>
              <w:rPr>
                <w:rFonts w:cs="Arial"/>
              </w:rPr>
              <w:t>SGN’s preferred solution:</w:t>
            </w:r>
            <w:r>
              <w:rPr>
                <w:rFonts w:cs="Arial"/>
              </w:rPr>
              <w:br w:type="textWrapping"/>
            </w:r>
            <w:r>
              <w:rPr>
                <w:rFonts w:cs="Arial"/>
              </w:rPr>
              <w:t>Option 2 - Amend the Multiplication Factor (MF) within the volume to energy calculation</w:t>
            </w:r>
            <w:r>
              <w:rPr>
                <w:rFonts w:cs="Arial"/>
              </w:rPr>
              <w:br w:type="textWrapping"/>
            </w:r>
            <w:r>
              <w:rPr>
                <w:rFonts w:cs="Arial"/>
              </w:rPr>
              <w:br w:type="textWrapping"/>
            </w:r>
            <w:r>
              <w:rPr>
                <w:rFonts w:cs="Arial"/>
              </w:rPr>
              <w:t xml:space="preserve">SGN understand from discussions with Xoserve that this option will be able to deliver the required changes to support accurate customer billing for the H100 Fife project (Phase 1 Hydrogen Neighbourhood) delivery within the required timeline. By utilising existing data flows within the MDD process it is believed this will minimise the impact to wider industry and will deliver the project requirements. </w:t>
            </w:r>
            <w:r>
              <w:rPr>
                <w:rFonts w:cs="Arial"/>
              </w:rPr>
              <w:br w:type="textWrapping"/>
            </w:r>
            <w:r>
              <w:rPr>
                <w:rFonts w:cs="Arial"/>
              </w:rPr>
              <w:br w:type="textWrapping"/>
            </w:r>
            <w:r>
              <w:rPr>
                <w:rFonts w:cs="Arial"/>
              </w:rPr>
              <w:t xml:space="preserve">We are mindful that should there be evidence to the contrary this option may require additional considerations. </w:t>
            </w:r>
            <w:r>
              <w:rPr>
                <w:rFonts w:cs="Arial"/>
              </w:rPr>
              <w:br w:type="textWrapping"/>
            </w:r>
            <w:r>
              <w:rPr>
                <w:rFonts w:cs="Arial"/>
              </w:rPr>
              <w:br w:type="textWrapping"/>
            </w:r>
            <w:r>
              <w:rPr>
                <w:rFonts w:cs="Arial"/>
              </w:rPr>
              <w:t>If this solution could be scaled up it could further facilitate Decarbonisation projects including that of the Hydrogen Village, which SGN is putting forward a proposal for as Phase 2 of H100 Fife.</w:t>
            </w:r>
            <w:r>
              <w:rPr>
                <w:rFonts w:cs="Arial"/>
              </w:rPr>
              <w:br w:type="textWrapping"/>
            </w:r>
            <w:r>
              <w:rPr>
                <w:rFonts w:cs="Arial"/>
              </w:rPr>
              <w:br w:type="textWrapping"/>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Xoserve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Defer</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 xml:space="preserve">Xoserve’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 xml:space="preserve">Thank you for you representation comments. </w:t>
            </w:r>
            <w:r>
              <w:rPr>
                <w:rFonts w:cs="Arial"/>
              </w:rPr>
              <w:br w:type="textWrapping"/>
            </w:r>
            <w:r>
              <w:rPr>
                <w:rFonts w:cs="Arial"/>
              </w:rPr>
              <w:br w:type="textWrapping"/>
            </w:r>
            <w:r>
              <w:rPr>
                <w:rFonts w:cs="Arial"/>
              </w:rPr>
              <w:t>We look forward to continuing to work closely with SGN on H100 Fife Project over the coming months.</w:t>
            </w:r>
          </w:p>
        </w:tc>
      </w:tr>
    </w:tbl>
    <w:p>
      <w:pPr/>
    </w:p>
    <w:p>
      <w:pPr>
        <w:rPr>
          <w:color w:val="auto"/>
          <w:i w:val="1"/>
          <w:iCs w:val="1"/>
          <w:sz w:val="22"/>
          <w:szCs w:val="22"/>
        </w:rPr>
        <w:pStyle w:val="heading 1"/>
      </w:pPr>
      <w:r>
        <w:rPr>
          <w:color w:val="auto"/>
          <w:i w:val="1"/>
          <w:iCs w:val="1"/>
          <w:sz w:val="22"/>
          <w:szCs w:val="22"/>
        </w:rPr>
        <w:t>Please consider any commercial impacts to your organisation that Xoserve need to be aware of when formulating your response</w:t>
      </w: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14"/>
        <w:gridCol w:w="1659"/>
        <w:gridCol w:w="517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REC Code Manager</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Jon Hawkins</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jon.hawkins@recmanager.co.uk</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07584099273</w:t>
            </w:r>
          </w:p>
        </w:tc>
      </w:tr>
      <w:tr>
        <w:trPr>
          <w:trHeight w:hRule="atLeast" w:val="1137"/>
        </w:trPr>
        <w:tc>
          <w:tcPr>
            <w:shd w:val="clear" w:fill="B3EDFB"/>
            <w:tcW w:type="pct" w:w="1223"/>
            <w:vAlign w:val="center"/>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gridSpan w:val="2"/>
          </w:tcPr>
          <w:p>
            <w:pPr>
              <w:rPr>
                <w:rFonts w:cs="Arial"/>
              </w:rPr>
            </w:pPr>
            <w:r>
              <w:rPr>
                <w:rFonts w:cs="Arial"/>
              </w:rPr>
              <w:t xml:space="preserve">We would support Option 1, applying a consumption adjustment where a reconciliation period is generated or updated, over the proposed use of the Multiplication Factor in the Meter Product Tables set out in Option 2. </w:t>
            </w:r>
            <w:r>
              <w:rPr>
                <w:rFonts w:cs="Arial"/>
              </w:rPr>
              <w:br w:type="textWrapping"/>
            </w:r>
            <w:r>
              <w:rPr>
                <w:rFonts w:cs="Arial"/>
              </w:rPr>
              <w:br w:type="textWrapping"/>
            </w:r>
            <w:r>
              <w:rPr>
                <w:rFonts w:cs="Arial"/>
              </w:rPr>
              <w:t xml:space="preserve">We are concerned that the use of the Multiplication Factor in the Meter Product Table ties the Caloric Value to the Meter Asset, and presumes that a site will always use either 100% hydrogen, or 100% natural gas, and that the Meter Asset will need to be replaced every time this changes. While it is expected that a new, hydrogen ready, meter will need to be installed for any 100% hydrogen site today, it is not known if the meter will need to be changed back if they exit the trial, or if this is suitable for future trials blending the use of hydrogen and natural gas. </w:t>
            </w:r>
            <w:r>
              <w:rPr>
                <w:rFonts w:cs="Arial"/>
              </w:rPr>
              <w:br w:type="textWrapping"/>
            </w:r>
            <w:r>
              <w:rPr>
                <w:rFonts w:cs="Arial"/>
              </w:rPr>
              <w:br w:type="textWrapping"/>
            </w:r>
            <w:r>
              <w:rPr>
                <w:rFonts w:cs="Arial"/>
              </w:rPr>
              <w:t>We do not believe that correcting this adjustment at the Meter Asset level is a good principle for this reason, as in the future the calculation of the Calorific Value will need to be more dynamic than a fixed value associated with the Meter Asset will allow. It makes more sense for this to be managed at the Supply Point level instead for this reason.</w:t>
            </w:r>
            <w:r>
              <w:rPr>
                <w:rFonts w:cs="Arial"/>
              </w:rPr>
              <w:br w:type="textWrapping"/>
            </w:r>
            <w:r>
              <w:rPr>
                <w:rFonts w:cs="Arial"/>
              </w:rPr>
              <w:br w:type="textWrapping"/>
            </w:r>
            <w:r>
              <w:rPr>
                <w:rFonts w:cs="Arial"/>
              </w:rPr>
              <w:t>Therefore, of the two options presented, we believe that the use of a consumption adjustment presents the best balance between implementing a quick solution that can be implemented in time for us in the H100 trials, that can also be scaled and adjusted for future Hydrogen trials and developments.</w:t>
            </w:r>
            <w:r>
              <w:rPr>
                <w:rFonts w:cs="Arial"/>
              </w:rPr>
              <w:br w:type="textWrapping"/>
            </w:r>
            <w:r>
              <w:rPr>
                <w:rFonts w:cs="Arial"/>
              </w:rPr>
              <w:br w:type="textWrapping"/>
            </w:r>
            <w:r>
              <w:rPr>
                <w:rFonts w:cs="Arial"/>
              </w:rPr>
              <w:t xml:space="preserve">Note: we haven't seen the DSG's preferred solution in the change pack, so have ticked 'Defer' only as we aren't aware of their recommendation to support or oppose this. </w:t>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Xoserve preferred solution option</w:t>
            </w:r>
            <w:r>
              <w:rPr>
                <w:rFonts w:cs="Arial"/>
              </w:rPr>
              <w:t>:</w:t>
            </w:r>
          </w:p>
        </w:tc>
        <w:tc>
          <w:tcPr>
            <w:tcW w:type="pct" w:w="3777"/>
            <w:vAlign w:val="center"/>
            <w:gridSpan w:val="2"/>
          </w:tcPr>
          <w:p>
            <w:pPr>
              <w:rPr>
                <w:rFonts w:cs="Arial"/>
              </w:rPr>
            </w:pPr>
            <w:r>
              <w:rPr>
                <w:rFonts w:cs="Arial"/>
              </w:rPr>
              <w:t>Reject</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Defer</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 xml:space="preserve">Xoserve’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 representation comments.</w:t>
            </w:r>
            <w:r>
              <w:rPr>
                <w:rFonts w:cs="Arial"/>
              </w:rPr>
              <w:br w:type="textWrapping"/>
            </w:r>
            <w:r>
              <w:rPr>
                <w:rFonts w:cs="Arial"/>
              </w:rPr>
              <w:br w:type="textWrapping"/>
            </w:r>
            <w:r>
              <w:rPr>
                <w:rFonts w:cs="Arial"/>
              </w:rPr>
              <w:t xml:space="preserve">The working assumption for Option 2 (Multiplication Factor) is that a 100% Hydrogen Meter will be installed to the properties associated with the H100 Fife Project. In addition, the Hydrogen being supplied to the property is serviced by a separate infrastructure, with the natural gas infrastructure remaining in place should a customer choose to revert back to a traditional gas supply during the Project. </w:t>
            </w:r>
            <w:r>
              <w:rPr>
                <w:rFonts w:cs="Arial"/>
              </w:rPr>
              <w:br w:type="textWrapping"/>
            </w:r>
            <w:r>
              <w:rPr>
                <w:rFonts w:cs="Arial"/>
              </w:rPr>
              <w:br w:type="textWrapping"/>
            </w:r>
            <w:r>
              <w:rPr>
                <w:rFonts w:cs="Arial"/>
              </w:rPr>
              <w:t xml:space="preserve">The rationale for taking into account the variance of Calorific Value at Meter level is to ensure Suppliers continue to be able to bill end consumers quickly and accurately without the need to wait for any adjustments to be performed within Settlement processes. </w:t>
            </w:r>
            <w:r>
              <w:rPr>
                <w:rFonts w:cs="Arial"/>
              </w:rPr>
              <w:br w:type="textWrapping"/>
            </w:r>
            <w:r>
              <w:rPr>
                <w:rFonts w:cs="Arial"/>
              </w:rPr>
              <w:br w:type="textWrapping"/>
            </w:r>
            <w:r>
              <w:rPr>
                <w:rFonts w:cs="Arial"/>
              </w:rPr>
              <w:t>We will continue to monitor our working assumptions and engage with customers including industry Code Managers throughout the detailed design phase of our project, and have confirmed with DSC Customers that we will look to revert to the alternative option (Option 1) should it later be identified that the  assumptions we have relating to Multiplication Factor are invalid.</w:t>
            </w:r>
          </w:p>
        </w:tc>
      </w:tr>
    </w:tbl>
    <w:p>
      <w:pPr/>
    </w:p>
    <w:p>
      <w:pPr>
        <w:rPr>
          <w:color w:val="auto"/>
          <w:i w:val="1"/>
          <w:iCs w:val="1"/>
          <w:sz w:val="22"/>
          <w:szCs w:val="22"/>
        </w:rPr>
        <w:pStyle w:val="heading 1"/>
      </w:pPr>
      <w:r>
        <w:rPr>
          <w:color w:val="auto"/>
          <w:i w:val="1"/>
          <w:iCs w:val="1"/>
          <w:sz w:val="22"/>
          <w:szCs w:val="22"/>
        </w:rPr>
        <w:t>Please consider any commercial impacts to your organisation that Xoserve need to be aware of when formulating your response</w:t>
      </w: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14"/>
        <w:gridCol w:w="1659"/>
        <w:gridCol w:w="517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EON</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Clare Manning</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clare.manning@eonnext.com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w:t>
            </w:r>
          </w:p>
        </w:tc>
      </w:tr>
      <w:tr>
        <w:trPr>
          <w:trHeight w:hRule="atLeast" w:val="1137"/>
        </w:trPr>
        <w:tc>
          <w:tcPr>
            <w:shd w:val="clear" w:fill="B3EDFB"/>
            <w:tcW w:type="pct" w:w="1223"/>
            <w:vAlign w:val="center"/>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gridSpan w:val="2"/>
          </w:tcPr>
          <w:p>
            <w:pPr>
              <w:rPr>
                <w:rFonts w:cs="Arial"/>
              </w:rPr>
            </w:pPr>
            <w:r>
              <w:rPr>
                <w:rFonts w:cs="Arial"/>
              </w:rPr>
              <w:t>Based on  the information provided, our preference would probably be option two but it is unclear how either option will work in practice.  Option two does appear less complex, but we are unclear if under option two the hydrogen specific CV would still need to be applied or not, if it is then we assume that manual adjustments would still be required.</w:t>
            </w:r>
            <w:r>
              <w:rPr>
                <w:rFonts w:cs="Arial"/>
              </w:rPr>
              <w:br w:type="textWrapping"/>
            </w:r>
            <w:r>
              <w:rPr>
                <w:rFonts w:cs="Arial"/>
              </w:rPr>
              <w:t xml:space="preserve"> </w:t>
            </w:r>
            <w:r>
              <w:rPr>
                <w:rFonts w:cs="Arial"/>
              </w:rPr>
              <w:br w:type="textWrapping"/>
            </w:r>
            <w:r>
              <w:rPr>
                <w:rFonts w:cs="Arial"/>
              </w:rPr>
              <w:t>Learnings need to be taken from the Hydeploy project; it will need to be clearly communicated to both shippers and suppliers what system changes are required to support this trial and both need to be involved in any process design, and be kept updated throughout. The trial should not be rushed, and the end-consumer considered at all stages.</w:t>
            </w:r>
            <w:r>
              <w:rPr>
                <w:rFonts w:cs="Arial"/>
              </w:rPr>
              <w:br w:type="textWrapping"/>
            </w:r>
            <w:r>
              <w:rPr>
                <w:rFonts w:cs="Arial"/>
              </w:rPr>
              <w:t xml:space="preserve"> </w:t>
            </w:r>
            <w:r>
              <w:rPr>
                <w:rFonts w:cs="Arial"/>
              </w:rPr>
              <w:br w:type="textWrapping"/>
            </w:r>
            <w:r>
              <w:rPr>
                <w:rFonts w:cs="Arial"/>
              </w:rPr>
              <w:t>Other things requiring consideration:</w:t>
            </w:r>
            <w:r>
              <w:rPr>
                <w:rFonts w:cs="Arial"/>
              </w:rPr>
              <w:br w:type="textWrapping"/>
            </w:r>
            <w:r>
              <w:rPr>
                <w:rFonts w:cs="Arial"/>
              </w:rPr>
              <w:t xml:space="preserve">           How a supplier will be able to identify these customers within the change of supply process</w:t>
            </w:r>
            <w:r>
              <w:rPr>
                <w:rFonts w:cs="Arial"/>
              </w:rPr>
              <w:br w:type="textWrapping"/>
            </w:r>
            <w:r>
              <w:rPr>
                <w:rFonts w:cs="Arial"/>
              </w:rPr>
              <w:t xml:space="preserve">If this is to be via updated dataflows, this will span the implementation period of FMRS </w:t>
            </w:r>
            <w:r>
              <w:rPr>
                <w:rFonts w:cs="Arial"/>
              </w:rPr>
              <w:br w:type="textWrapping"/>
            </w:r>
            <w:r>
              <w:rPr>
                <w:rFonts w:cs="Arial"/>
              </w:rPr>
              <w:t xml:space="preserve">           How a supplier will be notified of the hydrogen meter being installed</w:t>
            </w:r>
            <w:r>
              <w:rPr>
                <w:rFonts w:cs="Arial"/>
              </w:rPr>
              <w:br w:type="textWrapping"/>
            </w:r>
            <w:r>
              <w:rPr>
                <w:rFonts w:cs="Arial"/>
              </w:rPr>
              <w:t xml:space="preserve">           How the opt out process will work and how the supplier will be informed</w:t>
            </w:r>
            <w:r>
              <w:rPr>
                <w:rFonts w:cs="Arial"/>
              </w:rPr>
              <w:br w:type="textWrapping"/>
            </w:r>
            <w:r>
              <w:rPr>
                <w:rFonts w:cs="Arial"/>
              </w:rPr>
              <w:t xml:space="preserve">           How the meter install process will work; any upskilling of MAMs required </w:t>
            </w:r>
            <w:r>
              <w:rPr>
                <w:rFonts w:cs="Arial"/>
              </w:rPr>
              <w:br w:type="textWrapping"/>
            </w:r>
            <w:r>
              <w:rPr>
                <w:rFonts w:cs="Arial"/>
              </w:rPr>
              <w:t xml:space="preserve">           How suppliers smart mandates will be impacted</w:t>
            </w:r>
            <w:r>
              <w:rPr>
                <w:rFonts w:cs="Arial"/>
              </w:rPr>
              <w:br w:type="textWrapping"/>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Xoserve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 xml:space="preserve">Xoserve’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 representation comments.</w:t>
            </w:r>
            <w:r>
              <w:rPr>
                <w:rFonts w:cs="Arial"/>
              </w:rPr>
              <w:br w:type="textWrapping"/>
            </w:r>
            <w:r>
              <w:rPr>
                <w:rFonts w:cs="Arial"/>
              </w:rPr>
              <w:br w:type="textWrapping"/>
            </w:r>
            <w:r>
              <w:rPr>
                <w:rFonts w:cs="Arial"/>
              </w:rPr>
              <w:t>We appreciate that a number of aspects of the proposed solutions have only been outlined at a high level at this stage, and that during detailed design we will need to work closely with impacted parties (notably Suppliers and Shippers) to ensure the solution being delivered to support this 100% Hydrogen Innovation Project is fully understood and can operate as desired with minimum impacts to all of the parties involved.</w:t>
            </w:r>
            <w:r>
              <w:rPr>
                <w:rFonts w:cs="Arial"/>
              </w:rPr>
              <w:br w:type="textWrapping"/>
            </w:r>
            <w:r>
              <w:rPr>
                <w:rFonts w:cs="Arial"/>
              </w:rPr>
              <w:br w:type="textWrapping"/>
            </w:r>
            <w:r>
              <w:rPr>
                <w:rFonts w:cs="Arial"/>
              </w:rPr>
              <w:t>We will be looking to taking lessons and experiences gained as part of the work we are performing to support the HyDeploy Pilots, and will be sure to take the other considerations you have kindly noted into account when progressing with H100 Fife.</w:t>
            </w:r>
          </w:p>
        </w:tc>
      </w:tr>
    </w:tbl>
    <w:p>
      <w:pPr/>
    </w:p>
    <w:p>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a59f621d19a94b95"/>
      <w:footerReference w:type="default" r:id="Rb8d1e3494ce44ee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Tahoma">
    <w:panose1 w:val="020B0604030504040204"/>
    <w:charset w:val="01"/>
    <w:family w:val="auto"/>
    <w:notTrueType w:val="off"/>
    <w:pitch w:val="variable"/>
    <w:sig w:usb0="E1002EFF" w:usb1="C000605B" w:usb2="00000029" w:usb3="00000000" w:csb0="200101FF" w:csb1="20280000"/>
  </w:font>
  <w:font w:name="Times New Roman">
    <w:panose1 w:val="02020603050405020304"/>
    <w:charset w:val="01"/>
    <w:family w:val="auto"/>
    <w:notTrueType w:val="off"/>
    <w:pitch w:val="variable"/>
    <w:sig w:usb0="E0002EFF" w:usb1="C000785B" w:usb2="00000009" w:usb3="00000000" w:csb0="400001FF" w:csb1="FFFF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CP</w:t>
    </w:r>
    <w:r>
      <mc:AlternateContent>
        <mc:Choice Requires="wps">
          <w:drawing>
            <wp:anchor allowOverlap="1" layoutInCell="1" relativeHeight="251658243"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4" locked="0" simplePos="0" distL="114300" distT="0" distR="114300" distB="0" behindDoc="0">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76d36e6da6bc4b4b"/>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8242"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8"/>
    <w:multiLevelType w:val="hybridMultilevel"/>
    <w:name w:val="ListStyle8"/>
    <w:lvl w:ilvl="0">
      <w:numFmt w:val="bullet"/>
      <w:start w:val="1"/>
      <w:lvlText w:val="•"/>
      <w:lvlJc w:val="left"/>
      <w:pPr>
        <w:tabs>
          <w:tab w:val="num" w:leader="none" w:pos="720"/>
        </w:tabs>
        <w:ind w:hanging="360" w:left="720"/>
      </w:pPr>
      <w:rPr>
        <w:rFonts w:ascii="Arial" w:hAnsi="Arial"/>
      </w:rPr>
    </w:lvl>
    <w:lvl w:ilvl="1">
      <w:numFmt w:val="bullet"/>
      <w:start w:val="1"/>
      <w:lvlText w:val="•"/>
      <w:lvlJc w:val="left"/>
      <w:pPr>
        <w:tabs>
          <w:tab w:val="num" w:leader="none" w:pos="1440"/>
        </w:tabs>
        <w:ind w:hanging="360" w:left="1440"/>
      </w:pPr>
      <w:rPr>
        <w:rFonts w:ascii="Arial" w:hAnsi="Arial"/>
      </w:rPr>
    </w:lvl>
    <w:lvl w:ilvl="2">
      <w:numFmt w:val="bullet"/>
      <w:start w:val="1"/>
      <w:lvlText w:val="•"/>
      <w:lvlJc w:val="left"/>
      <w:pPr>
        <w:tabs>
          <w:tab w:val="num" w:leader="none" w:pos="2160"/>
        </w:tabs>
        <w:ind w:hanging="360" w:left="2160"/>
      </w:pPr>
      <w:rPr>
        <w:rFonts w:ascii="Arial" w:hAnsi="Arial"/>
      </w:rPr>
    </w:lvl>
    <w:lvl w:ilvl="3">
      <w:numFmt w:val="bullet"/>
      <w:start w:val="1"/>
      <w:lvlText w:val="•"/>
      <w:lvlJc w:val="left"/>
      <w:pPr>
        <w:tabs>
          <w:tab w:val="num" w:leader="none" w:pos="2880"/>
        </w:tabs>
        <w:ind w:hanging="360" w:left="2880"/>
      </w:pPr>
      <w:rPr>
        <w:rFonts w:ascii="Arial" w:hAnsi="Arial"/>
      </w:rPr>
    </w:lvl>
    <w:lvl w:ilvl="4">
      <w:numFmt w:val="bullet"/>
      <w:start w:val="1"/>
      <w:lvlText w:val="•"/>
      <w:lvlJc w:val="left"/>
      <w:pPr>
        <w:tabs>
          <w:tab w:val="num" w:leader="none" w:pos="3600"/>
        </w:tabs>
        <w:ind w:hanging="360" w:left="3600"/>
      </w:pPr>
      <w:rPr>
        <w:rFonts w:ascii="Arial" w:hAnsi="Arial"/>
      </w:rPr>
    </w:lvl>
    <w:lvl w:ilvl="5">
      <w:numFmt w:val="bullet"/>
      <w:start w:val="1"/>
      <w:lvlText w:val="•"/>
      <w:lvlJc w:val="left"/>
      <w:pPr>
        <w:tabs>
          <w:tab w:val="num" w:leader="none" w:pos="4320"/>
        </w:tabs>
        <w:ind w:hanging="360" w:left="4320"/>
      </w:pPr>
      <w:rPr>
        <w:rFonts w:ascii="Arial" w:hAnsi="Arial"/>
      </w:rPr>
    </w:lvl>
    <w:lvl w:ilvl="6">
      <w:numFmt w:val="bullet"/>
      <w:start w:val="1"/>
      <w:lvlText w:val="•"/>
      <w:lvlJc w:val="left"/>
      <w:pPr>
        <w:tabs>
          <w:tab w:val="num" w:leader="none" w:pos="5040"/>
        </w:tabs>
        <w:ind w:hanging="360" w:left="5040"/>
      </w:pPr>
      <w:rPr>
        <w:rFonts w:ascii="Arial" w:hAnsi="Arial"/>
      </w:rPr>
    </w:lvl>
    <w:lvl w:ilvl="7">
      <w:numFmt w:val="bullet"/>
      <w:start w:val="1"/>
      <w:lvlText w:val="•"/>
      <w:lvlJc w:val="left"/>
      <w:pPr>
        <w:tabs>
          <w:tab w:val="num" w:leader="none" w:pos="5760"/>
        </w:tabs>
        <w:ind w:hanging="360" w:left="5760"/>
      </w:pPr>
      <w:rPr>
        <w:rFonts w:ascii="Arial" w:hAnsi="Arial"/>
      </w:rPr>
    </w:lvl>
    <w:lvl w:ilvl="8">
      <w:numFmt w:val="bullet"/>
      <w:start w:val="1"/>
      <w:lvlText w:val="•"/>
      <w:lvlJc w:val="left"/>
      <w:pPr>
        <w:tabs>
          <w:tab w:val="num" w:leader="none" w:pos="6480"/>
        </w:tabs>
        <w:ind w:hanging="360" w:left="6480"/>
      </w:pPr>
      <w:rPr>
        <w:rFonts w:ascii="Arial" w:hAnsi="Arial"/>
      </w:rPr>
    </w:lvl>
  </w:abstractNum>
  <w:abstractNum w:abstractNumId="1">
    <w:styleLink w:val="ListStyle15"/>
    <w:multiLevelType w:val="hybridMultilevel"/>
    <w:name w:val="ListStyle15"/>
    <w:lvl w:ilvl="0">
      <w:numFmt w:val="bullet"/>
      <w:start w:val="1"/>
      <w:lvlText w:val="•"/>
      <w:lvlJc w:val="left"/>
      <w:pPr>
        <w:ind w:hanging="360" w:left="360"/>
      </w:pPr>
      <w:rPr>
        <w:rFonts w:ascii="Arial" w:hAnsi="Arial"/>
      </w:rPr>
    </w:lvl>
    <w:lvl w:ilvl="1">
      <w:numFmt w:val="bullet"/>
      <w:start w:val="1"/>
      <w:lvlText w:val="o"/>
      <w:lvlJc w:val="left"/>
      <w:pPr>
        <w:ind w:hanging="360" w:left="1080"/>
      </w:pPr>
      <w:rPr>
        <w:rFonts w:ascii="Courier New" w:hAnsi="Courier New" w:cs="Courier New"/>
      </w:rPr>
    </w:lvl>
    <w:lvl w:ilvl="2">
      <w:numFmt w:val="bullet"/>
      <w:start w:val="1"/>
      <w:lvlText w:val=""/>
      <w:lvlJc w:val="left"/>
      <w:pPr>
        <w:ind w:hanging="360" w:left="1800"/>
      </w:pPr>
      <w:rPr>
        <w:rFonts w:ascii="Wingdings" w:hAnsi="Wingdings"/>
      </w:rPr>
    </w:lvl>
    <w:lvl w:ilvl="3">
      <w:numFmt w:val="bullet"/>
      <w:start w:val="1"/>
      <w:lvlText w:val=""/>
      <w:lvlJc w:val="left"/>
      <w:pPr>
        <w:ind w:hanging="360" w:left="2520"/>
      </w:pPr>
      <w:rPr>
        <w:rFonts w:ascii="Symbol" w:hAnsi="Symbol"/>
      </w:rPr>
    </w:lvl>
    <w:lvl w:ilvl="4">
      <w:numFmt w:val="bullet"/>
      <w:start w:val="1"/>
      <w:lvlText w:val="o"/>
      <w:lvlJc w:val="left"/>
      <w:pPr>
        <w:ind w:hanging="360" w:left="3240"/>
      </w:pPr>
      <w:rPr>
        <w:rFonts w:ascii="Courier New" w:hAnsi="Courier New" w:cs="Courier New"/>
      </w:rPr>
    </w:lvl>
    <w:lvl w:ilvl="5">
      <w:numFmt w:val="bullet"/>
      <w:start w:val="1"/>
      <w:lvlText w:val=""/>
      <w:lvlJc w:val="left"/>
      <w:pPr>
        <w:ind w:hanging="360" w:left="3960"/>
      </w:pPr>
      <w:rPr>
        <w:rFonts w:ascii="Wingdings" w:hAnsi="Wingdings"/>
      </w:rPr>
    </w:lvl>
    <w:lvl w:ilvl="6">
      <w:numFmt w:val="bullet"/>
      <w:start w:val="1"/>
      <w:lvlText w:val=""/>
      <w:lvlJc w:val="left"/>
      <w:pPr>
        <w:ind w:hanging="360" w:left="4680"/>
      </w:pPr>
      <w:rPr>
        <w:rFonts w:ascii="Symbol" w:hAnsi="Symbol"/>
      </w:rPr>
    </w:lvl>
    <w:lvl w:ilvl="7">
      <w:numFmt w:val="bullet"/>
      <w:start w:val="1"/>
      <w:lvlText w:val="o"/>
      <w:lvlJc w:val="left"/>
      <w:pPr>
        <w:ind w:hanging="360" w:left="5400"/>
      </w:pPr>
      <w:rPr>
        <w:rFonts w:ascii="Courier New" w:hAnsi="Courier New" w:cs="Courier New"/>
      </w:rPr>
    </w:lvl>
    <w:lvl w:ilvl="8">
      <w:numFmt w:val="bullet"/>
      <w:start w:val="1"/>
      <w:lvlText w:val=""/>
      <w:lvlJc w:val="left"/>
      <w:pPr>
        <w:ind w:hanging="360" w:left="6120"/>
      </w:pPr>
      <w:rPr>
        <w:rFonts w:ascii="Wingdings" w:hAnsi="Wingdings"/>
      </w:rPr>
    </w:lvl>
  </w:abstractNum>
  <w:abstractNum w:abstractNumId="2">
    <w:styleLink w:val="ListStyle4"/>
    <w:multiLevelType w:val="hybridMultilevel"/>
    <w:name w:val="ListStyle4"/>
    <w:lvl w:ilvl="0">
      <w:numFmt w:val="bullet"/>
      <w:start w:val="1"/>
      <w:lvlText w:val="•"/>
      <w:lvlJc w:val="left"/>
      <w:pPr>
        <w:ind w:hanging="360" w:left="720"/>
      </w:pPr>
      <w:rPr>
        <w:rFonts w:ascii="Arial" w:hAnsi="Aria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8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List Paragraph Char">
    <w:name w:val="List Paragraph Char"/>
    <w:qFormat/>
  </w:style>
  <w:style w:type="character" w:styleId="Unresolved Mention">
    <w:name w:val="Unresolved Mention"/>
    <w:qFormat/>
    <w:basedOn w:val="Default Paragraph Font"/>
    <w:rPr>
      <w:shd w:val="clear" w:fill="E1DFDD"/>
      <w:color w:val="605E5C"/>
    </w:rPr>
  </w:style>
  <w:style w:type="paragraph" w:styleId="Normal (Web)">
    <w:name w:val="Normal (Web)"/>
    <w:qFormat/>
    <w:basedOn w:val="Normal"/>
    <w:pPr>
      <w:spacing w:before="100" w:beforeAutospacing="1" w:after="100" w:afterAutospacing="1" w:lineRule="auto" w:line="240"/>
    </w:pPr>
    <w:rPr>
      <w:rFonts w:ascii="Times New Roman" w:hAnsi="Times New Roman" w:cs="Times New Roman" w:eastAsia="Times New Roman"/>
      <w:sz w:val="24"/>
      <w:szCs w:val="24"/>
    </w:rPr>
  </w:style>
  <w:style w:type="table" w:styleId="Grid Table 4 Accent 1">
    <w:name w:val="Grid Table 4 Accent 1"/>
    <w:qFormat/>
    <w:basedOn w:val="Normal Table"/>
    <w:tblPr>
      <w:tblStyleRowBandSize w:val="1"/>
      <w:tblStyleColBandSize w:val="1"/>
      <w:tblBorders>
        <w:left w:val="single" w:sz="4" w:space="0" w:color="8499D2"/>
        <w:top w:val="single" w:sz="4" w:space="0" w:color="8499D2"/>
        <w:right w:val="single" w:sz="4" w:space="0" w:color="8499D2"/>
        <w:bottom w:val="single" w:sz="4" w:space="0" w:color="8499D2"/>
        <w:insideH w:val="single" w:sz="4" w:space="0" w:color="8499D2"/>
        <w:insideV w:val="single" w:sz="4" w:space="0" w:color="8499D2"/>
      </w:tblBorders>
    </w:tblPr>
    <w:pPr>
      <w:spacing w:after="0" w:lineRule="auto" w:line="240"/>
    </w:pPr>
    <w:tblStylePr w:type="firstRow">
      <w:tcPr>
        <w:shd w:val="clear" w:fill="3E5AA8"/>
        <w:tcBorders>
          <w:left w:val="single" w:sz="4" w:space="0" w:color="3E5AA8"/>
          <w:top w:val="single" w:sz="4" w:space="0" w:color="3E5AA8"/>
          <w:right w:val="single" w:sz="4" w:space="0" w:color="3E5AA8"/>
          <w:bottom w:val="single" w:sz="4" w:space="0" w:color="3E5AA8"/>
          <w:insideH w:val="nil"/>
          <w:insideV w:val="nil"/>
        </w:tcBorders>
      </w:tcPr>
      <w:rPr>
        <w:b w:val="1"/>
        <w:bCs w:val="1"/>
        <w:color w:val="FFFFFF"/>
      </w:rPr>
    </w:tblStylePr>
    <w:tblStylePr w:type="lastRow">
      <w:tcPr>
        <w:tcBorders>
          <w:top w:val="double" w:sz="4" w:space="0" w:color="3E5AA8"/>
        </w:tcBorders>
      </w:tcPr>
      <w:rPr>
        <w:b w:val="1"/>
        <w:bCs w:val="1"/>
      </w:rPr>
    </w:tblStylePr>
    <w:tblStylePr w:type="firstCol">
      <w:rPr>
        <w:b w:val="1"/>
        <w:bCs w:val="1"/>
      </w:rPr>
    </w:tblStylePr>
    <w:tblStylePr w:type="lastCol">
      <w:rPr>
        <w:b w:val="1"/>
        <w:bCs w:val="1"/>
      </w:rPr>
    </w:tblStylePr>
    <w:tblStylePr w:type="band1Vert">
      <w:tcPr>
        <w:shd w:val="clear" w:fill="D6DDF0"/>
      </w:tcPr>
    </w:tblStylePr>
    <w:tblStylePr w:type="band1Horz">
      <w:tcPr>
        <w:shd w:val="clear" w:fill="D6DDF0"/>
      </w:tcPr>
    </w:tblStylePr>
  </w:style>
  <w:style w:type="character" w:styleId="FollowedHyperlink">
    <w:name w:val="FollowedHyperlink"/>
    <w:qFormat/>
    <w:basedOn w:val="Default Paragraph Font"/>
    <w:rPr>
      <w:color w:val="D2232A"/>
      <w:u w:val="single"/>
    </w:rPr>
  </w:style>
  <w:style w:type="numbering" w:styleId="ListStyle8">
    <w:name w:val="ListStyle8"/>
    <w:qFormat/>
  </w:style>
  <w:style w:type="numbering" w:styleId="ListStyle15">
    <w:name w:val="ListStyle15"/>
    <w:qFormat/>
  </w:style>
  <w:style w:type="numbering" w:styleId="ListStyle4">
    <w:name w:val="ListStyle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xoserve.com/change/change-proposals/xrn-5298-h100-fife-project-phase-1-initial-assessment/" TargetMode="External" Id="R655f449d8d15451c" /><Relationship Type="http://schemas.openxmlformats.org/officeDocument/2006/relationships/hyperlink" Target="https://www.sgn.co.uk/H100Fife" TargetMode="External" Id="R4ae725df65fd4751" /><Relationship Type="http://schemas.openxmlformats.org/officeDocument/2006/relationships/hyperlink" Target="https://umbraco.xoserve.com/media/42689/xrn5298_h100-hlso_xoserve-v41.pdf" TargetMode="External" Id="Raa11d55d5b1346e2" /><Relationship Type="http://schemas.openxmlformats.org/officeDocument/2006/relationships/header" Target="header1.xml" Id="Ra59f621d19a94b95" /><Relationship Type="http://schemas.openxmlformats.org/officeDocument/2006/relationships/footer" Target="footer1.xml" Id="Rb8d1e3494ce44ee2" /><Relationship Type="http://schemas.openxmlformats.org/officeDocument/2006/relationships/customXml" Target="/customXml/item1.xml" Id="Rcf91f36ba1e84324" /><Relationship Type="http://schemas.openxmlformats.org/officeDocument/2006/relationships/customXml" Target="/customXml/item2.xml" Id="R7eb3a4c566244726" /><Relationship Type="http://schemas.openxmlformats.org/officeDocument/2006/relationships/customXml" Target="/customXml/item3.xml" Id="R01d6cc86eb3f4ffe" /><Relationship Type="http://schemas.openxmlformats.org/officeDocument/2006/relationships/customXml" Target="/customXml/item4.xml" Id="Rec75189e13784299" /><Relationship Type="http://schemas.openxmlformats.org/officeDocument/2006/relationships/styles" Target="styles.xml" Id="R3bcc293fa5f84c31" /><Relationship Type="http://schemas.openxmlformats.org/officeDocument/2006/relationships/fontTable" Target="fontTable.xml" Id="R708e12986406408f" /><Relationship Type="http://schemas.openxmlformats.org/officeDocument/2006/relationships/numbering" Target="numbering.xml" Id="R2943aebe353d42c8" /><Relationship Type="http://schemas.openxmlformats.org/officeDocument/2006/relationships/settings" Target="settings.xml" Id="Rcd8da35493a94b1a" /><Relationship Type="http://schemas.openxmlformats.org/officeDocument/2006/relationships/webSettings" Target="webSettings.xml" Id="R1c4d63b346bd4546" /></Relationships>
</file>

<file path=word/_rels/header1.xml.rels>&#65279;<?xml version="1.0" encoding="utf-8"?><Relationships xmlns="http://schemas.openxmlformats.org/package/2006/relationships"><Relationship Type="http://schemas.openxmlformats.org/officeDocument/2006/relationships/image" Target="media/f441sn2p.png" Id="R76d36e6da6bc4b4b" /></Relationships>
</file>

<file path=customXml/_rels/item1.xml.rels>&#65279;<?xml version="1.0" encoding="utf-8"?><Relationships xmlns="http://schemas.openxmlformats.org/package/2006/relationships"><Relationship Type="http://schemas.openxmlformats.org/officeDocument/2006/relationships/customXmlProps" Target="itemProps1.xml" Id="R09ee31cbe8ed499a" /></Relationships>
</file>

<file path=customXml/_rels/item2.xml.rels>&#65279;<?xml version="1.0" encoding="utf-8"?><Relationships xmlns="http://schemas.openxmlformats.org/package/2006/relationships"><Relationship Type="http://schemas.openxmlformats.org/officeDocument/2006/relationships/customXmlProps" Target="itemProps2.xml" Id="R6f550ea5089443ed" /></Relationships>
</file>

<file path=customXml/_rels/item3.xml.rels>&#65279;<?xml version="1.0" encoding="utf-8"?><Relationships xmlns="http://schemas.openxmlformats.org/package/2006/relationships"><Relationship Type="http://schemas.openxmlformats.org/officeDocument/2006/relationships/customXmlProps" Target="itemProps3.xml" Id="R9934f02a164c489b" /></Relationships>
</file>

<file path=customXml/_rels/item4.xml.rels>&#65279;<?xml version="1.0" encoding="utf-8"?><Relationships xmlns="http://schemas.openxmlformats.org/package/2006/relationships"><Relationship Type="http://schemas.openxmlformats.org/officeDocument/2006/relationships/customXmlProps" Target="itemProps4.xml" Id="R33d611512e144baf"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4" ma:contentTypeDescription="Create a new document." ma:contentTypeScope="" ma:versionID="33b8fecee8c4713a57430302bf85c5cc">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f5412dd98e0cafb03a0a30bd6733c8ea"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_x006a_hd3 xmlns="5844fa40-a696-4ac9-bd38-c0330d295109" xsi:nil="true"/>
    <Customer_x0020_Contracts_x0020_Lead xmlns="5844fa40-a696-4ac9-bd38-c0330d2951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540CE-32A1-4415-8726-5F24FF38E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http://purl.org/dc/dcmitype/"/>
    <ds:schemaRef ds:uri="http://purl.org/dc/terms/"/>
    <ds:schemaRef ds:uri="http://www.w3.org/XML/1998/namespace"/>
    <ds:schemaRef ds:uri="http://schemas.microsoft.com/office/2006/documentManagement/types"/>
    <ds:schemaRef ds:uri="http://purl.org/dc/elements/1.1/"/>
    <ds:schemaRef ds:uri="c78a4dae-5fc0-4ed3-ad80-da51122ab114"/>
    <ds:schemaRef ds:uri="http://schemas.openxmlformats.org/package/2006/metadata/core-properties"/>
    <ds:schemaRef ds:uri="5844fa40-a696-4ac9-bd38-c0330d295109"/>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5A09F47F-518B-40AB-AD52-7402A1FF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6</Pages>
  <Words>2082</Words>
  <Characters>11869</Characters>
  <CharactersWithSpaces>13924</CharactersWithSpaces>
  <Lines>98</Lin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Megan Troth</cp:lastModifiedBy>
  <dcterms:created xsi:type="dcterms:W3CDTF">2021-10-15T10:53:00Z</dcterms:created>
  <dcterms:modified xsi:type="dcterms:W3CDTF">2021-10-18T09:09:00Z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MSIP_Label_2b73dd0b-afe1-4a46-943f-1bdb914b8a49_Enabled">
    <vt:lpwstr>true</vt:lpwstr>
  </property>
  <property fmtid="{D5CDD505-2E9C-101B-9397-08002B2CF9AE}" pid="4" name="MSIP_Label_2b73dd0b-afe1-4a46-943f-1bdb914b8a49_SetDate">
    <vt:lpwstr>2021-10-14T09:00:32Z</vt:lpwstr>
  </property>
  <property fmtid="{D5CDD505-2E9C-101B-9397-08002B2CF9AE}" pid="5" name="MSIP_Label_2b73dd0b-afe1-4a46-943f-1bdb914b8a49_Method">
    <vt:lpwstr>Standard</vt:lpwstr>
  </property>
  <property fmtid="{D5CDD505-2E9C-101B-9397-08002B2CF9AE}" pid="6" name="MSIP_Label_2b73dd0b-afe1-4a46-943f-1bdb914b8a49_Name">
    <vt:lpwstr>Internal</vt:lpwstr>
  </property>
  <property fmtid="{D5CDD505-2E9C-101B-9397-08002B2CF9AE}" pid="7" name="MSIP_Label_2b73dd0b-afe1-4a46-943f-1bdb914b8a49_SiteId">
    <vt:lpwstr>b9563cbc-9874-41ab-b448-7e0f61aff3eb</vt:lpwstr>
  </property>
  <property fmtid="{D5CDD505-2E9C-101B-9397-08002B2CF9AE}" pid="8" name="MSIP_Label_2b73dd0b-afe1-4a46-943f-1bdb914b8a49_ActionId">
    <vt:lpwstr>91fb6c29-adc9-464b-a3d0-0000894fce9b</vt:lpwstr>
  </property>
  <property fmtid="{D5CDD505-2E9C-101B-9397-08002B2CF9AE}" pid="9" name="MSIP_Label_2b73dd0b-afe1-4a46-943f-1bdb914b8a49_ContentBits">
    <vt:lpwstr>1</vt:lpwstr>
  </property>
</Properties>
</file>