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74D6" w14:textId="77777777" w:rsidR="009C46D0" w:rsidRDefault="00DC6312">
      <w:pPr>
        <w:pStyle w:val="Title"/>
      </w:pPr>
      <w:r>
        <w:t>Section D: High Level Solution Options</w:t>
      </w:r>
    </w:p>
    <w:p w14:paraId="35E41C52" w14:textId="77777777" w:rsidR="009C46D0" w:rsidRDefault="00DC6312">
      <w:pPr>
        <w:pStyle w:val="Heading1"/>
      </w:pPr>
      <w:r>
        <w:t>D1: Solution Options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9C46D0" w14:paraId="645005B2" w14:textId="77777777">
        <w:trPr>
          <w:trHeight w:val="1537"/>
        </w:trPr>
        <w:tc>
          <w:tcPr>
            <w:tcW w:w="1223" w:type="pct"/>
            <w:shd w:val="clear" w:color="auto" w:fill="B3EDFB"/>
            <w:vAlign w:val="center"/>
          </w:tcPr>
          <w:p w14:paraId="0B1F42D2" w14:textId="77777777" w:rsidR="009C46D0" w:rsidRDefault="00DC631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Solution Option Summary:</w:t>
            </w:r>
          </w:p>
        </w:tc>
        <w:tc>
          <w:tcPr>
            <w:tcW w:w="3777" w:type="pct"/>
            <w:vAlign w:val="center"/>
          </w:tcPr>
          <w:p w14:paraId="49531B46" w14:textId="77777777" w:rsidR="009C46D0" w:rsidRDefault="00DC6312" w:rsidP="000953CC">
            <w:pPr>
              <w:jc w:val="both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Overview</w:t>
            </w:r>
          </w:p>
          <w:p w14:paraId="19BDB697" w14:textId="4BBED18B" w:rsidR="00B92FD4" w:rsidRDefault="00B92FD4" w:rsidP="000953C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XRN</w:t>
            </w:r>
            <w:r w:rsidR="00695331">
              <w:rPr>
                <w:rFonts w:cs="Arial"/>
                <w:bCs/>
              </w:rPr>
              <w:t>4990 “</w:t>
            </w:r>
            <w:r w:rsidR="00695331" w:rsidRPr="00695331">
              <w:rPr>
                <w:rFonts w:cs="Arial"/>
                <w:bCs/>
              </w:rPr>
              <w:t>Transfer of Sites with Low Read Submission Performance from Class 2 and 3 into Class 4 (MOD0664)</w:t>
            </w:r>
            <w:r w:rsidR="00695331">
              <w:rPr>
                <w:rFonts w:cs="Arial"/>
                <w:bCs/>
              </w:rPr>
              <w:t>”</w:t>
            </w:r>
            <w:r w:rsidR="00231F1D">
              <w:rPr>
                <w:rFonts w:cs="Arial"/>
                <w:bCs/>
              </w:rPr>
              <w:t xml:space="preserve"> seeks to deliver the requirements of UNC Modification 0664. This </w:t>
            </w:r>
            <w:r w:rsidR="006D3287">
              <w:rPr>
                <w:rFonts w:cs="Arial"/>
                <w:bCs/>
              </w:rPr>
              <w:t xml:space="preserve">Modification </w:t>
            </w:r>
            <w:r w:rsidR="006D3287" w:rsidRPr="006D3287">
              <w:rPr>
                <w:rFonts w:cs="Arial"/>
                <w:bCs/>
              </w:rPr>
              <w:t>create</w:t>
            </w:r>
            <w:r w:rsidR="00C818EF">
              <w:rPr>
                <w:rFonts w:cs="Arial"/>
                <w:bCs/>
              </w:rPr>
              <w:t>s</w:t>
            </w:r>
            <w:r w:rsidR="006D3287" w:rsidRPr="006D3287">
              <w:rPr>
                <w:rFonts w:cs="Arial"/>
                <w:bCs/>
              </w:rPr>
              <w:t xml:space="preserve"> an obligation for Shippers to move Supply Points with low Valid Meter Reading</w:t>
            </w:r>
            <w:r w:rsidR="006D3287">
              <w:rPr>
                <w:rFonts w:cs="Arial"/>
                <w:bCs/>
              </w:rPr>
              <w:t xml:space="preserve"> </w:t>
            </w:r>
            <w:r w:rsidR="006D3287" w:rsidRPr="006D3287">
              <w:rPr>
                <w:rFonts w:cs="Arial"/>
                <w:bCs/>
              </w:rPr>
              <w:t>submission performance from Classes 2 and 3 into Class 4, following a consecutive period of</w:t>
            </w:r>
            <w:r w:rsidR="006D3287">
              <w:rPr>
                <w:rFonts w:cs="Arial"/>
                <w:bCs/>
              </w:rPr>
              <w:t xml:space="preserve"> </w:t>
            </w:r>
            <w:r w:rsidR="006D3287" w:rsidRPr="006D3287">
              <w:rPr>
                <w:rFonts w:cs="Arial"/>
                <w:bCs/>
              </w:rPr>
              <w:t>poor performance. The CDSP will automatically move any Supply Points</w:t>
            </w:r>
            <w:r w:rsidR="006D3287">
              <w:rPr>
                <w:rFonts w:cs="Arial"/>
                <w:bCs/>
              </w:rPr>
              <w:t xml:space="preserve"> </w:t>
            </w:r>
            <w:r w:rsidR="006D3287" w:rsidRPr="006D3287">
              <w:rPr>
                <w:rFonts w:cs="Arial"/>
                <w:bCs/>
              </w:rPr>
              <w:t>not moved by the Shipper in such a scenario (after an allowed</w:t>
            </w:r>
            <w:r w:rsidR="006D3287">
              <w:rPr>
                <w:rFonts w:cs="Arial"/>
                <w:bCs/>
              </w:rPr>
              <w:t xml:space="preserve"> </w:t>
            </w:r>
            <w:proofErr w:type="gramStart"/>
            <w:r w:rsidR="006D3287" w:rsidRPr="006D3287">
              <w:rPr>
                <w:rFonts w:cs="Arial"/>
                <w:bCs/>
              </w:rPr>
              <w:t>period of time</w:t>
            </w:r>
            <w:proofErr w:type="gramEnd"/>
            <w:r w:rsidR="006D3287" w:rsidRPr="006D3287">
              <w:rPr>
                <w:rFonts w:cs="Arial"/>
                <w:bCs/>
              </w:rPr>
              <w:t>).</w:t>
            </w:r>
          </w:p>
          <w:p w14:paraId="44967A1A" w14:textId="77777777" w:rsidR="00B92FD4" w:rsidRDefault="00B92FD4" w:rsidP="000953CC">
            <w:pPr>
              <w:jc w:val="both"/>
              <w:rPr>
                <w:rFonts w:cs="Arial"/>
                <w:bCs/>
              </w:rPr>
            </w:pPr>
          </w:p>
          <w:p w14:paraId="3D1E3C0B" w14:textId="7EFA5BE1" w:rsidR="000F6997" w:rsidRDefault="000F6997" w:rsidP="000953CC">
            <w:pPr>
              <w:jc w:val="both"/>
              <w:rPr>
                <w:rStyle w:val="Hyperlink"/>
                <w:rFonts w:cs="Arial"/>
                <w:bCs/>
              </w:rPr>
            </w:pPr>
            <w:r w:rsidRPr="000F6997">
              <w:rPr>
                <w:rFonts w:cs="Arial"/>
                <w:bCs/>
              </w:rPr>
              <w:t xml:space="preserve">The Change Proposal can be found </w:t>
            </w:r>
            <w:hyperlink r:id="rId10" w:history="1">
              <w:r w:rsidRPr="000F6997">
                <w:rPr>
                  <w:rStyle w:val="Hyperlink"/>
                  <w:rFonts w:cs="Arial"/>
                  <w:bCs/>
                </w:rPr>
                <w:t>here</w:t>
              </w:r>
            </w:hyperlink>
          </w:p>
          <w:p w14:paraId="65A3B4CE" w14:textId="58129EAD" w:rsidR="00571783" w:rsidRPr="008025A5" w:rsidRDefault="00571783" w:rsidP="000953CC">
            <w:pPr>
              <w:jc w:val="both"/>
            </w:pPr>
          </w:p>
          <w:p w14:paraId="5D5E38E6" w14:textId="6C9F7F9D" w:rsidR="00571783" w:rsidRPr="000F6997" w:rsidRDefault="00571783" w:rsidP="000953CC">
            <w:pPr>
              <w:jc w:val="both"/>
              <w:rPr>
                <w:rFonts w:cs="Arial"/>
                <w:bCs/>
              </w:rPr>
            </w:pPr>
            <w:r w:rsidRPr="008025A5">
              <w:t xml:space="preserve">The details of the </w:t>
            </w:r>
            <w:r w:rsidR="008025A5">
              <w:t xml:space="preserve">modification can be found </w:t>
            </w:r>
            <w:hyperlink r:id="rId11" w:history="1">
              <w:r w:rsidR="008025A5" w:rsidRPr="00CC678F">
                <w:rPr>
                  <w:rStyle w:val="Hyperlink"/>
                </w:rPr>
                <w:t>here</w:t>
              </w:r>
            </w:hyperlink>
          </w:p>
          <w:p w14:paraId="4BF2380E" w14:textId="77777777" w:rsidR="009C46D0" w:rsidRDefault="009C46D0" w:rsidP="000953CC">
            <w:pPr>
              <w:jc w:val="both"/>
              <w:rPr>
                <w:rFonts w:cs="Arial"/>
              </w:rPr>
            </w:pPr>
          </w:p>
          <w:p w14:paraId="265D448F" w14:textId="77777777" w:rsidR="009C46D0" w:rsidRDefault="00DC6312" w:rsidP="000953CC">
            <w:pPr>
              <w:jc w:val="both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Change/Solution Overview</w:t>
            </w:r>
          </w:p>
          <w:p w14:paraId="598007E0" w14:textId="77777777" w:rsidR="00445281" w:rsidRDefault="00DC3E1B" w:rsidP="000953CC">
            <w:pPr>
              <w:jc w:val="both"/>
            </w:pPr>
            <w:r w:rsidRPr="00DC3E1B">
              <w:t xml:space="preserve">Shipper, and </w:t>
            </w:r>
            <w:r w:rsidR="006A41E5">
              <w:t>r</w:t>
            </w:r>
            <w:r w:rsidRPr="00DC3E1B">
              <w:t xml:space="preserve">elated Supplier, </w:t>
            </w:r>
            <w:r w:rsidR="00D03657">
              <w:t xml:space="preserve">Class 2 and 3 </w:t>
            </w:r>
            <w:r w:rsidRPr="00DC3E1B">
              <w:t xml:space="preserve">read performance </w:t>
            </w:r>
            <w:r w:rsidR="006A41E5">
              <w:t>will</w:t>
            </w:r>
            <w:r w:rsidRPr="00DC3E1B">
              <w:t xml:space="preserve"> be</w:t>
            </w:r>
            <w:r>
              <w:t xml:space="preserve"> </w:t>
            </w:r>
            <w:r w:rsidRPr="00DC3E1B">
              <w:t>measured and reported to the Shipper User</w:t>
            </w:r>
            <w:r w:rsidR="00D03657">
              <w:t xml:space="preserve"> and the Performance Assurance Committee (PAC) </w:t>
            </w:r>
            <w:proofErr w:type="gramStart"/>
            <w:r w:rsidRPr="00DC3E1B">
              <w:t>in order to</w:t>
            </w:r>
            <w:proofErr w:type="gramEnd"/>
            <w:r w:rsidRPr="00DC3E1B">
              <w:t xml:space="preserve"> identify</w:t>
            </w:r>
            <w:r>
              <w:t xml:space="preserve"> </w:t>
            </w:r>
            <w:r w:rsidRPr="00DC3E1B">
              <w:t xml:space="preserve">where </w:t>
            </w:r>
            <w:r w:rsidR="002129DE">
              <w:t xml:space="preserve">this </w:t>
            </w:r>
            <w:r w:rsidRPr="00DC3E1B">
              <w:t xml:space="preserve">read performance is below </w:t>
            </w:r>
            <w:r w:rsidR="00844664">
              <w:t xml:space="preserve">the </w:t>
            </w:r>
            <w:r w:rsidRPr="00DC3E1B">
              <w:t>performance measure</w:t>
            </w:r>
            <w:r w:rsidR="006C764F">
              <w:t>s</w:t>
            </w:r>
            <w:r w:rsidR="00844664">
              <w:t xml:space="preserve"> defined within the Modification</w:t>
            </w:r>
            <w:r w:rsidRPr="00DC3E1B">
              <w:t>.</w:t>
            </w:r>
          </w:p>
          <w:p w14:paraId="65CBC7E3" w14:textId="77777777" w:rsidR="00445281" w:rsidRDefault="00445281" w:rsidP="000953CC">
            <w:pPr>
              <w:jc w:val="both"/>
            </w:pPr>
          </w:p>
          <w:p w14:paraId="340E0049" w14:textId="532B29F2" w:rsidR="00DC3E1B" w:rsidRDefault="00445281" w:rsidP="000953CC">
            <w:pPr>
              <w:jc w:val="both"/>
            </w:pPr>
            <w:r>
              <w:t xml:space="preserve">Where read performance </w:t>
            </w:r>
            <w:r w:rsidR="00EF2310">
              <w:t xml:space="preserve">does not meet the defined performance measure </w:t>
            </w:r>
            <w:r w:rsidR="001B0A3C">
              <w:t>t</w:t>
            </w:r>
            <w:r w:rsidR="00DC3E1B" w:rsidRPr="00DC3E1B">
              <w:t>h</w:t>
            </w:r>
            <w:r w:rsidR="006C764F">
              <w:t>e</w:t>
            </w:r>
            <w:r w:rsidR="00DC3E1B" w:rsidRPr="00DC3E1B">
              <w:t xml:space="preserve"> </w:t>
            </w:r>
            <w:r w:rsidR="006C764F">
              <w:t>report</w:t>
            </w:r>
            <w:r w:rsidR="00406CC9">
              <w:t>ing</w:t>
            </w:r>
            <w:r w:rsidR="006C764F">
              <w:t xml:space="preserve"> will</w:t>
            </w:r>
            <w:r w:rsidR="00DC3E1B" w:rsidRPr="00DC3E1B">
              <w:t xml:space="preserve"> serve as a notification to the Shipper </w:t>
            </w:r>
            <w:r w:rsidR="00406CC9">
              <w:t xml:space="preserve">of </w:t>
            </w:r>
            <w:r w:rsidR="00DC3E1B" w:rsidRPr="00DC3E1B">
              <w:t xml:space="preserve">which MPRNs require reclassification </w:t>
            </w:r>
            <w:r w:rsidR="00406CC9">
              <w:t>to</w:t>
            </w:r>
            <w:r w:rsidR="00DC3E1B" w:rsidRPr="00DC3E1B">
              <w:t xml:space="preserve"> Class 4.</w:t>
            </w:r>
            <w:r w:rsidR="00DC3E1B">
              <w:t xml:space="preserve"> </w:t>
            </w:r>
            <w:r w:rsidR="00DC3E1B" w:rsidRPr="00DC3E1B">
              <w:t>Should Shippers not act</w:t>
            </w:r>
            <w:r w:rsidR="00380386">
              <w:t xml:space="preserve"> on this notification</w:t>
            </w:r>
            <w:r w:rsidR="00DC3E1B" w:rsidRPr="00DC3E1B">
              <w:t>, within the defined timescales, then the CDSP will reclassify on their behalf.</w:t>
            </w:r>
            <w:r w:rsidR="00CC7C50">
              <w:t xml:space="preserve"> </w:t>
            </w:r>
            <w:r w:rsidR="000842BE">
              <w:t xml:space="preserve">It should be noted that, as per the Modification, the CDSP </w:t>
            </w:r>
            <w:r w:rsidR="00031322">
              <w:t xml:space="preserve">may charge the Shipper User, per </w:t>
            </w:r>
            <w:r w:rsidR="007D438D">
              <w:t>MPRN</w:t>
            </w:r>
            <w:r w:rsidR="00031322">
              <w:t xml:space="preserve">, for reclassifying </w:t>
            </w:r>
            <w:r w:rsidR="007D438D">
              <w:t xml:space="preserve">MPRNs with low </w:t>
            </w:r>
            <w:r w:rsidR="0067248E">
              <w:t>Valid Meter Reading submission performance on their behalf.</w:t>
            </w:r>
          </w:p>
          <w:p w14:paraId="230D1C43" w14:textId="77777777" w:rsidR="009C46D0" w:rsidRDefault="009C46D0" w:rsidP="000953CC">
            <w:pPr>
              <w:jc w:val="both"/>
              <w:rPr>
                <w:rFonts w:cs="Arial"/>
              </w:rPr>
            </w:pPr>
          </w:p>
          <w:p w14:paraId="49020B62" w14:textId="17A2B1B4" w:rsidR="009C46D0" w:rsidRDefault="007E2172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This Solution </w:t>
            </w:r>
            <w:r w:rsidR="00546CAF">
              <w:rPr>
                <w:rFonts w:cs="Arial"/>
              </w:rPr>
              <w:t>Change Pack</w:t>
            </w:r>
            <w:r w:rsidR="00DC6312">
              <w:rPr>
                <w:rFonts w:cs="Arial"/>
              </w:rPr>
              <w:t xml:space="preserve"> outlines th</w:t>
            </w:r>
            <w:r w:rsidR="000B298F">
              <w:rPr>
                <w:rFonts w:cs="Arial"/>
              </w:rPr>
              <w:t>e solution approach that</w:t>
            </w:r>
            <w:r w:rsidR="00DC6312">
              <w:rPr>
                <w:rFonts w:cs="Arial"/>
              </w:rPr>
              <w:t xml:space="preserve"> Xoserve ha</w:t>
            </w:r>
            <w:r w:rsidR="000B298F">
              <w:rPr>
                <w:rFonts w:cs="Arial"/>
              </w:rPr>
              <w:t>s</w:t>
            </w:r>
            <w:r w:rsidR="00DC6312">
              <w:rPr>
                <w:rFonts w:cs="Arial"/>
              </w:rPr>
              <w:t xml:space="preserve"> identified to deliver the requirements of the </w:t>
            </w:r>
            <w:r>
              <w:rPr>
                <w:rFonts w:cs="Arial"/>
              </w:rPr>
              <w:t>Modification</w:t>
            </w:r>
            <w:r w:rsidR="005B12C4">
              <w:rPr>
                <w:rFonts w:cs="Arial"/>
              </w:rPr>
              <w:t>.</w:t>
            </w:r>
            <w:r w:rsidR="00370FC0">
              <w:rPr>
                <w:rFonts w:cs="Arial"/>
              </w:rPr>
              <w:t xml:space="preserve"> The </w:t>
            </w:r>
            <w:r w:rsidR="002C0CC4">
              <w:rPr>
                <w:rFonts w:cs="Arial"/>
              </w:rPr>
              <w:t>High</w:t>
            </w:r>
            <w:r w:rsidR="00263949">
              <w:rPr>
                <w:rFonts w:cs="Arial"/>
              </w:rPr>
              <w:t>-</w:t>
            </w:r>
            <w:r w:rsidR="002C0CC4">
              <w:rPr>
                <w:rFonts w:cs="Arial"/>
              </w:rPr>
              <w:t xml:space="preserve">Level Solution Option (HLSO) document can be found </w:t>
            </w:r>
            <w:hyperlink r:id="rId12" w:history="1">
              <w:r w:rsidR="002C0CC4" w:rsidRPr="00386DF8">
                <w:rPr>
                  <w:rStyle w:val="Hyperlink"/>
                  <w:rFonts w:cs="Arial"/>
                  <w:b/>
                </w:rPr>
                <w:t>here.</w:t>
              </w:r>
            </w:hyperlink>
          </w:p>
          <w:p w14:paraId="6E7B8EA8" w14:textId="42599EAC" w:rsidR="009C46D0" w:rsidRDefault="009C46D0" w:rsidP="000953CC">
            <w:pPr>
              <w:jc w:val="both"/>
              <w:rPr>
                <w:rFonts w:cs="Arial"/>
              </w:rPr>
            </w:pPr>
          </w:p>
          <w:p w14:paraId="151CBDFE" w14:textId="1DF7DEE6" w:rsidR="009C46D0" w:rsidRDefault="00DA6AD4" w:rsidP="000953CC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Reporting Requirements</w:t>
            </w:r>
          </w:p>
          <w:p w14:paraId="5CE2BBF7" w14:textId="1D71CEBC" w:rsidR="00C7265B" w:rsidRDefault="009D1088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1444D4">
              <w:rPr>
                <w:rFonts w:cs="Arial"/>
              </w:rPr>
              <w:t xml:space="preserve">proposed solution is to deliver all reporting defined within the modification </w:t>
            </w:r>
            <w:r w:rsidR="00900E89">
              <w:rPr>
                <w:rFonts w:cs="Arial"/>
              </w:rPr>
              <w:t xml:space="preserve">through the </w:t>
            </w:r>
            <w:r w:rsidR="00854749">
              <w:rPr>
                <w:rFonts w:cs="Arial"/>
              </w:rPr>
              <w:t xml:space="preserve">Data Discovery Platform (DDP). </w:t>
            </w:r>
            <w:r w:rsidR="00EE207A">
              <w:rPr>
                <w:rFonts w:cs="Arial"/>
              </w:rPr>
              <w:t>This will include:</w:t>
            </w:r>
          </w:p>
          <w:p w14:paraId="3214B2C7" w14:textId="35B3348C" w:rsidR="00EE207A" w:rsidRDefault="00EE207A" w:rsidP="000953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Shipper performance </w:t>
            </w:r>
            <w:r w:rsidR="00682718">
              <w:rPr>
                <w:rFonts w:cs="Arial"/>
              </w:rPr>
              <w:t>dashboards</w:t>
            </w:r>
          </w:p>
          <w:p w14:paraId="36F3BF98" w14:textId="6A0D5C55" w:rsidR="00682718" w:rsidRDefault="00874E34" w:rsidP="000953CC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Related supplier view</w:t>
            </w:r>
          </w:p>
          <w:p w14:paraId="1D9C1BD2" w14:textId="3DC9F00D" w:rsidR="00874E34" w:rsidRDefault="00874E34" w:rsidP="000953CC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Individual MPRN performance</w:t>
            </w:r>
          </w:p>
          <w:p w14:paraId="070AF346" w14:textId="58F9FE7B" w:rsidR="00087322" w:rsidRDefault="00087322" w:rsidP="000953CC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Notification of </w:t>
            </w:r>
            <w:r w:rsidR="00785651">
              <w:rPr>
                <w:rFonts w:cs="Arial"/>
              </w:rPr>
              <w:t>required reclassifications</w:t>
            </w:r>
          </w:p>
          <w:p w14:paraId="3106633C" w14:textId="1AA88E81" w:rsidR="00D92179" w:rsidRDefault="00D92179" w:rsidP="000953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Potential CDSP reclassifications</w:t>
            </w:r>
            <w:r w:rsidR="001312E4">
              <w:rPr>
                <w:rFonts w:cs="Arial"/>
              </w:rPr>
              <w:t xml:space="preserve"> (internal</w:t>
            </w:r>
            <w:r w:rsidR="00E42F3B">
              <w:rPr>
                <w:rFonts w:cs="Arial"/>
              </w:rPr>
              <w:t>)</w:t>
            </w:r>
          </w:p>
          <w:p w14:paraId="2BA4E974" w14:textId="3645DB9A" w:rsidR="001B7495" w:rsidRPr="00D67878" w:rsidRDefault="00785651" w:rsidP="000953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Performance Assurance Committee (PAC) reporting</w:t>
            </w:r>
          </w:p>
          <w:p w14:paraId="4C42AB67" w14:textId="77777777" w:rsidR="00D67878" w:rsidRDefault="00D67878" w:rsidP="000953CC">
            <w:pPr>
              <w:jc w:val="both"/>
              <w:rPr>
                <w:rFonts w:cs="Arial"/>
              </w:rPr>
            </w:pPr>
          </w:p>
          <w:p w14:paraId="5759E029" w14:textId="051EBBB3" w:rsidR="00D67878" w:rsidRPr="00896AC6" w:rsidRDefault="00D67878" w:rsidP="000953CC">
            <w:pPr>
              <w:jc w:val="both"/>
              <w:rPr>
                <w:rFonts w:cs="Arial"/>
                <w:b/>
                <w:bCs/>
              </w:rPr>
            </w:pPr>
            <w:r w:rsidRPr="00896AC6">
              <w:rPr>
                <w:rFonts w:cs="Arial"/>
                <w:b/>
                <w:bCs/>
              </w:rPr>
              <w:lastRenderedPageBreak/>
              <w:t xml:space="preserve">CDSP Reclassification of </w:t>
            </w:r>
            <w:r w:rsidR="008C054B" w:rsidRPr="00896AC6">
              <w:rPr>
                <w:rFonts w:cs="Arial"/>
                <w:b/>
                <w:bCs/>
              </w:rPr>
              <w:t>Failed Supply Meter Points</w:t>
            </w:r>
          </w:p>
          <w:p w14:paraId="2599C947" w14:textId="773CD813" w:rsidR="007C2593" w:rsidRDefault="00896AC6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This solution will </w:t>
            </w:r>
            <w:r w:rsidR="00C60EF4">
              <w:rPr>
                <w:rFonts w:cs="Arial"/>
              </w:rPr>
              <w:t>util</w:t>
            </w:r>
            <w:r w:rsidR="00D92179">
              <w:rPr>
                <w:rFonts w:cs="Arial"/>
              </w:rPr>
              <w:t>i</w:t>
            </w:r>
            <w:r w:rsidR="00C60EF4">
              <w:rPr>
                <w:rFonts w:cs="Arial"/>
              </w:rPr>
              <w:t xml:space="preserve">se </w:t>
            </w:r>
            <w:r w:rsidR="003079BD">
              <w:rPr>
                <w:rFonts w:cs="Arial"/>
              </w:rPr>
              <w:t>reporting output from the DDP solution</w:t>
            </w:r>
            <w:r w:rsidR="00F905D6">
              <w:rPr>
                <w:rFonts w:cs="Arial"/>
              </w:rPr>
              <w:t xml:space="preserve"> to assess the </w:t>
            </w:r>
            <w:r w:rsidR="00482F36">
              <w:rPr>
                <w:rFonts w:cs="Arial"/>
              </w:rPr>
              <w:t>Failed Supply Meter Points</w:t>
            </w:r>
            <w:r w:rsidR="00F905D6">
              <w:rPr>
                <w:rFonts w:cs="Arial"/>
              </w:rPr>
              <w:t xml:space="preserve"> </w:t>
            </w:r>
            <w:r w:rsidR="00482F36">
              <w:rPr>
                <w:rFonts w:cs="Arial"/>
              </w:rPr>
              <w:t xml:space="preserve">that have not been </w:t>
            </w:r>
            <w:r w:rsidR="00AA280F">
              <w:rPr>
                <w:rFonts w:cs="Arial"/>
              </w:rPr>
              <w:t>reclassified</w:t>
            </w:r>
            <w:r w:rsidR="00C538D8">
              <w:rPr>
                <w:rFonts w:cs="Arial"/>
              </w:rPr>
              <w:t>, by the relevant Shipper User,</w:t>
            </w:r>
            <w:r w:rsidR="00AA280F">
              <w:rPr>
                <w:rFonts w:cs="Arial"/>
              </w:rPr>
              <w:t xml:space="preserve"> to Class 4 </w:t>
            </w:r>
            <w:r w:rsidR="00E37793">
              <w:rPr>
                <w:rFonts w:cs="Arial"/>
              </w:rPr>
              <w:t xml:space="preserve">within the </w:t>
            </w:r>
            <w:r w:rsidR="00E42F3B">
              <w:rPr>
                <w:rFonts w:cs="Arial"/>
              </w:rPr>
              <w:t>defined</w:t>
            </w:r>
            <w:r w:rsidR="00E37793">
              <w:rPr>
                <w:rFonts w:cs="Arial"/>
              </w:rPr>
              <w:t xml:space="preserve"> timescales</w:t>
            </w:r>
            <w:r w:rsidR="00F5099B">
              <w:rPr>
                <w:rFonts w:cs="Arial"/>
              </w:rPr>
              <w:t xml:space="preserve">. </w:t>
            </w:r>
            <w:r w:rsidR="00C65DE3">
              <w:rPr>
                <w:rFonts w:cs="Arial"/>
              </w:rPr>
              <w:t>Additional v</w:t>
            </w:r>
            <w:r w:rsidR="00F5099B">
              <w:rPr>
                <w:rFonts w:cs="Arial"/>
              </w:rPr>
              <w:t>alidation</w:t>
            </w:r>
            <w:r w:rsidR="00C65DE3">
              <w:rPr>
                <w:rFonts w:cs="Arial"/>
              </w:rPr>
              <w:t>s</w:t>
            </w:r>
            <w:r w:rsidR="00F5099B">
              <w:rPr>
                <w:rFonts w:cs="Arial"/>
              </w:rPr>
              <w:t xml:space="preserve"> will be </w:t>
            </w:r>
            <w:r w:rsidR="00295645">
              <w:rPr>
                <w:rFonts w:cs="Arial"/>
              </w:rPr>
              <w:t>applied</w:t>
            </w:r>
            <w:r w:rsidR="0083521E">
              <w:rPr>
                <w:rFonts w:cs="Arial"/>
              </w:rPr>
              <w:t xml:space="preserve"> </w:t>
            </w:r>
            <w:r w:rsidR="007D54FF">
              <w:rPr>
                <w:rFonts w:cs="Arial"/>
              </w:rPr>
              <w:t xml:space="preserve">against these to </w:t>
            </w:r>
            <w:r w:rsidR="00295645">
              <w:rPr>
                <w:rFonts w:cs="Arial"/>
              </w:rPr>
              <w:t>finalise the list of MPRNs to be passed for CDSP reclassification</w:t>
            </w:r>
            <w:r w:rsidR="00E17334">
              <w:rPr>
                <w:rFonts w:cs="Arial"/>
              </w:rPr>
              <w:t>.</w:t>
            </w:r>
            <w:r w:rsidR="007C2593">
              <w:rPr>
                <w:rFonts w:cs="Arial"/>
              </w:rPr>
              <w:t xml:space="preserve"> </w:t>
            </w:r>
            <w:r w:rsidR="005B4AF2">
              <w:rPr>
                <w:rFonts w:cs="Arial"/>
              </w:rPr>
              <w:t xml:space="preserve">Where </w:t>
            </w:r>
            <w:r w:rsidR="004964FB">
              <w:rPr>
                <w:rFonts w:cs="Arial"/>
              </w:rPr>
              <w:t xml:space="preserve">an MPRN is reclassified by the CDSP </w:t>
            </w:r>
            <w:r w:rsidR="008E3AF2">
              <w:rPr>
                <w:rFonts w:cs="Arial"/>
              </w:rPr>
              <w:t xml:space="preserve">an unsolicited X09 record, within the SCR file, </w:t>
            </w:r>
            <w:r w:rsidR="001018E4">
              <w:rPr>
                <w:rFonts w:cs="Arial"/>
              </w:rPr>
              <w:t>would</w:t>
            </w:r>
            <w:r w:rsidR="008E3AF2">
              <w:rPr>
                <w:rFonts w:cs="Arial"/>
              </w:rPr>
              <w:t xml:space="preserve"> be issued to </w:t>
            </w:r>
            <w:r w:rsidR="004964FB">
              <w:rPr>
                <w:rFonts w:cs="Arial"/>
              </w:rPr>
              <w:t xml:space="preserve">the </w:t>
            </w:r>
            <w:r w:rsidR="008E3AF2">
              <w:rPr>
                <w:rFonts w:cs="Arial"/>
              </w:rPr>
              <w:t>relevant Shipper.</w:t>
            </w:r>
          </w:p>
          <w:p w14:paraId="3D39465D" w14:textId="29EE204F" w:rsidR="007C2593" w:rsidRDefault="007C2593" w:rsidP="000953CC">
            <w:pPr>
              <w:jc w:val="both"/>
              <w:rPr>
                <w:rFonts w:cs="Arial"/>
              </w:rPr>
            </w:pPr>
          </w:p>
          <w:p w14:paraId="2F5A4BBF" w14:textId="74B20515" w:rsidR="007C2593" w:rsidRDefault="007C2593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Following reclassification </w:t>
            </w:r>
            <w:r w:rsidR="00061ED3">
              <w:rPr>
                <w:rFonts w:cs="Arial"/>
              </w:rPr>
              <w:t xml:space="preserve">activity, the </w:t>
            </w:r>
            <w:r w:rsidR="001C53F9">
              <w:rPr>
                <w:rFonts w:cs="Arial"/>
              </w:rPr>
              <w:t xml:space="preserve">list of </w:t>
            </w:r>
            <w:r w:rsidR="00061ED3">
              <w:rPr>
                <w:rFonts w:cs="Arial"/>
              </w:rPr>
              <w:t xml:space="preserve">MPRNs reclassified by the CDSP will be </w:t>
            </w:r>
            <w:r w:rsidR="001C53F9">
              <w:rPr>
                <w:rFonts w:cs="Arial"/>
              </w:rPr>
              <w:t xml:space="preserve">made available to the DDP to support </w:t>
            </w:r>
            <w:r w:rsidR="00815D9C">
              <w:rPr>
                <w:rFonts w:cs="Arial"/>
              </w:rPr>
              <w:t>the generation of the CDSP reclassification PAC report.</w:t>
            </w:r>
          </w:p>
          <w:p w14:paraId="6C79EE70" w14:textId="1CBD299D" w:rsidR="00815D9C" w:rsidRDefault="00815D9C" w:rsidP="000953CC">
            <w:pPr>
              <w:jc w:val="both"/>
              <w:rPr>
                <w:rFonts w:cs="Arial"/>
              </w:rPr>
            </w:pPr>
          </w:p>
          <w:p w14:paraId="1FF2274E" w14:textId="4F669D09" w:rsidR="00815D9C" w:rsidRDefault="002900C3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the scenario </w:t>
            </w:r>
            <w:r w:rsidR="003A499E">
              <w:rPr>
                <w:rFonts w:cs="Arial"/>
              </w:rPr>
              <w:t>where a</w:t>
            </w:r>
            <w:r w:rsidR="008701F4">
              <w:rPr>
                <w:rFonts w:cs="Arial"/>
              </w:rPr>
              <w:t xml:space="preserve"> Failed Supply Meter Point</w:t>
            </w:r>
            <w:r w:rsidR="003A499E">
              <w:rPr>
                <w:rFonts w:cs="Arial"/>
              </w:rPr>
              <w:t xml:space="preserve"> has not been reclassif</w:t>
            </w:r>
            <w:r w:rsidR="008701F4">
              <w:rPr>
                <w:rFonts w:cs="Arial"/>
              </w:rPr>
              <w:t>ied by the Shipper User within the defined timescales</w:t>
            </w:r>
            <w:r w:rsidR="00FD4CB5">
              <w:rPr>
                <w:rFonts w:cs="Arial"/>
              </w:rPr>
              <w:t xml:space="preserve"> and</w:t>
            </w:r>
            <w:r w:rsidR="008701F4">
              <w:rPr>
                <w:rFonts w:cs="Arial"/>
              </w:rPr>
              <w:t xml:space="preserve"> </w:t>
            </w:r>
            <w:r w:rsidR="00E54479">
              <w:rPr>
                <w:rFonts w:cs="Arial"/>
              </w:rPr>
              <w:t>a pending Class Change</w:t>
            </w:r>
            <w:r w:rsidR="00FD4CB5">
              <w:rPr>
                <w:rFonts w:cs="Arial"/>
              </w:rPr>
              <w:t xml:space="preserve"> is found on final validation</w:t>
            </w:r>
            <w:r w:rsidR="00E54479">
              <w:rPr>
                <w:rFonts w:cs="Arial"/>
              </w:rPr>
              <w:t xml:space="preserve">, </w:t>
            </w:r>
            <w:r w:rsidR="00DD646B">
              <w:rPr>
                <w:rFonts w:cs="Arial"/>
              </w:rPr>
              <w:t xml:space="preserve">it is proposed that this is </w:t>
            </w:r>
            <w:r w:rsidR="00FD4CB5">
              <w:rPr>
                <w:rFonts w:cs="Arial"/>
              </w:rPr>
              <w:t>cancel</w:t>
            </w:r>
            <w:r w:rsidR="00DD646B">
              <w:rPr>
                <w:rFonts w:cs="Arial"/>
              </w:rPr>
              <w:t xml:space="preserve">led </w:t>
            </w:r>
            <w:r w:rsidR="008D7699">
              <w:rPr>
                <w:rFonts w:cs="Arial"/>
              </w:rPr>
              <w:t>by the CDSP and the reclassification to Class 4 completed.</w:t>
            </w:r>
          </w:p>
          <w:p w14:paraId="014BB844" w14:textId="50E8C159" w:rsidR="008D7699" w:rsidRDefault="008D7699" w:rsidP="000953CC">
            <w:pPr>
              <w:jc w:val="both"/>
              <w:rPr>
                <w:rFonts w:cs="Arial"/>
              </w:rPr>
            </w:pPr>
          </w:p>
          <w:p w14:paraId="0C4E5977" w14:textId="3941AF31" w:rsidR="008D7699" w:rsidRDefault="00F61ED0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As per the Modification, the CDSP </w:t>
            </w:r>
            <w:r w:rsidR="00E0489A">
              <w:rPr>
                <w:rFonts w:cs="Arial"/>
              </w:rPr>
              <w:t xml:space="preserve">will be entitled to charge </w:t>
            </w:r>
            <w:r w:rsidR="00436E87">
              <w:rPr>
                <w:rFonts w:cs="Arial"/>
              </w:rPr>
              <w:t xml:space="preserve">Shippers on a Supply Point basis for all Supply Points that it </w:t>
            </w:r>
            <w:r w:rsidR="00BD1961">
              <w:rPr>
                <w:rFonts w:cs="Arial"/>
              </w:rPr>
              <w:t xml:space="preserve">reclassifies. The details of this charge and the </w:t>
            </w:r>
            <w:r w:rsidR="00006AD0">
              <w:rPr>
                <w:rFonts w:cs="Arial"/>
              </w:rPr>
              <w:t xml:space="preserve">invoicing mechanism will be </w:t>
            </w:r>
            <w:r w:rsidR="003246C8">
              <w:rPr>
                <w:rFonts w:cs="Arial"/>
              </w:rPr>
              <w:t xml:space="preserve">established during detailed design and subsequently </w:t>
            </w:r>
            <w:r w:rsidR="003A7559">
              <w:rPr>
                <w:rFonts w:cs="Arial"/>
              </w:rPr>
              <w:t>shared to industry parties.</w:t>
            </w:r>
          </w:p>
          <w:p w14:paraId="27EAC76A" w14:textId="74F0F476" w:rsidR="003A7559" w:rsidRDefault="003A7559" w:rsidP="000953CC">
            <w:pPr>
              <w:jc w:val="both"/>
              <w:rPr>
                <w:rFonts w:cs="Arial"/>
              </w:rPr>
            </w:pPr>
          </w:p>
          <w:p w14:paraId="5ADF5398" w14:textId="125CE4AB" w:rsidR="003A7559" w:rsidRPr="003A7559" w:rsidRDefault="003A7559" w:rsidP="000953CC">
            <w:pPr>
              <w:jc w:val="both"/>
              <w:rPr>
                <w:rFonts w:cs="Arial"/>
                <w:b/>
                <w:bCs/>
              </w:rPr>
            </w:pPr>
            <w:r w:rsidRPr="003A7559">
              <w:rPr>
                <w:rFonts w:cs="Arial"/>
                <w:b/>
                <w:bCs/>
              </w:rPr>
              <w:t>Delivery and Costs</w:t>
            </w:r>
          </w:p>
          <w:p w14:paraId="10BD33D0" w14:textId="73510A46" w:rsidR="003A7559" w:rsidRDefault="00DF1B84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solution option defined </w:t>
            </w:r>
            <w:r w:rsidR="00A653FF">
              <w:rPr>
                <w:rFonts w:cs="Arial"/>
              </w:rPr>
              <w:t xml:space="preserve">has been sized as </w:t>
            </w:r>
            <w:r w:rsidR="00286C22">
              <w:rPr>
                <w:rFonts w:cs="Arial"/>
              </w:rPr>
              <w:t xml:space="preserve">being of </w:t>
            </w:r>
            <w:r w:rsidR="00A653FF">
              <w:rPr>
                <w:rFonts w:cs="Arial"/>
              </w:rPr>
              <w:t>medium</w:t>
            </w:r>
            <w:r w:rsidR="00286C22">
              <w:rPr>
                <w:rFonts w:cs="Arial"/>
              </w:rPr>
              <w:t xml:space="preserve"> complexity</w:t>
            </w:r>
            <w:r w:rsidR="00A653FF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could be delivered within a minor or major release. However,</w:t>
            </w:r>
            <w:r w:rsidR="00A05B7D">
              <w:rPr>
                <w:rFonts w:cs="Arial"/>
              </w:rPr>
              <w:t xml:space="preserve"> given the cross</w:t>
            </w:r>
            <w:r w:rsidR="00A653FF">
              <w:rPr>
                <w:rFonts w:cs="Arial"/>
              </w:rPr>
              <w:t>-</w:t>
            </w:r>
            <w:r w:rsidR="00286C22">
              <w:rPr>
                <w:rFonts w:cs="Arial"/>
              </w:rPr>
              <w:t>architecture</w:t>
            </w:r>
            <w:r w:rsidR="00A05B7D">
              <w:rPr>
                <w:rFonts w:cs="Arial"/>
              </w:rPr>
              <w:t xml:space="preserve"> impacts (</w:t>
            </w:r>
            <w:r w:rsidR="008D15AF">
              <w:rPr>
                <w:rFonts w:cs="Arial"/>
              </w:rPr>
              <w:t>UK Link and DDP)</w:t>
            </w:r>
            <w:r>
              <w:rPr>
                <w:rFonts w:cs="Arial"/>
              </w:rPr>
              <w:t xml:space="preserve"> </w:t>
            </w:r>
            <w:r w:rsidR="009D1DFA">
              <w:rPr>
                <w:rFonts w:cs="Arial"/>
              </w:rPr>
              <w:t xml:space="preserve">it is likely that this would absorb the </w:t>
            </w:r>
            <w:r w:rsidR="00AC1097">
              <w:rPr>
                <w:rFonts w:cs="Arial"/>
              </w:rPr>
              <w:t xml:space="preserve">full scope of </w:t>
            </w:r>
            <w:r w:rsidR="00C75CF0">
              <w:rPr>
                <w:rFonts w:cs="Arial"/>
              </w:rPr>
              <w:t>a minor</w:t>
            </w:r>
            <w:r w:rsidR="00AC1097">
              <w:rPr>
                <w:rFonts w:cs="Arial"/>
              </w:rPr>
              <w:t xml:space="preserve"> release and, potentially, require additional funding above that allocated for a </w:t>
            </w:r>
            <w:r w:rsidR="00A41295">
              <w:rPr>
                <w:rFonts w:cs="Arial"/>
              </w:rPr>
              <w:t xml:space="preserve">minor release. Taking this into account and noting the additional wrap around support that is </w:t>
            </w:r>
            <w:r w:rsidR="001F212A">
              <w:rPr>
                <w:rFonts w:cs="Arial"/>
              </w:rPr>
              <w:t>included</w:t>
            </w:r>
            <w:r w:rsidR="00A300B0">
              <w:rPr>
                <w:rFonts w:cs="Arial"/>
              </w:rPr>
              <w:t xml:space="preserve"> as part of a larger release it is recommended that </w:t>
            </w:r>
            <w:r w:rsidR="001F212A">
              <w:rPr>
                <w:rFonts w:cs="Arial"/>
              </w:rPr>
              <w:t>the solution is delivered within a major release.</w:t>
            </w:r>
          </w:p>
          <w:p w14:paraId="56A95DA1" w14:textId="3A79D5D6" w:rsidR="001F212A" w:rsidRDefault="001F212A" w:rsidP="000953CC">
            <w:pPr>
              <w:jc w:val="both"/>
              <w:rPr>
                <w:rFonts w:cs="Arial"/>
              </w:rPr>
            </w:pPr>
          </w:p>
          <w:p w14:paraId="58E1AA53" w14:textId="1A7215BF" w:rsidR="009C46D0" w:rsidRDefault="00A653FF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 to the </w:t>
            </w:r>
            <w:r w:rsidR="00445DAA">
              <w:rPr>
                <w:rFonts w:cs="Arial"/>
              </w:rPr>
              <w:t xml:space="preserve">estimated </w:t>
            </w:r>
            <w:r>
              <w:rPr>
                <w:rFonts w:cs="Arial"/>
              </w:rPr>
              <w:t>delivery costs of the change</w:t>
            </w:r>
            <w:r w:rsidR="001A601A">
              <w:rPr>
                <w:rFonts w:cs="Arial"/>
              </w:rPr>
              <w:t xml:space="preserve">, £70k - £150k, there </w:t>
            </w:r>
            <w:r w:rsidR="0034277B">
              <w:rPr>
                <w:rFonts w:cs="Arial"/>
              </w:rPr>
              <w:t xml:space="preserve">is a potential impact to MTB costs. </w:t>
            </w:r>
            <w:r w:rsidR="00B807AF">
              <w:rPr>
                <w:rFonts w:cs="Arial"/>
              </w:rPr>
              <w:t>Th</w:t>
            </w:r>
            <w:r w:rsidR="004C0F82">
              <w:rPr>
                <w:rFonts w:cs="Arial"/>
              </w:rPr>
              <w:t xml:space="preserve">ese impacts will be confirmed during the detailed design phase and </w:t>
            </w:r>
            <w:r w:rsidR="00B807AF">
              <w:rPr>
                <w:rFonts w:cs="Arial"/>
              </w:rPr>
              <w:t xml:space="preserve">parties will be informed once the design has been </w:t>
            </w:r>
            <w:r w:rsidR="0099653C">
              <w:rPr>
                <w:rFonts w:cs="Arial"/>
              </w:rPr>
              <w:t>clarified.</w:t>
            </w:r>
          </w:p>
        </w:tc>
      </w:tr>
      <w:tr w:rsidR="009C46D0" w14:paraId="55A4ECC6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CF76BCE" w14:textId="77777777" w:rsidR="009C46D0" w:rsidRDefault="00DC631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>Implementation Date Solution Options:</w:t>
            </w:r>
          </w:p>
        </w:tc>
        <w:tc>
          <w:tcPr>
            <w:tcW w:w="3777" w:type="pct"/>
            <w:vAlign w:val="center"/>
          </w:tcPr>
          <w:p w14:paraId="6AEFBE7C" w14:textId="77777777" w:rsidR="009C46D0" w:rsidRDefault="009C46D0" w:rsidP="000953CC">
            <w:pPr>
              <w:jc w:val="both"/>
              <w:rPr>
                <w:rFonts w:cs="Arial"/>
              </w:rPr>
            </w:pPr>
          </w:p>
          <w:p w14:paraId="0A6B969B" w14:textId="73C47DB4" w:rsidR="009C46D0" w:rsidRDefault="00286C22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Based on the cross-architectural and business process impacts, for both the CDSP and, potentially, customers, it is our r</w:t>
            </w:r>
            <w:r w:rsidR="0078141D">
              <w:rPr>
                <w:rFonts w:cs="Arial"/>
              </w:rPr>
              <w:t xml:space="preserve">ecommendation </w:t>
            </w:r>
            <w:r>
              <w:rPr>
                <w:rFonts w:cs="Arial"/>
              </w:rPr>
              <w:t>that</w:t>
            </w:r>
            <w:r w:rsidR="00DC6312">
              <w:rPr>
                <w:rFonts w:cs="Arial"/>
              </w:rPr>
              <w:t xml:space="preserve"> delivery </w:t>
            </w:r>
            <w:r>
              <w:rPr>
                <w:rFonts w:cs="Arial"/>
              </w:rPr>
              <w:t xml:space="preserve">is completed </w:t>
            </w:r>
            <w:r w:rsidR="00DC6312">
              <w:rPr>
                <w:rFonts w:cs="Arial"/>
              </w:rPr>
              <w:t xml:space="preserve">within a Major Release, </w:t>
            </w:r>
            <w:r w:rsidR="0078141D">
              <w:rPr>
                <w:rFonts w:cs="Arial"/>
              </w:rPr>
              <w:t>potentially</w:t>
            </w:r>
            <w:r w:rsidR="00DC6312">
              <w:rPr>
                <w:rFonts w:cs="Arial"/>
              </w:rPr>
              <w:t xml:space="preserve"> </w:t>
            </w:r>
            <w:r w:rsidR="00E33E90">
              <w:rPr>
                <w:rFonts w:cs="Arial"/>
              </w:rPr>
              <w:t>November</w:t>
            </w:r>
            <w:r w:rsidR="00DC6312">
              <w:rPr>
                <w:rFonts w:cs="Arial"/>
              </w:rPr>
              <w:t xml:space="preserve"> 202</w:t>
            </w:r>
            <w:r w:rsidR="0078141D">
              <w:rPr>
                <w:rFonts w:cs="Arial"/>
              </w:rPr>
              <w:t>2</w:t>
            </w:r>
            <w:r w:rsidR="002B1BF6">
              <w:rPr>
                <w:rFonts w:cs="Arial"/>
              </w:rPr>
              <w:t>, subject to ChMC approval.</w:t>
            </w:r>
          </w:p>
          <w:p w14:paraId="5C7D8003" w14:textId="77777777" w:rsidR="009C46D0" w:rsidRDefault="009C46D0" w:rsidP="000953CC">
            <w:pPr>
              <w:jc w:val="both"/>
              <w:rPr>
                <w:rFonts w:cs="Arial"/>
              </w:rPr>
            </w:pPr>
          </w:p>
        </w:tc>
      </w:tr>
      <w:tr w:rsidR="009C46D0" w14:paraId="64856D21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31C412C" w14:textId="77777777" w:rsidR="009C46D0" w:rsidRDefault="00DC631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Xoserve preferred option:</w:t>
            </w:r>
          </w:p>
          <w:p w14:paraId="5DFCF545" w14:textId="77777777" w:rsidR="009C46D0" w:rsidRDefault="00DC631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(including rationale)</w:t>
            </w:r>
          </w:p>
        </w:tc>
        <w:tc>
          <w:tcPr>
            <w:tcW w:w="3777" w:type="pct"/>
            <w:vAlign w:val="center"/>
          </w:tcPr>
          <w:p w14:paraId="4C5A526D" w14:textId="77777777" w:rsidR="00C03381" w:rsidRDefault="00C03381" w:rsidP="000953CC">
            <w:pPr>
              <w:jc w:val="both"/>
              <w:rPr>
                <w:rFonts w:cs="Arial"/>
              </w:rPr>
            </w:pPr>
          </w:p>
          <w:p w14:paraId="33C5C7C1" w14:textId="7FD6D3B1" w:rsidR="0041788A" w:rsidRDefault="00B719F3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Single solution option that will deliver the requirements </w:t>
            </w:r>
            <w:r w:rsidR="00263949">
              <w:rPr>
                <w:rFonts w:cs="Arial"/>
              </w:rPr>
              <w:t xml:space="preserve">of the modification </w:t>
            </w:r>
            <w:r w:rsidR="00FC31D4">
              <w:rPr>
                <w:rFonts w:cs="Arial"/>
              </w:rPr>
              <w:t>utilising existing industry processes</w:t>
            </w:r>
          </w:p>
          <w:p w14:paraId="16F58895" w14:textId="77777777" w:rsidR="00C03381" w:rsidRDefault="00C03381" w:rsidP="000953CC">
            <w:pPr>
              <w:jc w:val="both"/>
              <w:rPr>
                <w:rFonts w:cs="Arial"/>
              </w:rPr>
            </w:pPr>
          </w:p>
        </w:tc>
      </w:tr>
      <w:tr w:rsidR="009C46D0" w14:paraId="0963194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DB8833F" w14:textId="77777777" w:rsidR="009C46D0" w:rsidRDefault="00DC631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DSG preferred solution option:</w:t>
            </w:r>
          </w:p>
          <w:p w14:paraId="5A8FF62E" w14:textId="77777777" w:rsidR="009C46D0" w:rsidRDefault="00DC631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(including rationale)</w:t>
            </w:r>
          </w:p>
        </w:tc>
        <w:tc>
          <w:tcPr>
            <w:tcW w:w="3777" w:type="pct"/>
            <w:vAlign w:val="center"/>
          </w:tcPr>
          <w:p w14:paraId="5FE42AEF" w14:textId="77777777" w:rsidR="00C03381" w:rsidRDefault="00C03381" w:rsidP="000953CC">
            <w:pPr>
              <w:jc w:val="both"/>
              <w:rPr>
                <w:rFonts w:cs="Arial"/>
              </w:rPr>
            </w:pPr>
          </w:p>
          <w:p w14:paraId="4F500610" w14:textId="05CA967E" w:rsidR="009C46D0" w:rsidRDefault="00C03381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solution</w:t>
            </w:r>
            <w:r w:rsidR="00F67ADB">
              <w:rPr>
                <w:rFonts w:cs="Arial"/>
              </w:rPr>
              <w:t xml:space="preserve"> option</w:t>
            </w:r>
            <w:r>
              <w:rPr>
                <w:rFonts w:cs="Arial"/>
              </w:rPr>
              <w:t xml:space="preserve"> w</w:t>
            </w:r>
            <w:r w:rsidR="00FC31D4">
              <w:rPr>
                <w:rFonts w:cs="Arial"/>
              </w:rPr>
              <w:t>ill be presented to</w:t>
            </w:r>
            <w:r w:rsidR="00DC6312">
              <w:rPr>
                <w:rFonts w:cs="Arial"/>
              </w:rPr>
              <w:t xml:space="preserve"> DSG </w:t>
            </w:r>
            <w:r w:rsidR="001F0ECC">
              <w:rPr>
                <w:rFonts w:cs="Arial"/>
              </w:rPr>
              <w:t>representatives at the meeting to be held 24</w:t>
            </w:r>
            <w:r w:rsidR="001F0ECC" w:rsidRPr="001F0ECC">
              <w:rPr>
                <w:rFonts w:cs="Arial"/>
                <w:vertAlign w:val="superscript"/>
              </w:rPr>
              <w:t>th</w:t>
            </w:r>
            <w:r w:rsidR="001F0ECC">
              <w:rPr>
                <w:rFonts w:cs="Arial"/>
              </w:rPr>
              <w:t xml:space="preserve"> January 2022.</w:t>
            </w:r>
          </w:p>
          <w:p w14:paraId="4C057B96" w14:textId="77777777" w:rsidR="00C03381" w:rsidRDefault="00C03381" w:rsidP="000953CC">
            <w:pPr>
              <w:jc w:val="both"/>
              <w:rPr>
                <w:rFonts w:cs="Arial"/>
              </w:rPr>
            </w:pPr>
          </w:p>
        </w:tc>
      </w:tr>
      <w:tr w:rsidR="009C46D0" w14:paraId="611D7FAB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9CDDFA9" w14:textId="77777777" w:rsidR="009C46D0" w:rsidRDefault="00DC631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>Consultation closeout:</w:t>
            </w:r>
          </w:p>
        </w:tc>
        <w:tc>
          <w:tcPr>
            <w:tcW w:w="3777" w:type="pct"/>
            <w:vAlign w:val="center"/>
          </w:tcPr>
          <w:p w14:paraId="2A0A1D94" w14:textId="279395B4" w:rsidR="009C46D0" w:rsidRDefault="009B4E2E" w:rsidP="000953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31/01/2022</w:t>
            </w:r>
          </w:p>
        </w:tc>
      </w:tr>
    </w:tbl>
    <w:p w14:paraId="43B7B935" w14:textId="77777777" w:rsidR="009C46D0" w:rsidRDefault="009C46D0"/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9C46D0" w14:paraId="5D8798F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A490A48" w14:textId="77777777" w:rsidR="009C46D0" w:rsidRDefault="00DC631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Impact on Service Line(s) and funding (A6) for each Solution Option:</w:t>
            </w:r>
          </w:p>
        </w:tc>
        <w:tc>
          <w:tcPr>
            <w:tcW w:w="3777" w:type="pct"/>
            <w:vAlign w:val="center"/>
          </w:tcPr>
          <w:p w14:paraId="5F1C58CD" w14:textId="4AF3452B" w:rsidR="009C46D0" w:rsidRPr="003E6619" w:rsidRDefault="003E6619">
            <w:pPr>
              <w:rPr>
                <w:rFonts w:cs="Arial"/>
              </w:rPr>
            </w:pPr>
            <w:r w:rsidRPr="003E6619">
              <w:rPr>
                <w:rFonts w:cs="Arial"/>
                <w:color w:val="242424"/>
                <w:szCs w:val="21"/>
                <w:shd w:val="clear" w:color="auto" w:fill="FFFFFF"/>
              </w:rPr>
              <w:t xml:space="preserve">DSC Service Area 1: </w:t>
            </w:r>
            <w:r w:rsidR="00EA1923" w:rsidRPr="00EA1923">
              <w:rPr>
                <w:rFonts w:cs="Arial"/>
                <w:color w:val="242424"/>
                <w:szCs w:val="21"/>
                <w:shd w:val="clear" w:color="auto" w:fill="FFFFFF"/>
              </w:rPr>
              <w:t>Manage Shipper Transfers</w:t>
            </w:r>
            <w:bookmarkStart w:id="0" w:name="_GoBack"/>
            <w:bookmarkEnd w:id="0"/>
            <w:r w:rsidRPr="003E6619">
              <w:rPr>
                <w:rFonts w:cs="Arial"/>
                <w:color w:val="242424"/>
                <w:szCs w:val="21"/>
              </w:rPr>
              <w:br/>
            </w:r>
            <w:r w:rsidRPr="003E6619">
              <w:rPr>
                <w:rFonts w:cs="Arial"/>
                <w:color w:val="242424"/>
                <w:szCs w:val="21"/>
                <w:shd w:val="clear" w:color="auto" w:fill="FFFFFF"/>
              </w:rPr>
              <w:t>Xoserve expects that a new service line will be required to cover</w:t>
            </w:r>
            <w:r w:rsidRPr="003E6619">
              <w:rPr>
                <w:rFonts w:cs="Arial"/>
                <w:color w:val="242424"/>
                <w:szCs w:val="21"/>
              </w:rPr>
              <w:br/>
            </w:r>
            <w:r w:rsidRPr="003E6619">
              <w:rPr>
                <w:rFonts w:cs="Arial"/>
                <w:color w:val="242424"/>
                <w:szCs w:val="21"/>
                <w:shd w:val="clear" w:color="auto" w:fill="FFFFFF"/>
              </w:rPr>
              <w:t>this obligation.</w:t>
            </w:r>
          </w:p>
        </w:tc>
      </w:tr>
    </w:tbl>
    <w:p w14:paraId="36055763" w14:textId="77777777" w:rsidR="009C46D0" w:rsidRDefault="00DC6312">
      <w:r>
        <w:br w:type="page"/>
      </w:r>
    </w:p>
    <w:p w14:paraId="763E3686" w14:textId="77777777" w:rsidR="008D01DE" w:rsidRPr="00675C01" w:rsidRDefault="008D01DE" w:rsidP="008D01DE">
      <w:pPr>
        <w:pBdr>
          <w:bottom w:val="single" w:sz="8" w:space="4" w:color="3E5AA8"/>
        </w:pBdr>
        <w:spacing w:after="300" w:line="240" w:lineRule="auto"/>
        <w:contextualSpacing/>
        <w:rPr>
          <w:b/>
          <w:color w:val="1D3E61"/>
          <w:spacing w:val="5"/>
          <w:kern w:val="28"/>
          <w:sz w:val="52"/>
          <w:szCs w:val="52"/>
        </w:rPr>
      </w:pPr>
      <w:r w:rsidRPr="00675C01">
        <w:rPr>
          <w:b/>
          <w:color w:val="1D3E61"/>
          <w:spacing w:val="5"/>
          <w:kern w:val="28"/>
          <w:sz w:val="52"/>
          <w:szCs w:val="52"/>
        </w:rPr>
        <w:lastRenderedPageBreak/>
        <w:t>Section E: Industry Response Solution Options Review</w:t>
      </w:r>
    </w:p>
    <w:p w14:paraId="4BBEA53F" w14:textId="77777777" w:rsidR="008D01DE" w:rsidRDefault="008D01DE" w:rsidP="008D01DE"/>
    <w:p w14:paraId="6BD63162" w14:textId="77777777" w:rsidR="008D01DE" w:rsidRPr="00675C01" w:rsidRDefault="004856DA" w:rsidP="008D01DE">
      <w:fldSimple w:instr=" MERGEFIELD  RangeStart:EDS  \* MERGEFORMAT ">
        <w:r w:rsidR="008D01DE" w:rsidRPr="00675C01">
          <w:t>«RangeStart:EDS»</w:t>
        </w:r>
      </w:fldSimple>
    </w:p>
    <w:p w14:paraId="21400403" w14:textId="77777777" w:rsidR="00F92A45" w:rsidRDefault="00F92A45" w:rsidP="00F92A45">
      <w:pPr>
        <w:pStyle w:val="Heading1"/>
        <w:rPr>
          <w:rFonts w:eastAsiaTheme="minorEastAsia" w:cstheme="minorBidi"/>
          <w:i/>
          <w:color w:val="auto"/>
          <w:sz w:val="22"/>
          <w:szCs w:val="22"/>
        </w:rPr>
      </w:pPr>
      <w:r>
        <w:rPr>
          <w:rFonts w:eastAsiaTheme="minorEastAsia" w:cstheme="minorBidi"/>
          <w:bCs w:val="0"/>
          <w:i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13317218" w14:textId="77777777" w:rsidR="008D01DE" w:rsidRPr="00675C01" w:rsidRDefault="008D01DE" w:rsidP="008D01DE">
      <w:pPr>
        <w:keepNext/>
        <w:keepLines/>
        <w:spacing w:before="480" w:after="0"/>
        <w:outlineLvl w:val="0"/>
        <w:rPr>
          <w:b/>
          <w:bCs/>
          <w:color w:val="3E5AA8"/>
          <w:sz w:val="28"/>
          <w:szCs w:val="28"/>
        </w:rPr>
      </w:pPr>
      <w:r w:rsidRPr="00675C01">
        <w:rPr>
          <w:b/>
          <w:bCs/>
          <w:color w:val="3E5AA8"/>
          <w:sz w:val="28"/>
          <w:szCs w:val="28"/>
        </w:rPr>
        <w:t>E1: Organisation’s preferred solution option</w:t>
      </w:r>
    </w:p>
    <w:tbl>
      <w:tblPr>
        <w:tblStyle w:val="TableGrid2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4"/>
        <w:gridCol w:w="1659"/>
        <w:gridCol w:w="5175"/>
      </w:tblGrid>
      <w:tr w:rsidR="008D01DE" w:rsidRPr="00675C01" w14:paraId="51DF86ED" w14:textId="77777777" w:rsidTr="00012E1B">
        <w:trPr>
          <w:trHeight w:val="403"/>
        </w:trPr>
        <w:tc>
          <w:tcPr>
            <w:tcW w:w="1223" w:type="pct"/>
            <w:vMerge w:val="restart"/>
            <w:shd w:val="clear" w:color="auto" w:fill="B2ECFB"/>
            <w:vAlign w:val="center"/>
          </w:tcPr>
          <w:p w14:paraId="6AF2AF00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t>User Contact Details:</w:t>
            </w:r>
          </w:p>
        </w:tc>
        <w:tc>
          <w:tcPr>
            <w:tcW w:w="917" w:type="pct"/>
            <w:shd w:val="clear" w:color="auto" w:fill="B2ECFB"/>
            <w:vAlign w:val="center"/>
          </w:tcPr>
          <w:p w14:paraId="7B307A3F" w14:textId="77777777" w:rsidR="008D01DE" w:rsidRPr="00675C01" w:rsidRDefault="008D01DE" w:rsidP="00012E1B">
            <w:pPr>
              <w:jc w:val="right"/>
              <w:rPr>
                <w:rFonts w:cs="Arial"/>
              </w:rPr>
            </w:pPr>
            <w:r w:rsidRPr="00675C01">
              <w:rPr>
                <w:rFonts w:cs="Arial"/>
              </w:rPr>
              <w:t>Organisation:</w:t>
            </w:r>
          </w:p>
        </w:tc>
        <w:tc>
          <w:tcPr>
            <w:tcW w:w="2860" w:type="pct"/>
            <w:vAlign w:val="center"/>
          </w:tcPr>
          <w:p w14:paraId="0DCECEC8" w14:textId="77777777" w:rsidR="008D01DE" w:rsidRPr="00675C01" w:rsidRDefault="008D01DE" w:rsidP="00012E1B">
            <w:pPr>
              <w:rPr>
                <w:rFonts w:cs="Arial"/>
              </w:rPr>
            </w:pPr>
            <w:r w:rsidRPr="00675C01">
              <w:rPr>
                <w:rFonts w:cs="Arial"/>
              </w:rPr>
              <w:fldChar w:fldCharType="begin"/>
            </w:r>
            <w:r w:rsidRPr="00675C01">
              <w:rPr>
                <w:rFonts w:cs="Arial"/>
              </w:rPr>
              <w:instrText xml:space="preserve"> MERGEFIELD  e1_organisation  \* MERGEFORMAT </w:instrText>
            </w:r>
            <w:r w:rsidRPr="00675C01">
              <w:rPr>
                <w:rFonts w:cs="Arial"/>
              </w:rPr>
              <w:fldChar w:fldCharType="separate"/>
            </w:r>
            <w:r w:rsidRPr="00675C01">
              <w:rPr>
                <w:rFonts w:cs="Arial"/>
                <w:noProof/>
              </w:rPr>
              <w:t>«e1_organisation»</w:t>
            </w:r>
            <w:r w:rsidRPr="00675C01">
              <w:rPr>
                <w:rFonts w:cs="Arial"/>
              </w:rPr>
              <w:fldChar w:fldCharType="end"/>
            </w:r>
          </w:p>
        </w:tc>
      </w:tr>
      <w:tr w:rsidR="008D01DE" w:rsidRPr="00675C01" w14:paraId="129F1213" w14:textId="77777777" w:rsidTr="00012E1B">
        <w:trPr>
          <w:trHeight w:val="403"/>
        </w:trPr>
        <w:tc>
          <w:tcPr>
            <w:tcW w:w="1223" w:type="pct"/>
            <w:vMerge/>
            <w:shd w:val="clear" w:color="auto" w:fill="B2ECFB"/>
            <w:vAlign w:val="center"/>
          </w:tcPr>
          <w:p w14:paraId="07481BC0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17" w:type="pct"/>
            <w:shd w:val="clear" w:color="auto" w:fill="B2ECFB"/>
            <w:vAlign w:val="center"/>
          </w:tcPr>
          <w:p w14:paraId="745D4C92" w14:textId="77777777" w:rsidR="008D01DE" w:rsidRPr="00675C01" w:rsidRDefault="008D01DE" w:rsidP="00012E1B">
            <w:pPr>
              <w:jc w:val="right"/>
              <w:rPr>
                <w:rFonts w:cs="Arial"/>
              </w:rPr>
            </w:pPr>
            <w:r w:rsidRPr="00675C01">
              <w:rPr>
                <w:rFonts w:cs="Arial"/>
              </w:rPr>
              <w:t>Name:</w:t>
            </w:r>
          </w:p>
        </w:tc>
        <w:tc>
          <w:tcPr>
            <w:tcW w:w="2860" w:type="pct"/>
            <w:vAlign w:val="center"/>
          </w:tcPr>
          <w:p w14:paraId="3A4F633E" w14:textId="77777777" w:rsidR="008D01DE" w:rsidRPr="00675C01" w:rsidRDefault="008D01DE" w:rsidP="00012E1B">
            <w:pPr>
              <w:rPr>
                <w:rFonts w:cs="Arial"/>
              </w:rPr>
            </w:pPr>
            <w:r w:rsidRPr="00675C01">
              <w:rPr>
                <w:rFonts w:cs="Arial"/>
              </w:rPr>
              <w:fldChar w:fldCharType="begin"/>
            </w:r>
            <w:r w:rsidRPr="00675C01">
              <w:rPr>
                <w:rFonts w:cs="Arial"/>
              </w:rPr>
              <w:instrText xml:space="preserve"> MERGEFIELD  e1_name  \* MERGEFORMAT </w:instrText>
            </w:r>
            <w:r w:rsidRPr="00675C01">
              <w:rPr>
                <w:rFonts w:cs="Arial"/>
              </w:rPr>
              <w:fldChar w:fldCharType="separate"/>
            </w:r>
            <w:r w:rsidRPr="00675C01">
              <w:rPr>
                <w:rFonts w:cs="Arial"/>
                <w:noProof/>
              </w:rPr>
              <w:t>«e1_name»</w:t>
            </w:r>
            <w:r w:rsidRPr="00675C01">
              <w:rPr>
                <w:rFonts w:cs="Arial"/>
              </w:rPr>
              <w:fldChar w:fldCharType="end"/>
            </w:r>
          </w:p>
        </w:tc>
      </w:tr>
      <w:tr w:rsidR="008D01DE" w:rsidRPr="00675C01" w14:paraId="74769EBC" w14:textId="77777777" w:rsidTr="00012E1B">
        <w:trPr>
          <w:trHeight w:val="403"/>
        </w:trPr>
        <w:tc>
          <w:tcPr>
            <w:tcW w:w="1223" w:type="pct"/>
            <w:vMerge/>
            <w:shd w:val="clear" w:color="auto" w:fill="B2ECFB"/>
            <w:vAlign w:val="center"/>
          </w:tcPr>
          <w:p w14:paraId="7B85207D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17" w:type="pct"/>
            <w:shd w:val="clear" w:color="auto" w:fill="B2ECFB"/>
            <w:vAlign w:val="center"/>
          </w:tcPr>
          <w:p w14:paraId="3D3C6774" w14:textId="77777777" w:rsidR="008D01DE" w:rsidRPr="00675C01" w:rsidRDefault="008D01DE" w:rsidP="00012E1B">
            <w:pPr>
              <w:jc w:val="right"/>
              <w:rPr>
                <w:rFonts w:cs="Arial"/>
              </w:rPr>
            </w:pPr>
            <w:r w:rsidRPr="00675C01">
              <w:rPr>
                <w:rFonts w:cs="Arial"/>
              </w:rPr>
              <w:t>Email:</w:t>
            </w:r>
          </w:p>
        </w:tc>
        <w:tc>
          <w:tcPr>
            <w:tcW w:w="2860" w:type="pct"/>
            <w:vAlign w:val="center"/>
          </w:tcPr>
          <w:p w14:paraId="51599359" w14:textId="77777777" w:rsidR="008D01DE" w:rsidRPr="00675C01" w:rsidRDefault="008D01DE" w:rsidP="00012E1B">
            <w:pPr>
              <w:rPr>
                <w:rFonts w:cs="Arial"/>
              </w:rPr>
            </w:pPr>
            <w:r w:rsidRPr="00675C01">
              <w:rPr>
                <w:rFonts w:cs="Arial"/>
              </w:rPr>
              <w:fldChar w:fldCharType="begin"/>
            </w:r>
            <w:r w:rsidRPr="00675C01">
              <w:rPr>
                <w:rFonts w:cs="Arial"/>
              </w:rPr>
              <w:instrText xml:space="preserve"> MERGEFIELD  e1_email  \* MERGEFORMAT </w:instrText>
            </w:r>
            <w:r w:rsidRPr="00675C01">
              <w:rPr>
                <w:rFonts w:cs="Arial"/>
              </w:rPr>
              <w:fldChar w:fldCharType="separate"/>
            </w:r>
            <w:r w:rsidRPr="00675C01">
              <w:rPr>
                <w:rFonts w:cs="Arial"/>
                <w:noProof/>
              </w:rPr>
              <w:t>«e1_email»</w:t>
            </w:r>
            <w:r w:rsidRPr="00675C01">
              <w:rPr>
                <w:rFonts w:cs="Arial"/>
              </w:rPr>
              <w:fldChar w:fldCharType="end"/>
            </w:r>
          </w:p>
        </w:tc>
      </w:tr>
      <w:tr w:rsidR="008D01DE" w:rsidRPr="00675C01" w14:paraId="1333CFEF" w14:textId="77777777" w:rsidTr="00012E1B">
        <w:trPr>
          <w:trHeight w:val="403"/>
        </w:trPr>
        <w:tc>
          <w:tcPr>
            <w:tcW w:w="1223" w:type="pct"/>
            <w:vMerge/>
            <w:shd w:val="clear" w:color="auto" w:fill="B2ECFB"/>
            <w:vAlign w:val="center"/>
          </w:tcPr>
          <w:p w14:paraId="05B49799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17" w:type="pct"/>
            <w:shd w:val="clear" w:color="auto" w:fill="B2ECFB"/>
            <w:vAlign w:val="center"/>
          </w:tcPr>
          <w:p w14:paraId="7C288173" w14:textId="77777777" w:rsidR="008D01DE" w:rsidRPr="00675C01" w:rsidRDefault="008D01DE" w:rsidP="00012E1B">
            <w:pPr>
              <w:jc w:val="right"/>
              <w:rPr>
                <w:rFonts w:cs="Arial"/>
              </w:rPr>
            </w:pPr>
            <w:r w:rsidRPr="00675C01">
              <w:rPr>
                <w:rFonts w:cs="Arial"/>
              </w:rPr>
              <w:t>Telephone:</w:t>
            </w:r>
          </w:p>
        </w:tc>
        <w:tc>
          <w:tcPr>
            <w:tcW w:w="2860" w:type="pct"/>
            <w:vAlign w:val="center"/>
          </w:tcPr>
          <w:p w14:paraId="38FB13CF" w14:textId="77777777" w:rsidR="008D01DE" w:rsidRPr="00675C01" w:rsidRDefault="008D01DE" w:rsidP="00012E1B">
            <w:pPr>
              <w:rPr>
                <w:rFonts w:cs="Arial"/>
              </w:rPr>
            </w:pPr>
            <w:r w:rsidRPr="00675C01">
              <w:rPr>
                <w:rFonts w:cs="Arial"/>
              </w:rPr>
              <w:fldChar w:fldCharType="begin"/>
            </w:r>
            <w:r w:rsidRPr="00675C01">
              <w:rPr>
                <w:rFonts w:cs="Arial"/>
              </w:rPr>
              <w:instrText xml:space="preserve"> MERGEFIELD  e1_telephone  \* MERGEFORMAT </w:instrText>
            </w:r>
            <w:r w:rsidRPr="00675C01">
              <w:rPr>
                <w:rFonts w:cs="Arial"/>
              </w:rPr>
              <w:fldChar w:fldCharType="separate"/>
            </w:r>
            <w:r w:rsidRPr="00675C01">
              <w:rPr>
                <w:rFonts w:cs="Arial"/>
                <w:noProof/>
              </w:rPr>
              <w:t>«e1_telephone»</w:t>
            </w:r>
            <w:r w:rsidRPr="00675C01">
              <w:rPr>
                <w:rFonts w:cs="Arial"/>
              </w:rPr>
              <w:fldChar w:fldCharType="end"/>
            </w:r>
          </w:p>
        </w:tc>
      </w:tr>
      <w:tr w:rsidR="008D01DE" w:rsidRPr="00675C01" w14:paraId="0E7F4490" w14:textId="77777777" w:rsidTr="00012E1B">
        <w:trPr>
          <w:trHeight w:val="1137"/>
        </w:trPr>
        <w:tc>
          <w:tcPr>
            <w:tcW w:w="1223" w:type="pct"/>
            <w:shd w:val="clear" w:color="auto" w:fill="B2ECFB"/>
            <w:vAlign w:val="center"/>
          </w:tcPr>
          <w:p w14:paraId="45BCAE3C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t xml:space="preserve">Organisation’s preferred solution option, including rationale </w:t>
            </w:r>
            <w:proofErr w:type="gramStart"/>
            <w:r w:rsidRPr="00675C01">
              <w:rPr>
                <w:rFonts w:cs="Arial"/>
                <w:szCs w:val="20"/>
              </w:rPr>
              <w:t>taking into account</w:t>
            </w:r>
            <w:proofErr w:type="gramEnd"/>
            <w:r w:rsidRPr="00675C01">
              <w:rPr>
                <w:rFonts w:cs="Arial"/>
                <w:szCs w:val="20"/>
              </w:rPr>
              <w:t xml:space="preserve"> costs, risks, resource etc.</w:t>
            </w:r>
          </w:p>
        </w:tc>
        <w:tc>
          <w:tcPr>
            <w:tcW w:w="3777" w:type="pct"/>
            <w:gridSpan w:val="2"/>
            <w:vAlign w:val="center"/>
          </w:tcPr>
          <w:p w14:paraId="7275064A" w14:textId="77777777" w:rsidR="008D01DE" w:rsidRPr="00675C01" w:rsidRDefault="008D01DE" w:rsidP="00012E1B">
            <w:pPr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fldChar w:fldCharType="begin"/>
            </w:r>
            <w:r w:rsidRPr="00675C01">
              <w:rPr>
                <w:rFonts w:cs="Arial"/>
                <w:szCs w:val="20"/>
              </w:rPr>
              <w:instrText xml:space="preserve"> MERGEFIELD  e1_preferredSolutionOption  \* MERGEFORMAT </w:instrText>
            </w:r>
            <w:r w:rsidRPr="00675C01">
              <w:rPr>
                <w:rFonts w:cs="Arial"/>
                <w:szCs w:val="20"/>
              </w:rPr>
              <w:fldChar w:fldCharType="separate"/>
            </w:r>
            <w:r w:rsidRPr="00675C01">
              <w:rPr>
                <w:rFonts w:cs="Arial"/>
                <w:noProof/>
                <w:szCs w:val="20"/>
              </w:rPr>
              <w:t>«e1_preferredSolutionOption»</w:t>
            </w:r>
            <w:r w:rsidRPr="00675C01">
              <w:rPr>
                <w:rFonts w:cs="Arial"/>
                <w:szCs w:val="20"/>
              </w:rPr>
              <w:fldChar w:fldCharType="end"/>
            </w:r>
          </w:p>
        </w:tc>
      </w:tr>
      <w:tr w:rsidR="008D01DE" w:rsidRPr="00675C01" w14:paraId="6EAE939C" w14:textId="77777777" w:rsidTr="00012E1B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43760F92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t>Implementation Date:</w:t>
            </w:r>
          </w:p>
        </w:tc>
        <w:tc>
          <w:tcPr>
            <w:tcW w:w="3777" w:type="pct"/>
            <w:gridSpan w:val="2"/>
            <w:vAlign w:val="center"/>
          </w:tcPr>
          <w:p w14:paraId="234023EA" w14:textId="77777777" w:rsidR="008D01DE" w:rsidRPr="00675C01" w:rsidRDefault="008D01DE" w:rsidP="00012E1B">
            <w:pPr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fldChar w:fldCharType="begin"/>
            </w:r>
            <w:r w:rsidRPr="00675C01">
              <w:rPr>
                <w:rFonts w:cs="Arial"/>
                <w:szCs w:val="20"/>
              </w:rPr>
              <w:instrText xml:space="preserve"> MERGEFIELD  e1_implementationDate  \* MERGEFORMAT </w:instrText>
            </w:r>
            <w:r w:rsidRPr="00675C01">
              <w:rPr>
                <w:rFonts w:cs="Arial"/>
                <w:szCs w:val="20"/>
              </w:rPr>
              <w:fldChar w:fldCharType="separate"/>
            </w:r>
            <w:r w:rsidRPr="00675C01">
              <w:rPr>
                <w:rFonts w:cs="Arial"/>
                <w:noProof/>
                <w:szCs w:val="20"/>
              </w:rPr>
              <w:t>«e1_implementationDate»</w:t>
            </w:r>
            <w:r w:rsidRPr="00675C01">
              <w:rPr>
                <w:rFonts w:cs="Arial"/>
                <w:szCs w:val="20"/>
              </w:rPr>
              <w:fldChar w:fldCharType="end"/>
            </w:r>
          </w:p>
        </w:tc>
      </w:tr>
      <w:tr w:rsidR="008D01DE" w:rsidRPr="00675C01" w14:paraId="0D3F6651" w14:textId="77777777" w:rsidTr="00012E1B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3A61AC14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t>Xoserve preferred solution option:</w:t>
            </w:r>
          </w:p>
        </w:tc>
        <w:tc>
          <w:tcPr>
            <w:tcW w:w="3777" w:type="pct"/>
            <w:gridSpan w:val="2"/>
            <w:vAlign w:val="center"/>
          </w:tcPr>
          <w:p w14:paraId="50133E07" w14:textId="77777777" w:rsidR="008D01DE" w:rsidRPr="00675C01" w:rsidRDefault="008D01DE" w:rsidP="00012E1B">
            <w:pPr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fldChar w:fldCharType="begin"/>
            </w:r>
            <w:r w:rsidRPr="00675C01">
              <w:rPr>
                <w:rFonts w:cs="Arial"/>
                <w:szCs w:val="20"/>
              </w:rPr>
              <w:instrText xml:space="preserve"> MERGEFIELD  e1_xoserveSolutionOption  \* MERGEFORMAT </w:instrText>
            </w:r>
            <w:r w:rsidRPr="00675C01">
              <w:rPr>
                <w:rFonts w:cs="Arial"/>
                <w:szCs w:val="20"/>
              </w:rPr>
              <w:fldChar w:fldCharType="separate"/>
            </w:r>
            <w:r w:rsidRPr="00675C01">
              <w:rPr>
                <w:rFonts w:cs="Arial"/>
                <w:noProof/>
                <w:szCs w:val="20"/>
              </w:rPr>
              <w:t>«e1_xoserveSolutionOption»</w:t>
            </w:r>
            <w:r w:rsidRPr="00675C01">
              <w:rPr>
                <w:rFonts w:cs="Arial"/>
                <w:szCs w:val="20"/>
              </w:rPr>
              <w:fldChar w:fldCharType="end"/>
            </w:r>
          </w:p>
        </w:tc>
      </w:tr>
      <w:tr w:rsidR="008D01DE" w:rsidRPr="00675C01" w14:paraId="06B78918" w14:textId="77777777" w:rsidTr="00012E1B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5444E7BF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t>DSG preferred solution option:</w:t>
            </w:r>
          </w:p>
        </w:tc>
        <w:tc>
          <w:tcPr>
            <w:tcW w:w="3777" w:type="pct"/>
            <w:gridSpan w:val="2"/>
            <w:vAlign w:val="center"/>
          </w:tcPr>
          <w:p w14:paraId="727B7EAC" w14:textId="77777777" w:rsidR="008D01DE" w:rsidRPr="00675C01" w:rsidRDefault="008D01DE" w:rsidP="00012E1B">
            <w:pPr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fldChar w:fldCharType="begin"/>
            </w:r>
            <w:r w:rsidRPr="00675C01">
              <w:rPr>
                <w:rFonts w:cs="Arial"/>
                <w:szCs w:val="20"/>
              </w:rPr>
              <w:instrText xml:space="preserve"> MERGEFIELD  e1_dsgSolutionOption  \* MERGEFORMAT </w:instrText>
            </w:r>
            <w:r w:rsidRPr="00675C01">
              <w:rPr>
                <w:rFonts w:cs="Arial"/>
                <w:szCs w:val="20"/>
              </w:rPr>
              <w:fldChar w:fldCharType="separate"/>
            </w:r>
            <w:r w:rsidRPr="00675C01">
              <w:rPr>
                <w:rFonts w:cs="Arial"/>
                <w:noProof/>
                <w:szCs w:val="20"/>
              </w:rPr>
              <w:t>«e1_dsgSolutionOption»</w:t>
            </w:r>
            <w:r w:rsidRPr="00675C01">
              <w:rPr>
                <w:rFonts w:cs="Arial"/>
                <w:szCs w:val="20"/>
              </w:rPr>
              <w:fldChar w:fldCharType="end"/>
            </w:r>
          </w:p>
        </w:tc>
      </w:tr>
      <w:tr w:rsidR="008D01DE" w:rsidRPr="00675C01" w14:paraId="62B3DB32" w14:textId="77777777" w:rsidTr="00012E1B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4A1313E4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t>Publication of consultation response:</w:t>
            </w:r>
          </w:p>
        </w:tc>
        <w:tc>
          <w:tcPr>
            <w:tcW w:w="3777" w:type="pct"/>
            <w:gridSpan w:val="2"/>
            <w:vAlign w:val="center"/>
          </w:tcPr>
          <w:p w14:paraId="58EEF82E" w14:textId="77777777" w:rsidR="008D01DE" w:rsidRPr="00675C01" w:rsidRDefault="008D01DE" w:rsidP="00012E1B">
            <w:pPr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t>N/A</w:t>
            </w:r>
          </w:p>
        </w:tc>
      </w:tr>
    </w:tbl>
    <w:p w14:paraId="28ECE8E1" w14:textId="77777777" w:rsidR="008D01DE" w:rsidRPr="00675C01" w:rsidRDefault="008D01DE" w:rsidP="008D01DE">
      <w:pPr>
        <w:keepNext/>
        <w:keepLines/>
        <w:spacing w:before="480" w:after="0"/>
        <w:outlineLvl w:val="0"/>
        <w:rPr>
          <w:b/>
          <w:bCs/>
          <w:color w:val="3E5AA8"/>
          <w:sz w:val="28"/>
          <w:szCs w:val="28"/>
        </w:rPr>
      </w:pPr>
      <w:r w:rsidRPr="00675C01">
        <w:rPr>
          <w:b/>
          <w:bCs/>
          <w:color w:val="3E5AA8"/>
          <w:sz w:val="28"/>
          <w:szCs w:val="28"/>
        </w:rPr>
        <w:t xml:space="preserve">E2: Xoserve’ s Response </w:t>
      </w:r>
    </w:p>
    <w:tbl>
      <w:tblPr>
        <w:tblStyle w:val="TableGrid2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8D01DE" w:rsidRPr="00675C01" w14:paraId="7B8D5BAF" w14:textId="77777777" w:rsidTr="00012E1B">
        <w:trPr>
          <w:trHeight w:val="663"/>
        </w:trPr>
        <w:tc>
          <w:tcPr>
            <w:tcW w:w="1223" w:type="pct"/>
            <w:shd w:val="clear" w:color="auto" w:fill="B2ECFB"/>
            <w:vAlign w:val="center"/>
          </w:tcPr>
          <w:p w14:paraId="23AEBFCE" w14:textId="77777777" w:rsidR="008D01DE" w:rsidRPr="00675C01" w:rsidRDefault="008D01DE" w:rsidP="00012E1B">
            <w:pPr>
              <w:jc w:val="right"/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t>Xoserve Response to Organisations Comments:</w:t>
            </w:r>
          </w:p>
        </w:tc>
        <w:tc>
          <w:tcPr>
            <w:tcW w:w="3777" w:type="pct"/>
            <w:vAlign w:val="center"/>
          </w:tcPr>
          <w:p w14:paraId="020100EE" w14:textId="77777777" w:rsidR="008D01DE" w:rsidRPr="00675C01" w:rsidRDefault="008D01DE" w:rsidP="00012E1B">
            <w:pPr>
              <w:rPr>
                <w:rFonts w:cs="Arial"/>
                <w:szCs w:val="20"/>
              </w:rPr>
            </w:pPr>
            <w:r w:rsidRPr="00675C01">
              <w:rPr>
                <w:rFonts w:cs="Arial"/>
                <w:szCs w:val="20"/>
              </w:rPr>
              <w:fldChar w:fldCharType="begin"/>
            </w:r>
            <w:r w:rsidRPr="00675C01">
              <w:rPr>
                <w:rFonts w:cs="Arial"/>
                <w:szCs w:val="20"/>
              </w:rPr>
              <w:instrText xml:space="preserve"> MERGEFIELD  e2_xoserveResponse  \* MERGEFORMAT </w:instrText>
            </w:r>
            <w:r w:rsidRPr="00675C01">
              <w:rPr>
                <w:rFonts w:cs="Arial"/>
                <w:szCs w:val="20"/>
              </w:rPr>
              <w:fldChar w:fldCharType="separate"/>
            </w:r>
            <w:r w:rsidRPr="00675C01">
              <w:rPr>
                <w:rFonts w:cs="Arial"/>
                <w:noProof/>
                <w:szCs w:val="20"/>
              </w:rPr>
              <w:t>«e2_xoserveResponse»</w:t>
            </w:r>
            <w:r w:rsidRPr="00675C01">
              <w:rPr>
                <w:rFonts w:cs="Arial"/>
                <w:szCs w:val="20"/>
              </w:rPr>
              <w:fldChar w:fldCharType="end"/>
            </w:r>
          </w:p>
        </w:tc>
      </w:tr>
    </w:tbl>
    <w:p w14:paraId="790355BD" w14:textId="77777777" w:rsidR="008D01DE" w:rsidRPr="00675C01" w:rsidRDefault="008D01DE" w:rsidP="008D01DE"/>
    <w:p w14:paraId="0FFD2CAC" w14:textId="77777777" w:rsidR="008D01DE" w:rsidRPr="00675C01" w:rsidRDefault="008D01DE" w:rsidP="008D01DE">
      <w:r w:rsidRPr="00675C01">
        <w:rPr>
          <w:noProof/>
        </w:rPr>
        <w:fldChar w:fldCharType="begin"/>
      </w:r>
      <w:r w:rsidRPr="00675C01">
        <w:rPr>
          <w:noProof/>
        </w:rPr>
        <w:instrText xml:space="preserve"> MERGEFIELD  RangeEnd:EDS  \* MERGEFORMAT </w:instrText>
      </w:r>
      <w:r w:rsidRPr="00675C01">
        <w:rPr>
          <w:noProof/>
        </w:rPr>
        <w:fldChar w:fldCharType="separate"/>
      </w:r>
      <w:r w:rsidRPr="00675C01">
        <w:rPr>
          <w:noProof/>
        </w:rPr>
        <w:t>«RangeEnd:EDS»</w:t>
      </w:r>
      <w:r w:rsidRPr="00675C01">
        <w:rPr>
          <w:noProof/>
        </w:rPr>
        <w:fldChar w:fldCharType="end"/>
      </w:r>
    </w:p>
    <w:p w14:paraId="019958FB" w14:textId="77777777" w:rsidR="009C46D0" w:rsidRDefault="009C46D0"/>
    <w:sectPr w:rsidR="009C46D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885B" w14:textId="77777777" w:rsidR="004856DA" w:rsidRDefault="004856DA">
      <w:pPr>
        <w:spacing w:after="0" w:line="240" w:lineRule="auto"/>
      </w:pPr>
      <w:r>
        <w:separator/>
      </w:r>
    </w:p>
  </w:endnote>
  <w:endnote w:type="continuationSeparator" w:id="0">
    <w:p w14:paraId="6D0B84DB" w14:textId="77777777" w:rsidR="004856DA" w:rsidRDefault="004856DA">
      <w:pPr>
        <w:spacing w:after="0" w:line="240" w:lineRule="auto"/>
      </w:pPr>
      <w:r>
        <w:continuationSeparator/>
      </w:r>
    </w:p>
  </w:endnote>
  <w:endnote w:type="continuationNotice" w:id="1">
    <w:p w14:paraId="5E73E847" w14:textId="77777777" w:rsidR="004856DA" w:rsidRDefault="00485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99DD5" w14:textId="77777777" w:rsidR="009C46D0" w:rsidRDefault="00DC6312">
    <w:pPr>
      <w:pStyle w:val="Footer"/>
    </w:pPr>
    <w:r>
      <w:t>CP_V7.0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26E89E" wp14:editId="6EB6A1C1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4" name="drawingObject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3749CC36" id="drawingObject4" o:spid="_x0000_s1026" style="position:absolute;margin-left:-1in;margin-top:29.65pt;width:595.5pt;height:20.25pt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" fillcolor="#40d1f5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30EE3" w14:textId="77777777" w:rsidR="004856DA" w:rsidRDefault="004856DA">
      <w:pPr>
        <w:spacing w:after="0" w:line="240" w:lineRule="auto"/>
      </w:pPr>
      <w:r>
        <w:separator/>
      </w:r>
    </w:p>
  </w:footnote>
  <w:footnote w:type="continuationSeparator" w:id="0">
    <w:p w14:paraId="70CF1133" w14:textId="77777777" w:rsidR="004856DA" w:rsidRDefault="004856DA">
      <w:pPr>
        <w:spacing w:after="0" w:line="240" w:lineRule="auto"/>
      </w:pPr>
      <w:r>
        <w:continuationSeparator/>
      </w:r>
    </w:p>
  </w:footnote>
  <w:footnote w:type="continuationNotice" w:id="1">
    <w:p w14:paraId="225E4D7A" w14:textId="77777777" w:rsidR="004856DA" w:rsidRDefault="00485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87DF" w14:textId="77777777" w:rsidR="009C46D0" w:rsidRDefault="00DC631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920974D" wp14:editId="12592258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1" name="drawingObjec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873462" wp14:editId="5DF13FBC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3" name="drawingObject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5A2C0B78" id="drawingObject3" o:spid="_x0000_s1026" style="position:absolute;margin-left:-1in;margin-top:-38.4pt;width:595.5pt;height:20.25pt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" fillcolor="#3e5aa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41C19"/>
    <w:multiLevelType w:val="hybridMultilevel"/>
    <w:tmpl w:val="47F86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12A66"/>
    <w:multiLevelType w:val="hybridMultilevel"/>
    <w:tmpl w:val="A9583576"/>
    <w:lvl w:ilvl="0" w:tplc="7C9AB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0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A4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6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CA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4F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E9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86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8B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D0"/>
    <w:rsid w:val="00006130"/>
    <w:rsid w:val="00006AD0"/>
    <w:rsid w:val="0002427F"/>
    <w:rsid w:val="000242D9"/>
    <w:rsid w:val="00031322"/>
    <w:rsid w:val="0005232D"/>
    <w:rsid w:val="00061ED3"/>
    <w:rsid w:val="000668F2"/>
    <w:rsid w:val="0006698B"/>
    <w:rsid w:val="000842BE"/>
    <w:rsid w:val="000848D9"/>
    <w:rsid w:val="00087322"/>
    <w:rsid w:val="000953CC"/>
    <w:rsid w:val="000A2393"/>
    <w:rsid w:val="000B298F"/>
    <w:rsid w:val="000F6997"/>
    <w:rsid w:val="001018E4"/>
    <w:rsid w:val="00106DD3"/>
    <w:rsid w:val="001312E4"/>
    <w:rsid w:val="001444D4"/>
    <w:rsid w:val="0014780C"/>
    <w:rsid w:val="00163240"/>
    <w:rsid w:val="00191350"/>
    <w:rsid w:val="001A601A"/>
    <w:rsid w:val="001B0A3C"/>
    <w:rsid w:val="001B7495"/>
    <w:rsid w:val="001C53F9"/>
    <w:rsid w:val="001F0ECC"/>
    <w:rsid w:val="001F212A"/>
    <w:rsid w:val="002030EE"/>
    <w:rsid w:val="00210742"/>
    <w:rsid w:val="002129DE"/>
    <w:rsid w:val="00231F1D"/>
    <w:rsid w:val="00263949"/>
    <w:rsid w:val="00286C22"/>
    <w:rsid w:val="002900C3"/>
    <w:rsid w:val="00295645"/>
    <w:rsid w:val="002A4F27"/>
    <w:rsid w:val="002B1BF6"/>
    <w:rsid w:val="002C0CC4"/>
    <w:rsid w:val="002E0FE7"/>
    <w:rsid w:val="002E2968"/>
    <w:rsid w:val="003079BD"/>
    <w:rsid w:val="003246C8"/>
    <w:rsid w:val="00327C4B"/>
    <w:rsid w:val="0034277B"/>
    <w:rsid w:val="00366D9F"/>
    <w:rsid w:val="00367F6F"/>
    <w:rsid w:val="00370FC0"/>
    <w:rsid w:val="00380386"/>
    <w:rsid w:val="00386DF8"/>
    <w:rsid w:val="003A499E"/>
    <w:rsid w:val="003A7559"/>
    <w:rsid w:val="003E6619"/>
    <w:rsid w:val="00406CC9"/>
    <w:rsid w:val="0041788A"/>
    <w:rsid w:val="00436E87"/>
    <w:rsid w:val="00445281"/>
    <w:rsid w:val="00445DAA"/>
    <w:rsid w:val="00455FB9"/>
    <w:rsid w:val="00463D7B"/>
    <w:rsid w:val="004658AF"/>
    <w:rsid w:val="00482F36"/>
    <w:rsid w:val="004856DA"/>
    <w:rsid w:val="004964FB"/>
    <w:rsid w:val="004C0F82"/>
    <w:rsid w:val="005276C5"/>
    <w:rsid w:val="00546CAF"/>
    <w:rsid w:val="00556235"/>
    <w:rsid w:val="00571783"/>
    <w:rsid w:val="005851D2"/>
    <w:rsid w:val="005907DB"/>
    <w:rsid w:val="005917B2"/>
    <w:rsid w:val="005B12C4"/>
    <w:rsid w:val="005B4AF2"/>
    <w:rsid w:val="005B4DE8"/>
    <w:rsid w:val="005F483A"/>
    <w:rsid w:val="006551C3"/>
    <w:rsid w:val="00657E59"/>
    <w:rsid w:val="0066016D"/>
    <w:rsid w:val="0067248E"/>
    <w:rsid w:val="00682718"/>
    <w:rsid w:val="00695331"/>
    <w:rsid w:val="006A19D0"/>
    <w:rsid w:val="006A41E5"/>
    <w:rsid w:val="006C1764"/>
    <w:rsid w:val="006C764F"/>
    <w:rsid w:val="006D2CD8"/>
    <w:rsid w:val="006D3287"/>
    <w:rsid w:val="0072370A"/>
    <w:rsid w:val="0078141D"/>
    <w:rsid w:val="00785651"/>
    <w:rsid w:val="007A7CE3"/>
    <w:rsid w:val="007C2593"/>
    <w:rsid w:val="007D438D"/>
    <w:rsid w:val="007D54FF"/>
    <w:rsid w:val="007E2172"/>
    <w:rsid w:val="007E3C74"/>
    <w:rsid w:val="007E7C36"/>
    <w:rsid w:val="008025A5"/>
    <w:rsid w:val="00815D9C"/>
    <w:rsid w:val="0083521E"/>
    <w:rsid w:val="00844664"/>
    <w:rsid w:val="00854749"/>
    <w:rsid w:val="008557B8"/>
    <w:rsid w:val="008701F4"/>
    <w:rsid w:val="00874E34"/>
    <w:rsid w:val="00896AC6"/>
    <w:rsid w:val="008B7AEA"/>
    <w:rsid w:val="008C054B"/>
    <w:rsid w:val="008C08C5"/>
    <w:rsid w:val="008D01DE"/>
    <w:rsid w:val="008D15AF"/>
    <w:rsid w:val="008D7699"/>
    <w:rsid w:val="008E3AF2"/>
    <w:rsid w:val="008F756A"/>
    <w:rsid w:val="00900E89"/>
    <w:rsid w:val="00902E54"/>
    <w:rsid w:val="00921A44"/>
    <w:rsid w:val="0095422D"/>
    <w:rsid w:val="00994415"/>
    <w:rsid w:val="0099653C"/>
    <w:rsid w:val="009B4E2E"/>
    <w:rsid w:val="009C46D0"/>
    <w:rsid w:val="009D1088"/>
    <w:rsid w:val="009D1DFA"/>
    <w:rsid w:val="009D7483"/>
    <w:rsid w:val="00A05B7D"/>
    <w:rsid w:val="00A27D52"/>
    <w:rsid w:val="00A300B0"/>
    <w:rsid w:val="00A41295"/>
    <w:rsid w:val="00A653FF"/>
    <w:rsid w:val="00AA280F"/>
    <w:rsid w:val="00AC1097"/>
    <w:rsid w:val="00AE49E3"/>
    <w:rsid w:val="00B647B3"/>
    <w:rsid w:val="00B719F3"/>
    <w:rsid w:val="00B807AF"/>
    <w:rsid w:val="00B92FD4"/>
    <w:rsid w:val="00B94783"/>
    <w:rsid w:val="00BD1961"/>
    <w:rsid w:val="00C03381"/>
    <w:rsid w:val="00C06831"/>
    <w:rsid w:val="00C538D8"/>
    <w:rsid w:val="00C60EF4"/>
    <w:rsid w:val="00C629B9"/>
    <w:rsid w:val="00C64A8E"/>
    <w:rsid w:val="00C65DE3"/>
    <w:rsid w:val="00C7265B"/>
    <w:rsid w:val="00C75CF0"/>
    <w:rsid w:val="00C818EF"/>
    <w:rsid w:val="00CA0394"/>
    <w:rsid w:val="00CA21D2"/>
    <w:rsid w:val="00CB5224"/>
    <w:rsid w:val="00CC2785"/>
    <w:rsid w:val="00CC678F"/>
    <w:rsid w:val="00CC7C50"/>
    <w:rsid w:val="00CF091D"/>
    <w:rsid w:val="00D03657"/>
    <w:rsid w:val="00D67878"/>
    <w:rsid w:val="00D92179"/>
    <w:rsid w:val="00DA6AD4"/>
    <w:rsid w:val="00DC3E1B"/>
    <w:rsid w:val="00DC6312"/>
    <w:rsid w:val="00DD646B"/>
    <w:rsid w:val="00DF1B84"/>
    <w:rsid w:val="00E0489A"/>
    <w:rsid w:val="00E04944"/>
    <w:rsid w:val="00E17334"/>
    <w:rsid w:val="00E33E90"/>
    <w:rsid w:val="00E37793"/>
    <w:rsid w:val="00E42F3B"/>
    <w:rsid w:val="00E54479"/>
    <w:rsid w:val="00E671DE"/>
    <w:rsid w:val="00E84E78"/>
    <w:rsid w:val="00EA1923"/>
    <w:rsid w:val="00EB65BF"/>
    <w:rsid w:val="00ED598B"/>
    <w:rsid w:val="00EE207A"/>
    <w:rsid w:val="00EF2310"/>
    <w:rsid w:val="00F130B0"/>
    <w:rsid w:val="00F17BC1"/>
    <w:rsid w:val="00F5099B"/>
    <w:rsid w:val="00F61ED0"/>
    <w:rsid w:val="00F67ADB"/>
    <w:rsid w:val="00F905D6"/>
    <w:rsid w:val="00F92A45"/>
    <w:rsid w:val="00FA202D"/>
    <w:rsid w:val="00FA2D39"/>
    <w:rsid w:val="00FB1425"/>
    <w:rsid w:val="00FB166F"/>
    <w:rsid w:val="00FC31D4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3937"/>
  <w15:docId w15:val="{E6D10853-0E23-4ED0-B4DF-74F70230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b/>
      <w:bCs/>
      <w:color w:val="3E5AA8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6440A3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0D1F5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3E5AA8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2D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qFormat/>
    <w:rPr>
      <w:rFonts w:ascii="Arial" w:hAnsi="Arial"/>
      <w:b/>
      <w:bCs/>
      <w:color w:val="3E5AA8"/>
      <w:sz w:val="28"/>
      <w:szCs w:val="28"/>
    </w:rPr>
  </w:style>
  <w:style w:type="character" w:customStyle="1" w:styleId="Heading2Char">
    <w:name w:val="Heading 2 Char"/>
    <w:basedOn w:val="DefaultParagraphFont"/>
    <w:qFormat/>
    <w:rPr>
      <w:rFonts w:ascii="Arial" w:hAnsi="Arial"/>
      <w:b/>
      <w:bCs/>
      <w:color w:val="6440A3"/>
      <w:sz w:val="26"/>
      <w:szCs w:val="26"/>
    </w:rPr>
  </w:style>
  <w:style w:type="paragraph" w:styleId="Title">
    <w:name w:val="Title"/>
    <w:basedOn w:val="Normal"/>
    <w:uiPriority w:val="10"/>
    <w:qFormat/>
    <w:pPr>
      <w:pBdr>
        <w:bottom w:val="single" w:sz="8" w:space="4" w:color="3E5AA8"/>
      </w:pBdr>
      <w:spacing w:after="300" w:line="240" w:lineRule="auto"/>
      <w:contextualSpacing/>
    </w:pPr>
    <w:rPr>
      <w:b/>
      <w:bCs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qFormat/>
    <w:rPr>
      <w:rFonts w:ascii="Arial" w:hAnsi="Arial"/>
      <w:b/>
      <w:bCs/>
      <w:color w:val="1D3E61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Pr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basedOn w:val="DefaultParagraphFont"/>
    <w:qFormat/>
    <w:rPr>
      <w:rFonts w:ascii="Arial" w:hAnsi="Arial"/>
      <w:i/>
      <w:iCs/>
      <w:color w:val="56CF9E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rFonts w:ascii="Arial" w:hAnsi="Arial"/>
      <w:i/>
      <w:iCs/>
      <w:color w:val="80808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qFormat/>
    <w:rPr>
      <w:rFonts w:ascii="Arial" w:hAnsi="Arial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qFormat/>
    <w:rPr>
      <w:rFonts w:ascii="Arial" w:hAnsi="Arial"/>
    </w:rPr>
  </w:style>
  <w:style w:type="character" w:customStyle="1" w:styleId="Heading3Char">
    <w:name w:val="Heading 3 Char"/>
    <w:basedOn w:val="DefaultParagraphFont"/>
    <w:qFormat/>
    <w:rPr>
      <w:rFonts w:ascii="Arial" w:hAnsi="Arial"/>
      <w:b/>
      <w:bCs/>
      <w:color w:val="40D1F5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6440A3"/>
      <w:u w:val="single"/>
    </w:rPr>
  </w:style>
  <w:style w:type="character" w:customStyle="1" w:styleId="Heading4Char">
    <w:name w:val="Heading 4 Char"/>
    <w:basedOn w:val="DefaultParagraphFont"/>
    <w:qFormat/>
    <w:rPr>
      <w:rFonts w:ascii="Arial" w:hAnsi="Arial"/>
      <w:b/>
      <w:bCs/>
      <w:i/>
      <w:iCs/>
      <w:color w:val="3E5AA8"/>
    </w:rPr>
  </w:style>
  <w:style w:type="character" w:customStyle="1" w:styleId="Heading5Char">
    <w:name w:val="Heading 5 Char"/>
    <w:basedOn w:val="DefaultParagraphFont"/>
    <w:qFormat/>
    <w:rPr>
      <w:rFonts w:ascii="Arial" w:hAnsi="Arial"/>
      <w:color w:val="1F2D54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3E5AA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qFormat/>
    <w:rPr>
      <w:rFonts w:ascii="Arial" w:hAnsi="Arial"/>
      <w:i/>
      <w:iCs/>
      <w:color w:val="000000"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character" w:customStyle="1" w:styleId="CommentSubjectChar">
    <w:name w:val="Comment Subject Char"/>
    <w:basedOn w:val="CommentTextChar"/>
    <w:qFormat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paragraph" w:styleId="Revision">
    <w:name w:val="Revision"/>
    <w:qFormat/>
    <w:pPr>
      <w:spacing w:after="0" w:line="240" w:lineRule="auto"/>
    </w:pPr>
  </w:style>
  <w:style w:type="character" w:styleId="FollowedHyperlink">
    <w:name w:val="FollowedHyperlink"/>
    <w:basedOn w:val="DefaultParagraphFont"/>
    <w:qFormat/>
    <w:rPr>
      <w:color w:val="D2232A"/>
      <w:u w:val="single"/>
    </w:rPr>
  </w:style>
  <w:style w:type="paragraph" w:styleId="NormalWeb">
    <w:name w:val="Normal (Web)"/>
    <w:basedOn w:val="Normal"/>
    <w:uiPriority w:val="99"/>
    <w:semiHidden/>
    <w:unhideWhenUsed/>
    <w:rsid w:val="008F7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D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4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mbraco.xoserve.com/media/42892/xrn4990-hlso-xoserve-customer-v0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sgovernance.co.uk/066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xoserve.com/change/change-proposals/xrn-4990-transfer-of-sites-with-low-read-submission-performance-from-class-2-and-3-into-class-4-mod066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4" ma:contentTypeDescription="Create a new document." ma:contentTypeScope="" ma:versionID="33b8fecee8c4713a57430302bf85c5cc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f5412dd98e0cafb03a0a30bd6733c8ea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3A38D-97DD-46FD-ABCD-52CC660A7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19AB1-3083-430D-A673-1BB04E83E0CD}">
  <ds:schemaRefs>
    <ds:schemaRef ds:uri="c78a4dae-5fc0-4ed3-ad80-da51122ab114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44fa40-a696-4ac9-bd38-c0330d295109"/>
  </ds:schemaRefs>
</ds:datastoreItem>
</file>

<file path=customXml/itemProps3.xml><?xml version="1.0" encoding="utf-8"?>
<ds:datastoreItem xmlns:ds="http://schemas.openxmlformats.org/officeDocument/2006/customXml" ds:itemID="{ED1F4D01-22B9-432F-AC73-7A803A653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Grid</dc:creator>
  <cp:lastModifiedBy>Rachel Taggart</cp:lastModifiedBy>
  <cp:revision>10</cp:revision>
  <dcterms:created xsi:type="dcterms:W3CDTF">2022-01-17T09:56:00Z</dcterms:created>
  <dcterms:modified xsi:type="dcterms:W3CDTF">2022-01-17T14:44:00Z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</Properties>
</file>