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6001" w14:textId="77777777" w:rsidR="00550D2B" w:rsidRDefault="00B93E89">
      <w:pPr>
        <w:pStyle w:val="Title"/>
      </w:pPr>
      <w:r>
        <w:t>Section G: Change Pack</w:t>
      </w:r>
    </w:p>
    <w:p w14:paraId="4226BE09" w14:textId="77777777" w:rsidR="00550D2B" w:rsidRDefault="00B93E89">
      <w:pPr>
        <w:pStyle w:val="Heading1"/>
      </w:pPr>
      <w:r>
        <w:t>G1: 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5B05602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355378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57405B8F" w14:textId="312780BE" w:rsidR="00550D2B" w:rsidRDefault="00BF0E1C">
            <w:pPr>
              <w:rPr>
                <w:rFonts w:cs="Arial"/>
              </w:rPr>
            </w:pPr>
            <w:r>
              <w:rPr>
                <w:rFonts w:cs="Arial"/>
              </w:rPr>
              <w:t>2955.6 – MT – PO</w:t>
            </w:r>
          </w:p>
        </w:tc>
      </w:tr>
      <w:tr w:rsidR="00550D2B" w14:paraId="65D6E70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846A4E3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493087CF" w14:textId="7D8876CF" w:rsidR="00550D2B" w:rsidRDefault="00855CAA">
            <w:pPr>
              <w:rPr>
                <w:rFonts w:cs="Arial"/>
              </w:rPr>
            </w:pPr>
            <w:r w:rsidRPr="00855CAA">
              <w:rPr>
                <w:rFonts w:cs="Arial"/>
              </w:rPr>
              <w:t>XRN5</w:t>
            </w:r>
            <w:r w:rsidR="00B951CF">
              <w:rPr>
                <w:rFonts w:cs="Arial"/>
              </w:rPr>
              <w:t>463</w:t>
            </w:r>
            <w:r w:rsidRPr="00855CAA">
              <w:rPr>
                <w:rFonts w:cs="Arial"/>
              </w:rPr>
              <w:t xml:space="preserve"> – </w:t>
            </w:r>
            <w:r w:rsidR="00B951CF">
              <w:rPr>
                <w:rFonts w:cs="Arial"/>
              </w:rPr>
              <w:t>T</w:t>
            </w:r>
            <w:r w:rsidR="00B951CF" w:rsidRPr="00B951CF">
              <w:rPr>
                <w:rFonts w:cs="Arial"/>
              </w:rPr>
              <w:t>echnical Debt reduction- Prime and Sub process enhancement</w:t>
            </w:r>
            <w:r w:rsidR="00E64308">
              <w:rPr>
                <w:rFonts w:cs="Arial"/>
              </w:rPr>
              <w:t xml:space="preserve"> </w:t>
            </w:r>
            <w:r w:rsidR="00FE33EE">
              <w:rPr>
                <w:rFonts w:cs="Arial"/>
              </w:rPr>
              <w:t xml:space="preserve">– </w:t>
            </w:r>
            <w:r w:rsidR="00E64308">
              <w:rPr>
                <w:rFonts w:cs="Arial"/>
              </w:rPr>
              <w:t>Detailed Design Change Pack</w:t>
            </w:r>
          </w:p>
        </w:tc>
      </w:tr>
      <w:tr w:rsidR="00550D2B" w14:paraId="148915B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06A587B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Date:</w:t>
            </w:r>
          </w:p>
        </w:tc>
        <w:tc>
          <w:tcPr>
            <w:tcW w:w="3777" w:type="pct"/>
            <w:vAlign w:val="center"/>
          </w:tcPr>
          <w:p w14:paraId="0AD1251A" w14:textId="6DFF2384" w:rsidR="000D0654" w:rsidRDefault="00F2518B">
            <w:pPr>
              <w:rPr>
                <w:rFonts w:cs="Arial"/>
              </w:rPr>
            </w:pPr>
            <w:r>
              <w:rPr>
                <w:rFonts w:cs="Arial"/>
              </w:rPr>
              <w:t>17/01/2022</w:t>
            </w:r>
          </w:p>
        </w:tc>
      </w:tr>
    </w:tbl>
    <w:p w14:paraId="6A11CB9A" w14:textId="77777777" w:rsidR="00550D2B" w:rsidRDefault="00550D2B"/>
    <w:p w14:paraId="47BCC027" w14:textId="77777777" w:rsidR="00550D2B" w:rsidRDefault="00B93E89">
      <w:pPr>
        <w:spacing w:after="0"/>
        <w:rPr>
          <w:b/>
          <w:bCs/>
          <w:color w:val="3E5AA8"/>
          <w:sz w:val="28"/>
          <w:szCs w:val="28"/>
        </w:rPr>
      </w:pPr>
      <w:r>
        <w:rPr>
          <w:b/>
          <w:bCs/>
          <w:color w:val="3E5AA8"/>
          <w:sz w:val="28"/>
          <w:szCs w:val="28"/>
        </w:rPr>
        <w:t>G2: 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56F06AF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F247B3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2598187E" w14:textId="77777777" w:rsidR="00550D2B" w:rsidRDefault="00B93E89">
            <w:pPr>
              <w:rPr>
                <w:rFonts w:cs="Arial"/>
              </w:rPr>
            </w:pPr>
            <w:r>
              <w:rPr>
                <w:rFonts w:cs="Arial"/>
              </w:rPr>
              <w:t>For representation</w:t>
            </w:r>
          </w:p>
        </w:tc>
      </w:tr>
      <w:tr w:rsidR="00550D2B" w14:paraId="0E511E5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0458E94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Close Out Date:</w:t>
            </w:r>
          </w:p>
        </w:tc>
        <w:tc>
          <w:tcPr>
            <w:tcW w:w="3777" w:type="pct"/>
            <w:vAlign w:val="center"/>
          </w:tcPr>
          <w:p w14:paraId="677BAAB7" w14:textId="7F4975E6" w:rsidR="00550D2B" w:rsidRDefault="00F2518B">
            <w:pPr>
              <w:rPr>
                <w:rFonts w:cs="Arial"/>
              </w:rPr>
            </w:pPr>
            <w:r>
              <w:rPr>
                <w:rFonts w:cs="Arial"/>
              </w:rPr>
              <w:t>31/01/2022</w:t>
            </w:r>
          </w:p>
        </w:tc>
      </w:tr>
    </w:tbl>
    <w:p w14:paraId="59061D70" w14:textId="77777777" w:rsidR="00550D2B" w:rsidRDefault="00B93E89">
      <w:pPr>
        <w:pStyle w:val="Heading1"/>
      </w:pPr>
      <w:r>
        <w:t>G3: 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6ACC6E20" w14:textId="77777777" w:rsidTr="0136E0A1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AA43B1C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697C90D0" w14:textId="5877EB68" w:rsidR="00550D2B" w:rsidRDefault="002F6E55">
            <w:pPr>
              <w:rPr>
                <w:rFonts w:cs="Arial"/>
              </w:rPr>
            </w:pPr>
            <w:r>
              <w:rPr>
                <w:rFonts w:cs="Arial"/>
              </w:rPr>
              <w:t>XRN</w:t>
            </w:r>
            <w:r w:rsidR="004D49D7">
              <w:rPr>
                <w:rFonts w:cs="Arial"/>
              </w:rPr>
              <w:t>5463</w:t>
            </w:r>
          </w:p>
        </w:tc>
      </w:tr>
      <w:tr w:rsidR="00550D2B" w14:paraId="0727C187" w14:textId="77777777" w:rsidTr="0136E0A1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FA9B76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6CEE25A9" w14:textId="39441EE5" w:rsidR="00550D2B" w:rsidRDefault="00DA761E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Functional System</w:t>
            </w:r>
          </w:p>
        </w:tc>
      </w:tr>
      <w:tr w:rsidR="00550D2B" w14:paraId="16FA960F" w14:textId="77777777" w:rsidTr="0136E0A1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1B3818B5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5218A83A" w14:textId="3D32AD99" w:rsidR="00550D2B" w:rsidRDefault="00A10C71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Shipper Class A; Shipper Class B; Shipper Class C</w:t>
            </w:r>
          </w:p>
        </w:tc>
      </w:tr>
      <w:tr w:rsidR="000C5355" w14:paraId="321D377D" w14:textId="77777777" w:rsidTr="0136E0A1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65B80E3" w14:textId="77777777" w:rsidR="000C5355" w:rsidRDefault="000C5355" w:rsidP="000C53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5D23D988" w14:textId="77777777" w:rsidR="000C5355" w:rsidRDefault="000C5355" w:rsidP="000C5355">
            <w:pPr>
              <w:rPr>
                <w:rFonts w:cs="Arial"/>
              </w:rPr>
            </w:pPr>
            <w:r>
              <w:rPr>
                <w:rFonts w:cs="Arial"/>
              </w:rPr>
              <w:t>James Barlow</w:t>
            </w:r>
          </w:p>
          <w:p w14:paraId="0B5E0CC9" w14:textId="3681B055" w:rsidR="000C5355" w:rsidRPr="008C6E73" w:rsidRDefault="00B10406" w:rsidP="000C5355">
            <w:hyperlink r:id="rId10" w:history="1">
              <w:r w:rsidR="000C5355" w:rsidRPr="006F6790">
                <w:rPr>
                  <w:rStyle w:val="Hyperlink"/>
                </w:rPr>
                <w:t>james.barlow@xoserve.com</w:t>
              </w:r>
            </w:hyperlink>
          </w:p>
        </w:tc>
      </w:tr>
      <w:tr w:rsidR="000C5355" w14:paraId="2F1AADA2" w14:textId="77777777" w:rsidTr="0136E0A1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5E6804B" w14:textId="77777777" w:rsidR="000C5355" w:rsidRDefault="000C5355" w:rsidP="000C53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77B51751" w14:textId="2F9136E0" w:rsidR="0003113A" w:rsidRPr="00063DA0" w:rsidRDefault="00FD6840" w:rsidP="00F01A47">
            <w:pPr>
              <w:jc w:val="both"/>
              <w:rPr>
                <w:i/>
                <w:iCs/>
              </w:rPr>
            </w:pPr>
            <w:r w:rsidRPr="005B43DD">
              <w:rPr>
                <w:lang w:val="en-US"/>
              </w:rPr>
              <w:t>Technical Debt reduction is an internal project managed within Technology Operations under ‘</w:t>
            </w:r>
            <w:proofErr w:type="spellStart"/>
            <w:r w:rsidRPr="005B43DD">
              <w:rPr>
                <w:lang w:val="en-US"/>
              </w:rPr>
              <w:t>UKLink</w:t>
            </w:r>
            <w:proofErr w:type="spellEnd"/>
            <w:r w:rsidRPr="005B43DD">
              <w:rPr>
                <w:lang w:val="en-US"/>
              </w:rPr>
              <w:t xml:space="preserve"> </w:t>
            </w:r>
            <w:proofErr w:type="spellStart"/>
            <w:r w:rsidRPr="005B43DD">
              <w:rPr>
                <w:lang w:val="en-US"/>
              </w:rPr>
              <w:t>Optimisation</w:t>
            </w:r>
            <w:proofErr w:type="spellEnd"/>
            <w:r w:rsidRPr="005B43DD">
              <w:rPr>
                <w:lang w:val="en-US"/>
              </w:rPr>
              <w:t>’</w:t>
            </w:r>
            <w:r w:rsidR="00FE2B86" w:rsidRPr="005B43DD">
              <w:rPr>
                <w:lang w:val="en-US"/>
              </w:rPr>
              <w:t>. The core objective is</w:t>
            </w:r>
            <w:r w:rsidRPr="005B43DD">
              <w:rPr>
                <w:lang w:val="en-US"/>
              </w:rPr>
              <w:t xml:space="preserve"> to reduce any technical debt around system, process or resource to effectively utilise these savings towards the fulfilment of UK</w:t>
            </w:r>
            <w:r w:rsidR="00C608CC">
              <w:rPr>
                <w:lang w:val="en-US"/>
              </w:rPr>
              <w:t xml:space="preserve"> </w:t>
            </w:r>
            <w:r w:rsidR="009C7C0E" w:rsidRPr="005B43DD">
              <w:rPr>
                <w:lang w:val="en-US"/>
              </w:rPr>
              <w:t xml:space="preserve">Link </w:t>
            </w:r>
            <w:r w:rsidRPr="005B43DD">
              <w:rPr>
                <w:lang w:val="en-US"/>
              </w:rPr>
              <w:t>system stability, reduce risk in daily operations and drive operational enhancements as required</w:t>
            </w:r>
            <w:r w:rsidR="009C7C0E">
              <w:rPr>
                <w:i/>
                <w:iCs/>
                <w:lang w:val="en-US"/>
              </w:rPr>
              <w:t>.</w:t>
            </w:r>
          </w:p>
          <w:p w14:paraId="03FF368E" w14:textId="0141AA1A" w:rsidR="0003113A" w:rsidRDefault="0003113A" w:rsidP="00F01A47">
            <w:pPr>
              <w:jc w:val="both"/>
            </w:pPr>
          </w:p>
          <w:p w14:paraId="4044C857" w14:textId="3D91299C" w:rsidR="005872C8" w:rsidRDefault="005872C8" w:rsidP="005872C8">
            <w:pPr>
              <w:jc w:val="both"/>
            </w:pPr>
            <w:r>
              <w:t xml:space="preserve">Due to the nature of the change, the solution and design are presented together in this Change Pack. For reference the Change Proposal can be viewed </w:t>
            </w:r>
            <w:hyperlink r:id="rId11" w:history="1">
              <w:r w:rsidR="00CB746A" w:rsidRPr="007F61FE">
                <w:rPr>
                  <w:rStyle w:val="Hyperlink"/>
                </w:rPr>
                <w:t>here</w:t>
              </w:r>
            </w:hyperlink>
            <w:r>
              <w:t>.</w:t>
            </w:r>
          </w:p>
          <w:p w14:paraId="0FAECEEB" w14:textId="77777777" w:rsidR="005872C8" w:rsidRDefault="005872C8" w:rsidP="00F01A47">
            <w:pPr>
              <w:jc w:val="both"/>
            </w:pPr>
          </w:p>
          <w:p w14:paraId="0BF29D78" w14:textId="248DC6F8" w:rsidR="008431DA" w:rsidRDefault="003A2942" w:rsidP="00F01A47">
            <w:pPr>
              <w:jc w:val="both"/>
            </w:pPr>
            <w:r w:rsidRPr="00EB65BF">
              <w:t xml:space="preserve">Currently, </w:t>
            </w:r>
            <w:r w:rsidR="00C132BA">
              <w:t xml:space="preserve">there are two scenarios </w:t>
            </w:r>
            <w:r w:rsidR="00025419">
              <w:t xml:space="preserve">in the Prime and Subs site process where the Prime </w:t>
            </w:r>
            <w:r w:rsidR="00347540">
              <w:t>net-off may not be accurate or completed in a timely manner, these are:</w:t>
            </w:r>
          </w:p>
          <w:p w14:paraId="78D138C6" w14:textId="77777777" w:rsidR="00E90160" w:rsidRDefault="00BD30CE" w:rsidP="00C10596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When a sub site is Isolated, consumption of the isolated sub site is not </w:t>
            </w:r>
            <w:proofErr w:type="gramStart"/>
            <w:r>
              <w:t>taken into account</w:t>
            </w:r>
            <w:proofErr w:type="gramEnd"/>
            <w:r>
              <w:t xml:space="preserve"> for the net-off calculation which then feeds into downstream processes such as Reconciliation and AQ calculation</w:t>
            </w:r>
          </w:p>
          <w:p w14:paraId="23C0D14B" w14:textId="2D61225E" w:rsidR="008431DA" w:rsidRDefault="00BD30CE" w:rsidP="00F01A47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Read replacement on sub sites does not trigger re-reconciliation. Net-off consumption should be re-calculated for the prime sites based on the read replacement on sub sites.</w:t>
            </w:r>
          </w:p>
          <w:p w14:paraId="02704D70" w14:textId="77777777" w:rsidR="00E90160" w:rsidRDefault="00E90160" w:rsidP="00E90160">
            <w:pPr>
              <w:jc w:val="both"/>
            </w:pPr>
          </w:p>
          <w:p w14:paraId="06207F76" w14:textId="5FAF7A13" w:rsidR="0092089C" w:rsidRDefault="00637A99" w:rsidP="00F01A4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="008B31CD" w:rsidRPr="006F350C">
              <w:rPr>
                <w:rFonts w:cs="Arial"/>
                <w:szCs w:val="20"/>
              </w:rPr>
              <w:t>h</w:t>
            </w:r>
            <w:r w:rsidR="00DA347B">
              <w:rPr>
                <w:rFonts w:cs="Arial"/>
                <w:szCs w:val="20"/>
              </w:rPr>
              <w:t>ese</w:t>
            </w:r>
            <w:r w:rsidR="008B31CD" w:rsidRPr="006F350C">
              <w:rPr>
                <w:rFonts w:cs="Arial"/>
                <w:szCs w:val="20"/>
              </w:rPr>
              <w:t xml:space="preserve"> scenario</w:t>
            </w:r>
            <w:r w:rsidR="00DA347B">
              <w:rPr>
                <w:rFonts w:cs="Arial"/>
                <w:szCs w:val="20"/>
              </w:rPr>
              <w:t xml:space="preserve">s </w:t>
            </w:r>
            <w:r w:rsidR="007D185B" w:rsidRPr="007D185B">
              <w:rPr>
                <w:rFonts w:cs="Arial"/>
                <w:szCs w:val="20"/>
              </w:rPr>
              <w:t xml:space="preserve">are currently manually monitored and corrective actions taken accordingly. However, delays in manual resolution </w:t>
            </w:r>
            <w:r w:rsidR="007D185B" w:rsidRPr="007D185B">
              <w:rPr>
                <w:rFonts w:cs="Arial"/>
                <w:szCs w:val="20"/>
              </w:rPr>
              <w:lastRenderedPageBreak/>
              <w:t>could impact timely reconciliation of Prime &amp; Sub meter points.</w:t>
            </w:r>
            <w:r w:rsidR="007D185B" w:rsidRPr="007D185B">
              <w:rPr>
                <w:rFonts w:cs="Arial"/>
                <w:szCs w:val="20"/>
              </w:rPr>
              <w:cr/>
            </w:r>
          </w:p>
          <w:p w14:paraId="182FF470" w14:textId="77777777" w:rsidR="00574361" w:rsidRPr="00574361" w:rsidRDefault="0092089C" w:rsidP="00574361">
            <w:pPr>
              <w:jc w:val="both"/>
              <w:rPr>
                <w:rFonts w:cs="Arial"/>
              </w:rPr>
            </w:pPr>
            <w:r w:rsidRPr="0136E0A1">
              <w:rPr>
                <w:rFonts w:cs="Arial"/>
              </w:rPr>
              <w:t>T</w:t>
            </w:r>
            <w:r w:rsidR="00574361" w:rsidRPr="00574361">
              <w:rPr>
                <w:rFonts w:cs="Arial"/>
              </w:rPr>
              <w:t xml:space="preserve">his change seeks to enhance the reconciliation process for Prime &amp; </w:t>
            </w:r>
          </w:p>
          <w:p w14:paraId="02C12E07" w14:textId="77777777" w:rsidR="00574361" w:rsidRPr="00574361" w:rsidRDefault="00574361" w:rsidP="00574361">
            <w:pPr>
              <w:jc w:val="both"/>
              <w:rPr>
                <w:rFonts w:cs="Arial"/>
              </w:rPr>
            </w:pPr>
            <w:r w:rsidRPr="00574361">
              <w:rPr>
                <w:rFonts w:cs="Arial"/>
              </w:rPr>
              <w:t xml:space="preserve">Sub sites within the CDSP central systems to remove the need for </w:t>
            </w:r>
          </w:p>
          <w:p w14:paraId="480F8501" w14:textId="77777777" w:rsidR="00574361" w:rsidRPr="00574361" w:rsidRDefault="00574361" w:rsidP="00574361">
            <w:pPr>
              <w:jc w:val="both"/>
              <w:rPr>
                <w:rFonts w:cs="Arial"/>
              </w:rPr>
            </w:pPr>
            <w:r w:rsidRPr="00574361">
              <w:rPr>
                <w:rFonts w:cs="Arial"/>
              </w:rPr>
              <w:t xml:space="preserve">manual monitoring and data correction. Delivery of this change </w:t>
            </w:r>
          </w:p>
          <w:p w14:paraId="166E55A1" w14:textId="77777777" w:rsidR="00574361" w:rsidRPr="00574361" w:rsidRDefault="00574361" w:rsidP="00574361">
            <w:pPr>
              <w:jc w:val="both"/>
              <w:rPr>
                <w:rFonts w:cs="Arial"/>
              </w:rPr>
            </w:pPr>
            <w:r w:rsidRPr="00574361">
              <w:rPr>
                <w:rFonts w:cs="Arial"/>
              </w:rPr>
              <w:t xml:space="preserve">proposal will address the problem scenarios as defined within the </w:t>
            </w:r>
          </w:p>
          <w:p w14:paraId="41CB4B75" w14:textId="21D7B8F0" w:rsidR="002474E7" w:rsidRPr="008B31CD" w:rsidRDefault="00574361" w:rsidP="00574361">
            <w:pPr>
              <w:jc w:val="both"/>
              <w:rPr>
                <w:rFonts w:cs="Arial"/>
                <w:szCs w:val="20"/>
              </w:rPr>
            </w:pPr>
            <w:r w:rsidRPr="00574361">
              <w:rPr>
                <w:rFonts w:cs="Arial"/>
              </w:rPr>
              <w:t>problem statement.</w:t>
            </w:r>
            <w:r w:rsidR="006D51AA" w:rsidRPr="006D51AA">
              <w:rPr>
                <w:rFonts w:cs="Arial"/>
                <w:szCs w:val="20"/>
              </w:rPr>
              <w:t xml:space="preserve"> </w:t>
            </w:r>
          </w:p>
        </w:tc>
      </w:tr>
    </w:tbl>
    <w:p w14:paraId="2D83E96F" w14:textId="77777777" w:rsidR="00550D2B" w:rsidRDefault="00B93E89">
      <w:pPr>
        <w:pStyle w:val="Heading1"/>
      </w:pPr>
      <w:r>
        <w:lastRenderedPageBreak/>
        <w:t>G4: Change Impact Assessment Dashboard (UK Link)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2206680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89F090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Functional: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482A8393" w14:textId="7DF89982" w:rsidR="00550D2B" w:rsidRDefault="00BB34F3">
            <w:pPr>
              <w:rPr>
                <w:rFonts w:cs="Arial"/>
              </w:rPr>
            </w:pPr>
            <w:r>
              <w:rPr>
                <w:rFonts w:cs="Arial"/>
              </w:rPr>
              <w:t>Meter Readings</w:t>
            </w:r>
            <w:r w:rsidR="002F04D7">
              <w:rPr>
                <w:rFonts w:cs="Arial"/>
              </w:rPr>
              <w:t xml:space="preserve">; </w:t>
            </w:r>
            <w:r w:rsidR="00FE2B86">
              <w:rPr>
                <w:rFonts w:cs="Arial"/>
              </w:rPr>
              <w:t xml:space="preserve">Reconciliation; </w:t>
            </w:r>
            <w:r w:rsidR="002F04D7">
              <w:rPr>
                <w:rFonts w:cs="Arial"/>
              </w:rPr>
              <w:t>RGMA transactions</w:t>
            </w:r>
          </w:p>
        </w:tc>
      </w:tr>
      <w:tr w:rsidR="00550D2B" w14:paraId="48F4591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AD2D021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Non-Functional: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3487632C" w14:textId="77777777" w:rsidR="00550D2B" w:rsidRDefault="00B93E89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550D2B" w14:paraId="4A27552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0A937B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Application: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6DC8C480" w14:textId="77777777" w:rsidR="00550D2B" w:rsidRDefault="00B93E89">
            <w:pPr>
              <w:rPr>
                <w:rFonts w:cs="Arial"/>
                <w:highlight w:val="yellow"/>
                <w:shd w:val="clear" w:color="auto" w:fill="FFFF00"/>
              </w:rPr>
            </w:pPr>
            <w:r>
              <w:rPr>
                <w:rFonts w:cs="Arial"/>
              </w:rPr>
              <w:t>SAP ISU</w:t>
            </w:r>
          </w:p>
        </w:tc>
      </w:tr>
      <w:tr w:rsidR="00550D2B" w14:paraId="6002E832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FA1C9E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User(s):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5328D1BC" w14:textId="614521C9" w:rsidR="00550D2B" w:rsidRDefault="00224F8A">
            <w:pPr>
              <w:rPr>
                <w:rFonts w:cs="Arial"/>
                <w:highlight w:val="yellow"/>
                <w:shd w:val="clear" w:color="auto" w:fill="FFFF00"/>
              </w:rPr>
            </w:pPr>
            <w:r>
              <w:rPr>
                <w:rFonts w:cs="Arial"/>
                <w:szCs w:val="20"/>
              </w:rPr>
              <w:t>Shipper Class A; Shipper Class B; Shipper Class C</w:t>
            </w:r>
          </w:p>
        </w:tc>
      </w:tr>
      <w:tr w:rsidR="00550D2B" w14:paraId="2C8295AE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A92AA44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Documentation: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179AE652" w14:textId="3D25BC98" w:rsidR="00550D2B" w:rsidRDefault="00224F8A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550D2B" w14:paraId="7502A01C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8B50F67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Other: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451C9811" w14:textId="77777777" w:rsidR="00550D2B" w:rsidRDefault="00B93E89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</w:tbl>
    <w:p w14:paraId="00C54D82" w14:textId="77777777" w:rsidR="00550D2B" w:rsidRDefault="00550D2B">
      <w:pPr>
        <w:spacing w:after="0"/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898"/>
        <w:gridCol w:w="2269"/>
        <w:gridCol w:w="1842"/>
        <w:gridCol w:w="2074"/>
      </w:tblGrid>
      <w:tr w:rsidR="00550D2B" w14:paraId="7457F718" w14:textId="77777777">
        <w:trPr>
          <w:trHeight w:val="403"/>
        </w:trPr>
        <w:tc>
          <w:tcPr>
            <w:tcW w:w="5000" w:type="pct"/>
            <w:gridSpan w:val="5"/>
            <w:shd w:val="clear" w:color="auto" w:fill="B3EDFB"/>
            <w:vAlign w:val="center"/>
          </w:tcPr>
          <w:p w14:paraId="2C3B271B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Files</w:t>
            </w:r>
          </w:p>
        </w:tc>
      </w:tr>
      <w:tr w:rsidR="00550D2B" w14:paraId="42E331F6" w14:textId="77777777">
        <w:trPr>
          <w:trHeight w:val="403"/>
        </w:trPr>
        <w:tc>
          <w:tcPr>
            <w:tcW w:w="533" w:type="pct"/>
            <w:shd w:val="clear" w:color="auto" w:fill="B3EDFB"/>
            <w:vAlign w:val="center"/>
          </w:tcPr>
          <w:p w14:paraId="6DAF5993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File</w:t>
            </w:r>
          </w:p>
        </w:tc>
        <w:tc>
          <w:tcPr>
            <w:tcW w:w="1049" w:type="pct"/>
            <w:shd w:val="clear" w:color="auto" w:fill="B3EDFB"/>
            <w:vAlign w:val="center"/>
          </w:tcPr>
          <w:p w14:paraId="7B0C5CC0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Parent Record</w:t>
            </w:r>
          </w:p>
        </w:tc>
        <w:tc>
          <w:tcPr>
            <w:tcW w:w="1254" w:type="pct"/>
            <w:shd w:val="clear" w:color="auto" w:fill="B3EDFB"/>
            <w:vAlign w:val="center"/>
          </w:tcPr>
          <w:p w14:paraId="244F37CC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Record</w:t>
            </w:r>
          </w:p>
        </w:tc>
        <w:tc>
          <w:tcPr>
            <w:tcW w:w="1018" w:type="pct"/>
            <w:shd w:val="clear" w:color="auto" w:fill="B3EDFB"/>
            <w:vAlign w:val="center"/>
          </w:tcPr>
          <w:p w14:paraId="0E1C654E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Data Attribute</w:t>
            </w:r>
          </w:p>
        </w:tc>
        <w:tc>
          <w:tcPr>
            <w:tcW w:w="1146" w:type="pct"/>
            <w:shd w:val="clear" w:color="auto" w:fill="B3EDFB"/>
            <w:vAlign w:val="center"/>
          </w:tcPr>
          <w:p w14:paraId="72670CCB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Hierarchy or Format</w:t>
            </w:r>
          </w:p>
          <w:p w14:paraId="7662AF12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Agreed</w:t>
            </w:r>
          </w:p>
        </w:tc>
      </w:tr>
      <w:tr w:rsidR="00550D2B" w14:paraId="5B6551EE" w14:textId="77777777">
        <w:trPr>
          <w:trHeight w:val="403"/>
        </w:trPr>
        <w:tc>
          <w:tcPr>
            <w:tcW w:w="533" w:type="pct"/>
            <w:shd w:val="clear" w:color="auto" w:fill="FFFFFF"/>
            <w:vAlign w:val="center"/>
          </w:tcPr>
          <w:p w14:paraId="21007DEA" w14:textId="428DCE75" w:rsidR="00550D2B" w:rsidRDefault="008E02E5" w:rsidP="00E336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MBR</w:t>
            </w:r>
          </w:p>
        </w:tc>
        <w:tc>
          <w:tcPr>
            <w:tcW w:w="1049" w:type="pct"/>
            <w:shd w:val="clear" w:color="auto" w:fill="FFFFFF"/>
            <w:vAlign w:val="center"/>
          </w:tcPr>
          <w:p w14:paraId="2AEB41CA" w14:textId="1231034D" w:rsidR="00550D2B" w:rsidRDefault="00DE43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254" w:type="pct"/>
            <w:shd w:val="clear" w:color="auto" w:fill="FFFFFF"/>
            <w:vAlign w:val="center"/>
          </w:tcPr>
          <w:p w14:paraId="1E47BCAC" w14:textId="4E67F624" w:rsidR="00550D2B" w:rsidRDefault="009408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M03</w:t>
            </w:r>
          </w:p>
        </w:tc>
        <w:tc>
          <w:tcPr>
            <w:tcW w:w="1018" w:type="pct"/>
            <w:shd w:val="clear" w:color="auto" w:fill="FFFFFF"/>
            <w:vAlign w:val="center"/>
          </w:tcPr>
          <w:p w14:paraId="411DE79A" w14:textId="2C44C362" w:rsidR="00550D2B" w:rsidRDefault="001635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Reason Code – Description only</w:t>
            </w:r>
          </w:p>
        </w:tc>
        <w:tc>
          <w:tcPr>
            <w:tcW w:w="1146" w:type="pct"/>
            <w:shd w:val="clear" w:color="auto" w:fill="FFFFFF"/>
            <w:vAlign w:val="center"/>
          </w:tcPr>
          <w:p w14:paraId="334AE5F9" w14:textId="05E68BBB" w:rsidR="00550D2B" w:rsidRDefault="00456F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File Format</w:t>
            </w:r>
          </w:p>
        </w:tc>
      </w:tr>
    </w:tbl>
    <w:p w14:paraId="5904F472" w14:textId="77777777" w:rsidR="00550D2B" w:rsidRDefault="00B93E89">
      <w:pPr>
        <w:pStyle w:val="Heading1"/>
      </w:pPr>
      <w:r>
        <w:t>G5: Change Design Description</w:t>
      </w:r>
    </w:p>
    <w:tbl>
      <w:tblPr>
        <w:tblStyle w:val="TableGrid"/>
        <w:tblW w:w="496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960"/>
      </w:tblGrid>
      <w:tr w:rsidR="00550D2B" w14:paraId="37213341" w14:textId="77777777">
        <w:trPr>
          <w:trHeight w:val="3102"/>
        </w:trPr>
        <w:tc>
          <w:tcPr>
            <w:tcW w:w="5000" w:type="pct"/>
            <w:vAlign w:val="center"/>
          </w:tcPr>
          <w:p w14:paraId="10DF94E9" w14:textId="77777777" w:rsidR="00811883" w:rsidRDefault="00811883" w:rsidP="00F66F2E">
            <w:pPr>
              <w:jc w:val="both"/>
              <w:rPr>
                <w:rFonts w:cs="Arial"/>
                <w:b/>
                <w:bCs/>
              </w:rPr>
            </w:pPr>
          </w:p>
          <w:p w14:paraId="3603733F" w14:textId="4382ED8A" w:rsidR="00630719" w:rsidRPr="00996EF7" w:rsidRDefault="00D06BC9" w:rsidP="00F66F2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Scenario</w:t>
            </w:r>
            <w:r w:rsidR="000F065B">
              <w:rPr>
                <w:rFonts w:cs="Arial"/>
                <w:b/>
                <w:bCs/>
              </w:rPr>
              <w:t xml:space="preserve"> 1 – </w:t>
            </w:r>
            <w:r w:rsidR="00E85073">
              <w:rPr>
                <w:rFonts w:cs="Arial"/>
                <w:b/>
                <w:bCs/>
              </w:rPr>
              <w:t xml:space="preserve">Meter </w:t>
            </w:r>
            <w:r w:rsidR="00CA2B48">
              <w:rPr>
                <w:rFonts w:cs="Arial"/>
                <w:b/>
                <w:bCs/>
              </w:rPr>
              <w:t>I</w:t>
            </w:r>
            <w:r w:rsidR="000F065B">
              <w:rPr>
                <w:rFonts w:cs="Arial"/>
                <w:b/>
                <w:bCs/>
              </w:rPr>
              <w:t xml:space="preserve">solation </w:t>
            </w:r>
            <w:r w:rsidR="00CA2B48">
              <w:rPr>
                <w:rFonts w:cs="Arial"/>
                <w:b/>
                <w:bCs/>
              </w:rPr>
              <w:t>at</w:t>
            </w:r>
            <w:r w:rsidR="000F065B">
              <w:rPr>
                <w:rFonts w:cs="Arial"/>
                <w:b/>
                <w:bCs/>
              </w:rPr>
              <w:t xml:space="preserve"> a Sub Site</w:t>
            </w:r>
          </w:p>
          <w:p w14:paraId="038DA104" w14:textId="053A366F" w:rsidR="00D3172D" w:rsidRDefault="00E85073" w:rsidP="00F66F2E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Where </w:t>
            </w:r>
            <w:r w:rsidR="00CA2B48">
              <w:rPr>
                <w:rFonts w:cs="Arial"/>
                <w:lang w:val="en-US"/>
              </w:rPr>
              <w:t xml:space="preserve">the metering is isolated at a </w:t>
            </w:r>
            <w:r>
              <w:rPr>
                <w:rFonts w:cs="Arial"/>
                <w:lang w:val="en-US"/>
              </w:rPr>
              <w:t xml:space="preserve">sub site </w:t>
            </w:r>
            <w:r w:rsidR="00CA2B48">
              <w:rPr>
                <w:rFonts w:cs="Arial"/>
                <w:lang w:val="en-US"/>
              </w:rPr>
              <w:t xml:space="preserve">this change will </w:t>
            </w:r>
            <w:r w:rsidR="00183AFE">
              <w:rPr>
                <w:rFonts w:cs="Arial"/>
                <w:lang w:val="en-US"/>
              </w:rPr>
              <w:t xml:space="preserve">ensure that </w:t>
            </w:r>
            <w:r w:rsidR="00B45245">
              <w:rPr>
                <w:rFonts w:cs="Arial"/>
                <w:lang w:val="en-US"/>
              </w:rPr>
              <w:t xml:space="preserve">estimated </w:t>
            </w:r>
            <w:r w:rsidR="00D554C0">
              <w:rPr>
                <w:rFonts w:cs="Arial"/>
                <w:lang w:val="en-US"/>
              </w:rPr>
              <w:t>coterminous reads are generated</w:t>
            </w:r>
            <w:r w:rsidR="00B45245">
              <w:rPr>
                <w:rFonts w:cs="Arial"/>
                <w:lang w:val="en-US"/>
              </w:rPr>
              <w:t>, by the CDSP,</w:t>
            </w:r>
            <w:r w:rsidR="00D554C0">
              <w:rPr>
                <w:rFonts w:cs="Arial"/>
                <w:lang w:val="en-US"/>
              </w:rPr>
              <w:t xml:space="preserve"> </w:t>
            </w:r>
            <w:r w:rsidR="00F80423">
              <w:rPr>
                <w:rFonts w:cs="Arial"/>
                <w:lang w:val="en-US"/>
              </w:rPr>
              <w:t xml:space="preserve">on the related sub sites to allow the net off calculation/reconciliation of the Prime Site to be </w:t>
            </w:r>
            <w:r w:rsidR="00B45245">
              <w:rPr>
                <w:rFonts w:cs="Arial"/>
                <w:lang w:val="en-US"/>
              </w:rPr>
              <w:t>completed</w:t>
            </w:r>
            <w:r w:rsidR="00FE2B86">
              <w:rPr>
                <w:rFonts w:cs="Arial"/>
                <w:lang w:val="en-US"/>
              </w:rPr>
              <w:t xml:space="preserve"> on time</w:t>
            </w:r>
            <w:r w:rsidR="00B45245">
              <w:rPr>
                <w:rFonts w:cs="Arial"/>
                <w:lang w:val="en-US"/>
              </w:rPr>
              <w:t>.</w:t>
            </w:r>
          </w:p>
          <w:p w14:paraId="68137ED3" w14:textId="4EF54263" w:rsidR="00B45245" w:rsidRDefault="00B45245" w:rsidP="00F66F2E">
            <w:pPr>
              <w:jc w:val="both"/>
              <w:rPr>
                <w:rFonts w:cs="Arial"/>
                <w:lang w:val="en-US"/>
              </w:rPr>
            </w:pPr>
          </w:p>
          <w:p w14:paraId="3200B2B9" w14:textId="76195EAB" w:rsidR="00B45245" w:rsidRDefault="00B45245" w:rsidP="00F66F2E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The coterminous reads generated by the CDSP will be issued to the </w:t>
            </w:r>
            <w:r w:rsidR="00100A99">
              <w:rPr>
                <w:rFonts w:cs="Arial"/>
                <w:lang w:val="en-US"/>
              </w:rPr>
              <w:t>respective Shipper User</w:t>
            </w:r>
            <w:r w:rsidR="00F2116D">
              <w:rPr>
                <w:rFonts w:cs="Arial"/>
                <w:lang w:val="en-US"/>
              </w:rPr>
              <w:t>(s)</w:t>
            </w:r>
            <w:r w:rsidR="00100A99">
              <w:rPr>
                <w:rFonts w:cs="Arial"/>
                <w:lang w:val="en-US"/>
              </w:rPr>
              <w:t xml:space="preserve"> </w:t>
            </w:r>
            <w:r w:rsidR="008B6239">
              <w:rPr>
                <w:rFonts w:cs="Arial"/>
                <w:lang w:val="en-US"/>
              </w:rPr>
              <w:t>within the M03 record of</w:t>
            </w:r>
            <w:r w:rsidR="00100A99">
              <w:rPr>
                <w:rFonts w:cs="Arial"/>
                <w:lang w:val="en-US"/>
              </w:rPr>
              <w:t xml:space="preserve"> the MBR </w:t>
            </w:r>
            <w:r w:rsidR="008B6239">
              <w:rPr>
                <w:rFonts w:cs="Arial"/>
                <w:lang w:val="en-US"/>
              </w:rPr>
              <w:t>file</w:t>
            </w:r>
            <w:r w:rsidR="00607B9E">
              <w:rPr>
                <w:rFonts w:cs="Arial"/>
                <w:lang w:val="en-US"/>
              </w:rPr>
              <w:t>.</w:t>
            </w:r>
            <w:r w:rsidR="003745A5">
              <w:rPr>
                <w:rFonts w:cs="Arial"/>
                <w:lang w:val="en-US"/>
              </w:rPr>
              <w:t xml:space="preserve"> </w:t>
            </w:r>
            <w:r w:rsidR="00607B9E">
              <w:rPr>
                <w:rFonts w:cs="Arial"/>
                <w:lang w:val="en-US"/>
              </w:rPr>
              <w:t xml:space="preserve">These will have </w:t>
            </w:r>
            <w:r w:rsidR="003745A5">
              <w:rPr>
                <w:rFonts w:cs="Arial"/>
              </w:rPr>
              <w:t xml:space="preserve">a </w:t>
            </w:r>
            <w:r w:rsidR="00285E04">
              <w:rPr>
                <w:rFonts w:cs="Arial"/>
              </w:rPr>
              <w:t>Read Reason Code</w:t>
            </w:r>
            <w:r w:rsidR="003745A5" w:rsidRPr="007E1021">
              <w:rPr>
                <w:rFonts w:cs="Arial"/>
              </w:rPr>
              <w:t xml:space="preserve"> </w:t>
            </w:r>
            <w:r w:rsidR="003745A5">
              <w:rPr>
                <w:rFonts w:cs="Arial"/>
              </w:rPr>
              <w:t>of</w:t>
            </w:r>
            <w:r w:rsidR="003745A5" w:rsidRPr="007E1021">
              <w:rPr>
                <w:rFonts w:cs="Arial"/>
              </w:rPr>
              <w:t xml:space="preserve"> ‘CYCL’</w:t>
            </w:r>
            <w:r w:rsidR="005E2BF2">
              <w:rPr>
                <w:rFonts w:cs="Arial"/>
              </w:rPr>
              <w:t xml:space="preserve"> and</w:t>
            </w:r>
            <w:r w:rsidR="003745A5" w:rsidRPr="007E1021">
              <w:rPr>
                <w:rFonts w:cs="Arial"/>
              </w:rPr>
              <w:t xml:space="preserve"> </w:t>
            </w:r>
            <w:r w:rsidR="00285E04">
              <w:rPr>
                <w:rFonts w:cs="Arial"/>
              </w:rPr>
              <w:t>R</w:t>
            </w:r>
            <w:r w:rsidR="003745A5" w:rsidRPr="007E1021">
              <w:rPr>
                <w:rFonts w:cs="Arial"/>
              </w:rPr>
              <w:t xml:space="preserve">ead </w:t>
            </w:r>
            <w:r w:rsidR="00285E04">
              <w:rPr>
                <w:rFonts w:cs="Arial"/>
              </w:rPr>
              <w:t>T</w:t>
            </w:r>
            <w:r w:rsidR="003745A5" w:rsidRPr="007E1021">
              <w:rPr>
                <w:rFonts w:cs="Arial"/>
              </w:rPr>
              <w:t>ype</w:t>
            </w:r>
            <w:r w:rsidR="005E2BF2">
              <w:rPr>
                <w:rFonts w:cs="Arial"/>
              </w:rPr>
              <w:t xml:space="preserve"> </w:t>
            </w:r>
            <w:r w:rsidR="00285E04">
              <w:rPr>
                <w:rFonts w:cs="Arial"/>
              </w:rPr>
              <w:t xml:space="preserve">of </w:t>
            </w:r>
            <w:r w:rsidR="00420969">
              <w:rPr>
                <w:rFonts w:cs="Arial"/>
              </w:rPr>
              <w:t>‘</w:t>
            </w:r>
            <w:r w:rsidR="003745A5" w:rsidRPr="007E1021">
              <w:rPr>
                <w:rFonts w:cs="Arial"/>
              </w:rPr>
              <w:t>E</w:t>
            </w:r>
            <w:r w:rsidR="00420969">
              <w:rPr>
                <w:rFonts w:cs="Arial"/>
              </w:rPr>
              <w:t>’</w:t>
            </w:r>
            <w:r w:rsidR="00FE2B86">
              <w:rPr>
                <w:rFonts w:cs="Arial"/>
              </w:rPr>
              <w:t xml:space="preserve"> (</w:t>
            </w:r>
            <w:r w:rsidR="00B343EB">
              <w:rPr>
                <w:rFonts w:cs="Arial"/>
              </w:rPr>
              <w:t>As per e</w:t>
            </w:r>
            <w:r w:rsidR="00FE2B86">
              <w:rPr>
                <w:rFonts w:cs="Arial"/>
              </w:rPr>
              <w:t xml:space="preserve">xisting </w:t>
            </w:r>
            <w:r w:rsidR="00B343EB">
              <w:rPr>
                <w:rFonts w:cs="Arial"/>
              </w:rPr>
              <w:t>process – No Change</w:t>
            </w:r>
            <w:r w:rsidR="00FE2B86">
              <w:rPr>
                <w:rFonts w:cs="Arial"/>
              </w:rPr>
              <w:t>)</w:t>
            </w:r>
          </w:p>
          <w:p w14:paraId="35941CFF" w14:textId="641E6DE4" w:rsidR="00CA49DC" w:rsidRDefault="00CA49DC" w:rsidP="00F66F2E">
            <w:pPr>
              <w:jc w:val="both"/>
              <w:rPr>
                <w:rFonts w:cs="Arial"/>
                <w:lang w:val="en-US"/>
              </w:rPr>
            </w:pPr>
          </w:p>
          <w:p w14:paraId="7E6ABE42" w14:textId="645ABF53" w:rsidR="008A633A" w:rsidRDefault="00B0359C" w:rsidP="00F66F2E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There will be </w:t>
            </w:r>
            <w:r w:rsidR="003E654B">
              <w:rPr>
                <w:rFonts w:cs="Arial"/>
                <w:lang w:val="en-US"/>
              </w:rPr>
              <w:t xml:space="preserve">the need for </w:t>
            </w:r>
            <w:r>
              <w:rPr>
                <w:rFonts w:cs="Arial"/>
                <w:lang w:val="en-US"/>
              </w:rPr>
              <w:t>a documentation only change</w:t>
            </w:r>
            <w:r w:rsidR="003E654B">
              <w:rPr>
                <w:rFonts w:cs="Arial"/>
                <w:lang w:val="en-US"/>
              </w:rPr>
              <w:t xml:space="preserve"> to</w:t>
            </w:r>
            <w:r>
              <w:rPr>
                <w:rFonts w:cs="Arial"/>
                <w:lang w:val="en-US"/>
              </w:rPr>
              <w:t xml:space="preserve"> </w:t>
            </w:r>
            <w:r w:rsidR="003E654B">
              <w:rPr>
                <w:rFonts w:cs="Arial"/>
                <w:lang w:val="en-US"/>
              </w:rPr>
              <w:t>t</w:t>
            </w:r>
            <w:r w:rsidR="008A633A">
              <w:rPr>
                <w:rFonts w:cs="Arial"/>
                <w:lang w:val="en-US"/>
              </w:rPr>
              <w:t xml:space="preserve">he M03 record format </w:t>
            </w:r>
            <w:r w:rsidR="003E654B">
              <w:rPr>
                <w:rFonts w:cs="Arial"/>
                <w:lang w:val="en-US"/>
              </w:rPr>
              <w:t>to provide</w:t>
            </w:r>
            <w:r w:rsidR="000F06C7">
              <w:rPr>
                <w:rFonts w:cs="Arial"/>
                <w:lang w:val="en-US"/>
              </w:rPr>
              <w:t xml:space="preserve"> clarity </w:t>
            </w:r>
            <w:r w:rsidR="00F701C1">
              <w:rPr>
                <w:rFonts w:cs="Arial"/>
                <w:lang w:val="en-US"/>
              </w:rPr>
              <w:t>o</w:t>
            </w:r>
            <w:r w:rsidR="00072763">
              <w:rPr>
                <w:rFonts w:cs="Arial"/>
                <w:lang w:val="en-US"/>
              </w:rPr>
              <w:t>n</w:t>
            </w:r>
            <w:r w:rsidR="00F701C1">
              <w:rPr>
                <w:rFonts w:cs="Arial"/>
                <w:lang w:val="en-US"/>
              </w:rPr>
              <w:t xml:space="preserve"> </w:t>
            </w:r>
            <w:r w:rsidR="00190535">
              <w:rPr>
                <w:rFonts w:cs="Arial"/>
                <w:lang w:val="en-US"/>
              </w:rPr>
              <w:t xml:space="preserve">when the </w:t>
            </w:r>
            <w:r w:rsidR="00511DFD">
              <w:rPr>
                <w:rFonts w:cs="Arial"/>
                <w:lang w:val="en-US"/>
              </w:rPr>
              <w:t>Reason Code of ‘CYCL’ can be used</w:t>
            </w:r>
            <w:r w:rsidR="00420969">
              <w:rPr>
                <w:rFonts w:cs="Arial"/>
                <w:lang w:val="en-US"/>
              </w:rPr>
              <w:t xml:space="preserve"> with a Read Type of ‘E’</w:t>
            </w:r>
            <w:r w:rsidR="00511DFD">
              <w:rPr>
                <w:rFonts w:cs="Arial"/>
                <w:lang w:val="en-US"/>
              </w:rPr>
              <w:t xml:space="preserve">. </w:t>
            </w:r>
            <w:r w:rsidR="008A633A">
              <w:rPr>
                <w:rFonts w:cs="Arial"/>
                <w:lang w:val="en-US"/>
              </w:rPr>
              <w:t>For the avoidance of d</w:t>
            </w:r>
            <w:r w:rsidR="00D50697">
              <w:rPr>
                <w:rFonts w:cs="Arial"/>
                <w:lang w:val="en-US"/>
              </w:rPr>
              <w:t>ou</w:t>
            </w:r>
            <w:r w:rsidR="00266636">
              <w:rPr>
                <w:rFonts w:cs="Arial"/>
                <w:lang w:val="en-US"/>
              </w:rPr>
              <w:t>b</w:t>
            </w:r>
            <w:r w:rsidR="00D50697">
              <w:rPr>
                <w:rFonts w:cs="Arial"/>
                <w:lang w:val="en-US"/>
              </w:rPr>
              <w:t>t</w:t>
            </w:r>
            <w:r w:rsidR="00511DFD">
              <w:rPr>
                <w:rFonts w:cs="Arial"/>
                <w:lang w:val="en-US"/>
              </w:rPr>
              <w:t xml:space="preserve">, there is no change to the </w:t>
            </w:r>
            <w:r w:rsidR="00C3734C">
              <w:rPr>
                <w:rFonts w:cs="Arial"/>
                <w:lang w:val="en-US"/>
              </w:rPr>
              <w:t xml:space="preserve">M03 record, nor to the MBR file </w:t>
            </w:r>
            <w:r w:rsidR="00942D64">
              <w:rPr>
                <w:rFonts w:cs="Arial"/>
                <w:lang w:val="en-US"/>
              </w:rPr>
              <w:t>format</w:t>
            </w:r>
            <w:r w:rsidR="00F2116D">
              <w:rPr>
                <w:rFonts w:cs="Arial"/>
                <w:lang w:val="en-US"/>
              </w:rPr>
              <w:t>,</w:t>
            </w:r>
            <w:r w:rsidR="00F832FA">
              <w:rPr>
                <w:rFonts w:cs="Arial"/>
                <w:lang w:val="en-US"/>
              </w:rPr>
              <w:t xml:space="preserve"> as this is already a valid combination</w:t>
            </w:r>
            <w:r w:rsidR="00C3734C">
              <w:rPr>
                <w:rFonts w:cs="Arial"/>
                <w:lang w:val="en-US"/>
              </w:rPr>
              <w:t>.</w:t>
            </w:r>
            <w:r w:rsidR="00DD5AB8">
              <w:rPr>
                <w:rFonts w:cs="Arial"/>
                <w:lang w:val="en-US"/>
              </w:rPr>
              <w:t xml:space="preserve"> As per the attached, proposed, version</w:t>
            </w:r>
            <w:r w:rsidR="0044682C">
              <w:rPr>
                <w:rFonts w:cs="Arial"/>
                <w:lang w:val="en-US"/>
              </w:rPr>
              <w:t xml:space="preserve"> </w:t>
            </w:r>
            <w:r w:rsidR="00072763">
              <w:rPr>
                <w:rFonts w:cs="Arial"/>
                <w:lang w:val="en-US"/>
              </w:rPr>
              <w:t xml:space="preserve">of the M03, </w:t>
            </w:r>
            <w:r w:rsidR="0044682C">
              <w:rPr>
                <w:rFonts w:cs="Arial"/>
                <w:lang w:val="en-US"/>
              </w:rPr>
              <w:t xml:space="preserve">the </w:t>
            </w:r>
            <w:r w:rsidR="00283BB7">
              <w:rPr>
                <w:rFonts w:cs="Arial"/>
                <w:lang w:val="en-US"/>
              </w:rPr>
              <w:t xml:space="preserve">Reason Code </w:t>
            </w:r>
            <w:r w:rsidR="0044682C">
              <w:rPr>
                <w:rFonts w:cs="Arial"/>
                <w:lang w:val="en-US"/>
              </w:rPr>
              <w:t>description</w:t>
            </w:r>
            <w:r w:rsidR="00257872">
              <w:rPr>
                <w:rFonts w:cs="Arial"/>
                <w:lang w:val="en-US"/>
              </w:rPr>
              <w:t xml:space="preserve"> </w:t>
            </w:r>
            <w:r w:rsidR="00CD29BC">
              <w:rPr>
                <w:rFonts w:cs="Arial"/>
                <w:lang w:val="en-US"/>
              </w:rPr>
              <w:t xml:space="preserve">will be updated </w:t>
            </w:r>
            <w:r w:rsidR="00257872">
              <w:rPr>
                <w:rFonts w:cs="Arial"/>
                <w:lang w:val="en-US"/>
              </w:rPr>
              <w:t>as highlighted in red</w:t>
            </w:r>
            <w:r w:rsidR="00283BB7">
              <w:rPr>
                <w:rFonts w:cs="Arial"/>
                <w:lang w:val="en-US"/>
              </w:rPr>
              <w:t>:</w:t>
            </w:r>
          </w:p>
          <w:p w14:paraId="2C27035A" w14:textId="77777777" w:rsidR="00C977B0" w:rsidRPr="00CD29BC" w:rsidRDefault="00C977B0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Style w:val="eop"/>
                <w:color w:val="000000"/>
                <w:sz w:val="20"/>
                <w:szCs w:val="20"/>
              </w:rPr>
              <w:t>----------------------------------------------------------------------</w:t>
            </w:r>
          </w:p>
          <w:p w14:paraId="720D7D86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The reason why the read was taken.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0A9566E2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VALUES: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2098A07B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1A5140E3" w14:textId="480065B0" w:rsidR="00257872" w:rsidRPr="00234D1D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CYCL – Cyclic Reads</w:t>
            </w:r>
            <w:r w:rsidR="006A4914" w:rsidRPr="00234D1D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lang w:val="en-US"/>
              </w:rPr>
              <w:t>, Actual or Estimated</w:t>
            </w:r>
            <w:r w:rsidR="00234D1D" w:rsidRPr="00234D1D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lang w:val="en-US"/>
              </w:rPr>
              <w:t>,</w:t>
            </w:r>
            <w:r w:rsidRPr="00234D1D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(Prime &amp; Sub Reads)</w:t>
            </w:r>
            <w:r w:rsidRPr="00234D1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Estimated Read for Confirmation Effective Date in Back Billing Processes</w:t>
            </w:r>
            <w:r w:rsidRPr="00234D1D">
              <w:rPr>
                <w:rStyle w:val="normaltextrun"/>
                <w:rFonts w:ascii="Arial" w:hAnsi="Arial"/>
                <w:lang w:val="en-US"/>
              </w:rPr>
              <w:t> </w:t>
            </w:r>
          </w:p>
          <w:p w14:paraId="3A3312C4" w14:textId="77777777" w:rsidR="00257872" w:rsidRPr="00234D1D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34D1D">
              <w:rPr>
                <w:rStyle w:val="normaltextrun"/>
                <w:rFonts w:ascii="Arial" w:hAnsi="Arial"/>
                <w:lang w:val="en-US"/>
              </w:rPr>
              <w:t> </w:t>
            </w:r>
          </w:p>
          <w:p w14:paraId="5463BBEC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MRUN – Must Reads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112D3AF5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0F3B83E7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OPNN – Install Opening Read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793FDF8D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OPNX – Exchange Opening Read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22700BA0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OPNT – Estimated opening Read (Transfer)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3F7AC614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FINX – Exchange Final Read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640DB5A5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FINT – Estimated final read (Transfer)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7CFE669C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FINC – Final Remove Read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46B36F8C" w14:textId="77777777" w:rsidR="00257872" w:rsidRDefault="00257872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FICC – Final Class Change Read (Same Shipper)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6CCB37E1" w14:textId="77777777" w:rsidR="00257872" w:rsidRDefault="00257872" w:rsidP="00F66F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LDEX - Estimated read for LDZ or Exit Zone Change 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4B2BB3C4" w14:textId="77777777" w:rsidR="00257872" w:rsidRDefault="00257872" w:rsidP="00F66F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LISR –Line In Sand Read (Code Cut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Off )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  </w:t>
            </w: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  <w:p w14:paraId="72732BA8" w14:textId="6BC9CC02" w:rsidR="00CD29BC" w:rsidRPr="00CD29BC" w:rsidRDefault="00CD29BC" w:rsidP="00F66F2E">
            <w:pPr>
              <w:pStyle w:val="paragraph"/>
              <w:spacing w:before="0" w:beforeAutospacing="0" w:after="0" w:afterAutospacing="0"/>
              <w:ind w:right="39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eop"/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Style w:val="eop"/>
                <w:color w:val="000000"/>
                <w:sz w:val="20"/>
                <w:szCs w:val="20"/>
              </w:rPr>
              <w:t>----------------------------------------------------------------------</w:t>
            </w:r>
          </w:p>
          <w:p w14:paraId="318C268F" w14:textId="086AC280" w:rsidR="00801AE5" w:rsidRDefault="00801AE5" w:rsidP="00F66F2E">
            <w:pPr>
              <w:jc w:val="both"/>
              <w:rPr>
                <w:rFonts w:cs="Arial"/>
                <w:lang w:val="en-US"/>
              </w:rPr>
            </w:pPr>
          </w:p>
          <w:p w14:paraId="7C6B5F36" w14:textId="61BA16EA" w:rsidR="005B43DD" w:rsidRDefault="005B43DD" w:rsidP="00F66F2E">
            <w:pPr>
              <w:jc w:val="both"/>
              <w:rPr>
                <w:rFonts w:cs="Arial"/>
                <w:lang w:val="en-US"/>
              </w:rPr>
            </w:pPr>
          </w:p>
          <w:p w14:paraId="228A6082" w14:textId="7148039C" w:rsidR="00C64CA8" w:rsidRPr="00C64CA8" w:rsidRDefault="00C64CA8" w:rsidP="00F66F2E">
            <w:pPr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Link: </w:t>
            </w:r>
            <w:hyperlink r:id="rId12" w:history="1">
              <w:r w:rsidRPr="00C64CA8">
                <w:rPr>
                  <w:rStyle w:val="Hyperlink"/>
                  <w:rFonts w:cs="Arial"/>
                  <w:b/>
                  <w:lang w:val="en-US"/>
                </w:rPr>
                <w:t>M03 BILLREADS V12FA</w:t>
              </w:r>
            </w:hyperlink>
          </w:p>
          <w:p w14:paraId="1D67C008" w14:textId="788B30D7" w:rsidR="006667AF" w:rsidRPr="001F326B" w:rsidRDefault="006667AF" w:rsidP="00F66F2E">
            <w:pPr>
              <w:jc w:val="both"/>
              <w:rPr>
                <w:rFonts w:cs="Arial"/>
              </w:rPr>
            </w:pPr>
          </w:p>
          <w:p w14:paraId="0EDD92E2" w14:textId="77777777" w:rsidR="00456F30" w:rsidRDefault="00456F30" w:rsidP="00F66F2E">
            <w:pPr>
              <w:jc w:val="both"/>
              <w:rPr>
                <w:rFonts w:cs="Arial"/>
                <w:i/>
                <w:iCs/>
              </w:rPr>
            </w:pPr>
          </w:p>
          <w:p w14:paraId="78B665AF" w14:textId="77F71127" w:rsidR="006667AF" w:rsidRPr="00996EF7" w:rsidRDefault="006667AF" w:rsidP="00F66F2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Scenario 2 – Read Replacement </w:t>
            </w:r>
            <w:r w:rsidR="0066744C">
              <w:rPr>
                <w:rFonts w:cs="Arial"/>
                <w:b/>
                <w:bCs/>
              </w:rPr>
              <w:t>for</w:t>
            </w:r>
            <w:r>
              <w:rPr>
                <w:rFonts w:cs="Arial"/>
                <w:b/>
                <w:bCs/>
              </w:rPr>
              <w:t xml:space="preserve"> a Sub Site</w:t>
            </w:r>
          </w:p>
          <w:p w14:paraId="4DA43D8F" w14:textId="2E7F8C76" w:rsidR="00ED193D" w:rsidRDefault="00ED6A46" w:rsidP="00F66F2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This change will ensure that the net off calculation of a Prime Site is </w:t>
            </w:r>
            <w:r w:rsidR="00ED5906">
              <w:rPr>
                <w:rFonts w:cs="Arial"/>
              </w:rPr>
              <w:t>triggered when a read is successfully Replaced on a related Sub Site.</w:t>
            </w:r>
          </w:p>
          <w:p w14:paraId="6E3C521F" w14:textId="1B276580" w:rsidR="00ED5906" w:rsidRDefault="00ED5906" w:rsidP="00F66F2E">
            <w:pPr>
              <w:jc w:val="both"/>
              <w:rPr>
                <w:rFonts w:cs="Arial"/>
              </w:rPr>
            </w:pPr>
          </w:p>
          <w:p w14:paraId="516DAB40" w14:textId="31F725B3" w:rsidR="00ED5906" w:rsidRPr="00ED193D" w:rsidRDefault="009D1DD0" w:rsidP="00F66F2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There will be no changes to the recon</w:t>
            </w:r>
            <w:r w:rsidR="0049592F">
              <w:rPr>
                <w:rFonts w:cs="Arial"/>
              </w:rPr>
              <w:t>ciliation process itself</w:t>
            </w:r>
            <w:r w:rsidR="00465A05">
              <w:rPr>
                <w:rFonts w:cs="Arial"/>
              </w:rPr>
              <w:t xml:space="preserve">, </w:t>
            </w:r>
            <w:r w:rsidR="00B944C7">
              <w:rPr>
                <w:rFonts w:cs="Arial"/>
              </w:rPr>
              <w:t xml:space="preserve">the </w:t>
            </w:r>
            <w:r w:rsidR="00465A05">
              <w:rPr>
                <w:rFonts w:cs="Arial"/>
              </w:rPr>
              <w:t>only</w:t>
            </w:r>
            <w:r w:rsidR="00B944C7">
              <w:rPr>
                <w:rFonts w:cs="Arial"/>
              </w:rPr>
              <w:t xml:space="preserve"> change is</w:t>
            </w:r>
            <w:r w:rsidR="00465A05">
              <w:rPr>
                <w:rFonts w:cs="Arial"/>
              </w:rPr>
              <w:t xml:space="preserve"> to enable the trigger at the correct point to remove the requirement of manual monitoring </w:t>
            </w:r>
            <w:r w:rsidR="00811883">
              <w:rPr>
                <w:rFonts w:cs="Arial"/>
              </w:rPr>
              <w:t>and intervention.</w:t>
            </w:r>
          </w:p>
          <w:p w14:paraId="2BDBE510" w14:textId="10AB915D" w:rsidR="006667AF" w:rsidRDefault="006667AF" w:rsidP="00F66F2E">
            <w:pPr>
              <w:jc w:val="both"/>
              <w:rPr>
                <w:rFonts w:cs="Arial"/>
              </w:rPr>
            </w:pPr>
          </w:p>
          <w:p w14:paraId="20F45775" w14:textId="65AB8392" w:rsidR="004709BB" w:rsidRDefault="004709BB" w:rsidP="00F66F2E">
            <w:pPr>
              <w:jc w:val="both"/>
              <w:rPr>
                <w:rFonts w:cs="Arial"/>
                <w:b/>
                <w:bCs/>
              </w:rPr>
            </w:pPr>
            <w:r w:rsidRPr="00E95FFC">
              <w:rPr>
                <w:rFonts w:cs="Arial"/>
                <w:b/>
                <w:bCs/>
              </w:rPr>
              <w:t>Imp</w:t>
            </w:r>
            <w:r w:rsidR="00E95FFC" w:rsidRPr="00E95FFC">
              <w:rPr>
                <w:rFonts w:cs="Arial"/>
                <w:b/>
                <w:bCs/>
              </w:rPr>
              <w:t>a</w:t>
            </w:r>
            <w:r w:rsidRPr="00E95FFC">
              <w:rPr>
                <w:rFonts w:cs="Arial"/>
                <w:b/>
                <w:bCs/>
              </w:rPr>
              <w:t>cted Systems</w:t>
            </w:r>
          </w:p>
          <w:p w14:paraId="7FE36548" w14:textId="350000FA" w:rsidR="00E95FFC" w:rsidRPr="00F66F2E" w:rsidRDefault="00E95FFC" w:rsidP="00F66F2E">
            <w:pPr>
              <w:jc w:val="both"/>
              <w:rPr>
                <w:rFonts w:cs="Arial"/>
              </w:rPr>
            </w:pPr>
            <w:r w:rsidRPr="00F66F2E">
              <w:rPr>
                <w:rFonts w:cs="Arial"/>
              </w:rPr>
              <w:t xml:space="preserve">As per the detail provided above, the only </w:t>
            </w:r>
            <w:r w:rsidR="006373DB" w:rsidRPr="00F66F2E">
              <w:rPr>
                <w:rFonts w:cs="Arial"/>
              </w:rPr>
              <w:t xml:space="preserve">functional area </w:t>
            </w:r>
            <w:r w:rsidRPr="00F66F2E">
              <w:rPr>
                <w:rFonts w:cs="Arial"/>
              </w:rPr>
              <w:t xml:space="preserve">impacted </w:t>
            </w:r>
            <w:r w:rsidR="006373DB" w:rsidRPr="00F66F2E">
              <w:rPr>
                <w:rFonts w:cs="Arial"/>
              </w:rPr>
              <w:t>by this change</w:t>
            </w:r>
            <w:r w:rsidR="006F559C" w:rsidRPr="00F66F2E">
              <w:rPr>
                <w:rFonts w:cs="Arial"/>
              </w:rPr>
              <w:t xml:space="preserve"> is </w:t>
            </w:r>
            <w:r w:rsidR="00F4264E" w:rsidRPr="00F66F2E">
              <w:rPr>
                <w:rFonts w:cs="Arial"/>
              </w:rPr>
              <w:t>SAP ISU.</w:t>
            </w:r>
          </w:p>
          <w:p w14:paraId="204DBDFC" w14:textId="77777777" w:rsidR="004709BB" w:rsidRDefault="004709BB" w:rsidP="00F66F2E">
            <w:pPr>
              <w:jc w:val="both"/>
              <w:rPr>
                <w:rFonts w:cs="Arial"/>
              </w:rPr>
            </w:pPr>
          </w:p>
          <w:p w14:paraId="2EBE297D" w14:textId="49F72189" w:rsidR="002C4DA0" w:rsidRDefault="004709BB" w:rsidP="00A172C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6EE50B7" wp14:editId="4341AF84">
                  <wp:extent cx="5023485" cy="1560830"/>
                  <wp:effectExtent l="0" t="0" r="5715" b="127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485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8DB885" w14:textId="0AECAF72" w:rsidR="004709BB" w:rsidRDefault="004709BB" w:rsidP="00F66F2E">
            <w:pPr>
              <w:jc w:val="both"/>
              <w:rPr>
                <w:rFonts w:cs="Arial"/>
              </w:rPr>
            </w:pPr>
          </w:p>
          <w:p w14:paraId="242692BC" w14:textId="77777777" w:rsidR="00614F43" w:rsidRPr="00CA52E6" w:rsidRDefault="00614F43" w:rsidP="00614F43">
            <w:pPr>
              <w:rPr>
                <w:rFonts w:cs="Arial"/>
              </w:rPr>
            </w:pPr>
            <w:r>
              <w:rPr>
                <w:rFonts w:cs="Arial"/>
              </w:rPr>
              <w:t>As part of the impact assessment it has been verified that this change will not impact any ongoing releases or changes.</w:t>
            </w:r>
          </w:p>
          <w:p w14:paraId="52D0CB7A" w14:textId="77777777" w:rsidR="002C4DA0" w:rsidRDefault="002C4DA0" w:rsidP="00F66F2E">
            <w:pPr>
              <w:jc w:val="both"/>
              <w:rPr>
                <w:rFonts w:cs="Arial"/>
              </w:rPr>
            </w:pPr>
          </w:p>
          <w:p w14:paraId="4E3F5755" w14:textId="77777777" w:rsidR="007E0031" w:rsidRPr="00C25968" w:rsidRDefault="00C25968" w:rsidP="00F66F2E">
            <w:pPr>
              <w:jc w:val="both"/>
              <w:rPr>
                <w:rFonts w:cs="Arial"/>
                <w:b/>
                <w:bCs/>
              </w:rPr>
            </w:pPr>
            <w:r w:rsidRPr="00C25968">
              <w:rPr>
                <w:rFonts w:cs="Arial"/>
                <w:b/>
                <w:bCs/>
              </w:rPr>
              <w:t>Implementation</w:t>
            </w:r>
          </w:p>
          <w:p w14:paraId="28B8FC9B" w14:textId="77777777" w:rsidR="00C25968" w:rsidRDefault="00C25968" w:rsidP="00F66F2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As per section G8</w:t>
            </w:r>
            <w:r w:rsidR="00B61ADF">
              <w:rPr>
                <w:rFonts w:cs="Arial"/>
              </w:rPr>
              <w:t xml:space="preserve">, the aim is to deliver these changes as soon as possible post </w:t>
            </w:r>
            <w:r w:rsidR="0065356F">
              <w:rPr>
                <w:rFonts w:cs="Arial"/>
              </w:rPr>
              <w:t>approval</w:t>
            </w:r>
            <w:r w:rsidR="00ED193D">
              <w:rPr>
                <w:rFonts w:cs="Arial"/>
              </w:rPr>
              <w:t xml:space="preserve"> so please consider this objective when submitting your representations.</w:t>
            </w:r>
          </w:p>
          <w:p w14:paraId="3EDCC93E" w14:textId="716E1F70" w:rsidR="00811883" w:rsidRPr="00810A6B" w:rsidRDefault="00811883" w:rsidP="00F66F2E">
            <w:pPr>
              <w:jc w:val="both"/>
              <w:rPr>
                <w:rFonts w:cs="Arial"/>
              </w:rPr>
            </w:pPr>
          </w:p>
        </w:tc>
      </w:tr>
    </w:tbl>
    <w:p w14:paraId="0FB81564" w14:textId="77777777" w:rsidR="00550D2B" w:rsidRDefault="00B93E89">
      <w:pPr>
        <w:pStyle w:val="Heading1"/>
      </w:pPr>
      <w:r>
        <w:lastRenderedPageBreak/>
        <w:t>G6: 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771A8B5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4194977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79240D2E" w14:textId="77777777" w:rsidR="00550D2B" w:rsidRDefault="00B93E89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</w:tbl>
    <w:p w14:paraId="50600BD4" w14:textId="77777777" w:rsidR="00550D2B" w:rsidRDefault="00B93E89">
      <w:pPr>
        <w:pStyle w:val="Heading1"/>
      </w:pPr>
      <w:r>
        <w:lastRenderedPageBreak/>
        <w:t>G7: 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3A9A7752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FB296A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Target DSG discussion date:</w:t>
            </w:r>
          </w:p>
        </w:tc>
        <w:tc>
          <w:tcPr>
            <w:tcW w:w="3777" w:type="pct"/>
            <w:vAlign w:val="center"/>
          </w:tcPr>
          <w:p w14:paraId="514AB8A5" w14:textId="18A5E34B" w:rsidR="00550D2B" w:rsidRDefault="00A0128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C6C61">
              <w:rPr>
                <w:rFonts w:cs="Arial"/>
              </w:rPr>
              <w:t>0</w:t>
            </w:r>
            <w:r w:rsidRPr="00A75964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</w:t>
            </w:r>
            <w:r w:rsidR="004C6C61">
              <w:rPr>
                <w:rFonts w:cs="Arial"/>
              </w:rPr>
              <w:t>December</w:t>
            </w:r>
            <w:r>
              <w:rPr>
                <w:rFonts w:cs="Arial"/>
              </w:rPr>
              <w:t xml:space="preserve"> 2021</w:t>
            </w:r>
          </w:p>
        </w:tc>
      </w:tr>
      <w:tr w:rsidR="00550D2B" w14:paraId="5125D5BB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2E0556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03398812" w14:textId="65635F87" w:rsidR="00550D2B" w:rsidRPr="004D1E59" w:rsidRDefault="004D1E59" w:rsidP="00F135D9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Solution option was discussed, minutes available </w:t>
            </w:r>
            <w:hyperlink r:id="rId14" w:history="1">
              <w:r w:rsidRPr="009D6F01">
                <w:rPr>
                  <w:rStyle w:val="Hyperlink"/>
                  <w:rFonts w:cs="Arial"/>
                  <w:szCs w:val="20"/>
                </w:rPr>
                <w:t>here</w:t>
              </w:r>
            </w:hyperlink>
            <w:r>
              <w:rPr>
                <w:rFonts w:cs="Arial"/>
                <w:szCs w:val="20"/>
              </w:rPr>
              <w:t>, and the</w:t>
            </w:r>
            <w:r w:rsidR="0071570A">
              <w:rPr>
                <w:rFonts w:cs="Arial"/>
                <w:szCs w:val="20"/>
              </w:rPr>
              <w:t>re were no challenges or objections to the</w:t>
            </w:r>
            <w:r>
              <w:rPr>
                <w:rFonts w:cs="Arial"/>
                <w:szCs w:val="20"/>
              </w:rPr>
              <w:t xml:space="preserve"> proposed solution</w:t>
            </w:r>
            <w:r w:rsidR="0071570A">
              <w:rPr>
                <w:rFonts w:cs="Arial"/>
                <w:szCs w:val="20"/>
              </w:rPr>
              <w:t>.</w:t>
            </w:r>
          </w:p>
        </w:tc>
      </w:tr>
    </w:tbl>
    <w:p w14:paraId="338553CF" w14:textId="77777777" w:rsidR="00550D2B" w:rsidRDefault="00B93E89">
      <w:pPr>
        <w:pStyle w:val="Heading1"/>
      </w:pPr>
      <w:r>
        <w:t>G8: 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21BCBF68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1CECF3C2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49501EDC" w14:textId="242A5232" w:rsidR="00550D2B" w:rsidRDefault="0071570A">
            <w:pPr>
              <w:rPr>
                <w:rFonts w:cs="Arial"/>
              </w:rPr>
            </w:pPr>
            <w:r>
              <w:rPr>
                <w:rFonts w:cs="Arial"/>
              </w:rPr>
              <w:t>Ad hoc</w:t>
            </w:r>
            <w:r w:rsidR="00A97135">
              <w:rPr>
                <w:rFonts w:cs="Arial"/>
              </w:rPr>
              <w:t xml:space="preserve"> – ASAP post approval</w:t>
            </w:r>
          </w:p>
        </w:tc>
      </w:tr>
      <w:tr w:rsidR="00550D2B" w14:paraId="588E1F1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07B852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Status:</w:t>
            </w:r>
          </w:p>
        </w:tc>
        <w:tc>
          <w:tcPr>
            <w:tcW w:w="3777" w:type="pct"/>
            <w:vAlign w:val="center"/>
          </w:tcPr>
          <w:p w14:paraId="0036FCD5" w14:textId="065B0F58" w:rsidR="00550D2B" w:rsidRDefault="0053476F">
            <w:pPr>
              <w:rPr>
                <w:rFonts w:cs="Arial"/>
              </w:rPr>
            </w:pPr>
            <w:r>
              <w:rPr>
                <w:rFonts w:cs="Arial"/>
              </w:rPr>
              <w:t>Awaiting approval</w:t>
            </w:r>
          </w:p>
        </w:tc>
      </w:tr>
    </w:tbl>
    <w:p w14:paraId="5F4B9989" w14:textId="77777777" w:rsidR="00550D2B" w:rsidRDefault="00550D2B"/>
    <w:p w14:paraId="724DFF5F" w14:textId="77777777" w:rsidR="00550D2B" w:rsidRDefault="00550D2B"/>
    <w:p w14:paraId="354AE137" w14:textId="7A139D36" w:rsidR="000D5527" w:rsidRDefault="00B93E89">
      <w:r>
        <w:t xml:space="preserve">Please see the following page for representation comments template; responses to </w:t>
      </w:r>
      <w:hyperlink r:id="rId15">
        <w:r>
          <w:rPr>
            <w:rStyle w:val="Hyperlink"/>
          </w:rPr>
          <w:t>uklink@xoserve.com</w:t>
        </w:r>
      </w:hyperlink>
      <w:r>
        <w:t xml:space="preserve"> </w:t>
      </w:r>
    </w:p>
    <w:p w14:paraId="5D830E29" w14:textId="77777777" w:rsidR="000D5527" w:rsidRDefault="000D5527">
      <w:r>
        <w:br w:type="page"/>
      </w:r>
    </w:p>
    <w:p w14:paraId="07C32A51" w14:textId="77777777" w:rsidR="000D5527" w:rsidRDefault="000D5527" w:rsidP="000D5527">
      <w:pPr>
        <w:pStyle w:val="Title"/>
      </w:pPr>
      <w:r>
        <w:lastRenderedPageBreak/>
        <w:t>Section H: Representation Response</w:t>
      </w:r>
    </w:p>
    <w:p w14:paraId="653B1CB9" w14:textId="77777777" w:rsidR="000D5527" w:rsidRDefault="000D5527" w:rsidP="000D5527"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>
        <w:rPr>
          <w:rStyle w:val="Heading1Char"/>
        </w:rPr>
        <w:t>H1: Change Representation</w:t>
      </w:r>
      <w:r>
        <w:t xml:space="preserve"> </w:t>
      </w:r>
    </w:p>
    <w:p w14:paraId="27C9C0FF" w14:textId="77777777" w:rsidR="000D5527" w:rsidRDefault="000D5527" w:rsidP="000D5527">
      <w:r>
        <w:t>(To be completed by User and returned for response)</w:t>
      </w:r>
    </w:p>
    <w:p w14:paraId="01FDBDAC" w14:textId="77777777" w:rsidR="000D5527" w:rsidRPr="00B10406" w:rsidRDefault="000D5527" w:rsidP="000D5527">
      <w:pPr>
        <w:pStyle w:val="Heading1"/>
        <w:rPr>
          <w:rFonts w:eastAsiaTheme="minorEastAsia" w:cstheme="minorBidi"/>
          <w:i/>
          <w:color w:val="auto"/>
          <w:sz w:val="22"/>
          <w:szCs w:val="22"/>
        </w:rPr>
      </w:pPr>
      <w:r w:rsidRPr="00B10406">
        <w:rPr>
          <w:rFonts w:eastAsiaTheme="minorEastAsia" w:cstheme="minorBidi"/>
          <w:i/>
          <w:color w:val="auto"/>
          <w:sz w:val="22"/>
          <w:szCs w:val="22"/>
        </w:rPr>
        <w:t>Please consider any commercial impacts to your organisation that Xoserve need to be aware of when formulating your response</w:t>
      </w:r>
    </w:p>
    <w:p w14:paraId="7E622A73" w14:textId="77777777" w:rsidR="000D5527" w:rsidRDefault="000D5527" w:rsidP="000D5527"/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5"/>
        <w:gridCol w:w="1654"/>
        <w:gridCol w:w="965"/>
        <w:gridCol w:w="4192"/>
      </w:tblGrid>
      <w:tr w:rsidR="000D5527" w14:paraId="77CF5AC1" w14:textId="77777777" w:rsidTr="00491DF6">
        <w:trPr>
          <w:trHeight w:val="403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7037C1D" w14:textId="77777777" w:rsidR="000D5527" w:rsidRDefault="000D5527" w:rsidP="00491DF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 Contact Details: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BBD122A" w14:textId="77777777" w:rsidR="000D5527" w:rsidRDefault="000D5527" w:rsidP="00491DF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C6DA" w14:textId="77777777" w:rsidR="000D5527" w:rsidRDefault="000D5527" w:rsidP="00491DF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0D5527" w14:paraId="1E96186D" w14:textId="77777777" w:rsidTr="00491DF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9BD7" w14:textId="77777777" w:rsidR="000D5527" w:rsidRDefault="000D5527" w:rsidP="00491DF6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F3C7F83" w14:textId="77777777" w:rsidR="000D5527" w:rsidRDefault="000D5527" w:rsidP="00491DF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C0D2" w14:textId="77777777" w:rsidR="000D5527" w:rsidRDefault="000D5527" w:rsidP="00491DF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0D5527" w14:paraId="138DED95" w14:textId="77777777" w:rsidTr="00491DF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C2CB" w14:textId="77777777" w:rsidR="000D5527" w:rsidRDefault="000D5527" w:rsidP="00491DF6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FC4E499" w14:textId="77777777" w:rsidR="000D5527" w:rsidRDefault="000D5527" w:rsidP="00491DF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AF5A" w14:textId="77777777" w:rsidR="000D5527" w:rsidRDefault="000D5527" w:rsidP="00491DF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0D5527" w14:paraId="63B38478" w14:textId="77777777" w:rsidTr="00491DF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3775" w14:textId="77777777" w:rsidR="000D5527" w:rsidRDefault="000D5527" w:rsidP="00491DF6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2BC648A" w14:textId="77777777" w:rsidR="000D5527" w:rsidRDefault="000D5527" w:rsidP="00491DF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BE3A" w14:textId="77777777" w:rsidR="000D5527" w:rsidRDefault="000D5527" w:rsidP="00491DF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0D5527" w14:paraId="4A741691" w14:textId="77777777" w:rsidTr="00491DF6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8EDE1C8" w14:textId="77777777" w:rsidR="000D5527" w:rsidRDefault="000D5527" w:rsidP="00491DF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Status: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AEF7" w14:textId="77777777" w:rsidR="000D5527" w:rsidRDefault="000D5527" w:rsidP="00491DF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0D5527" w14:paraId="76FE358F" w14:textId="77777777" w:rsidTr="00491DF6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2929489" w14:textId="77777777" w:rsidR="000D5527" w:rsidRDefault="000D5527" w:rsidP="00491DF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Publication: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4022" w14:textId="77777777" w:rsidR="000D5527" w:rsidRDefault="000D5527" w:rsidP="00491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0D5527" w14:paraId="7F2A778C" w14:textId="77777777" w:rsidTr="00491DF6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59ADA8" w14:textId="77777777" w:rsidR="000D5527" w:rsidRDefault="000D5527" w:rsidP="00491DF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Comments: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BF81" w14:textId="77777777" w:rsidR="000D5527" w:rsidRDefault="000D5527" w:rsidP="00491DF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0D5527" w14:paraId="68357CC3" w14:textId="77777777" w:rsidTr="00491DF6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B394533" w14:textId="77777777" w:rsidR="000D5527" w:rsidRDefault="000D5527" w:rsidP="00491DF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Confirm Target Release Date?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7B6F" w14:textId="77777777" w:rsidR="000D5527" w:rsidRDefault="000D5527" w:rsidP="00491DF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3D39" w14:textId="77777777" w:rsidR="000D5527" w:rsidRDefault="000D5527" w:rsidP="00491DF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67002280" w14:textId="77777777" w:rsidR="000D5527" w:rsidRDefault="000D5527" w:rsidP="000D5527"/>
    <w:p w14:paraId="0B38644A" w14:textId="77777777" w:rsidR="000D5527" w:rsidRPr="00983B34" w:rsidRDefault="000D5527" w:rsidP="000D5527">
      <w:pPr>
        <w:pStyle w:val="Heading1"/>
      </w:pPr>
      <w:r w:rsidRPr="00983B34">
        <w:rPr>
          <w:bCs w:val="0"/>
        </w:rPr>
        <w:t xml:space="preserve">H1: Xoserve’ s Response </w:t>
      </w: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5"/>
        <w:gridCol w:w="6811"/>
      </w:tblGrid>
      <w:tr w:rsidR="000D5527" w14:paraId="12904493" w14:textId="77777777" w:rsidTr="00491DF6">
        <w:trPr>
          <w:trHeight w:val="66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D6C31EB" w14:textId="77777777" w:rsidR="000D5527" w:rsidRDefault="000D5527" w:rsidP="00491DF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 Response to Organisations Comments: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BF58" w14:textId="77777777" w:rsidR="000D5527" w:rsidRDefault="000D5527" w:rsidP="00491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43A37852" w14:textId="77777777" w:rsidR="000D5527" w:rsidRDefault="000D5527" w:rsidP="000D5527"/>
    <w:p w14:paraId="7F89D6C1" w14:textId="77777777" w:rsidR="000D5527" w:rsidRDefault="000D5527" w:rsidP="000D5527">
      <w:bookmarkStart w:id="0" w:name="_GoBack"/>
      <w:bookmarkEnd w:id="0"/>
    </w:p>
    <w:p w14:paraId="6600A79E" w14:textId="77777777" w:rsidR="000D5527" w:rsidRDefault="000D5527" w:rsidP="000D5527"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p w14:paraId="6493182F" w14:textId="77777777" w:rsidR="00550D2B" w:rsidRDefault="00550D2B"/>
    <w:sectPr w:rsidR="00550D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23E7B" w14:textId="77777777" w:rsidR="00763B0D" w:rsidRDefault="00763B0D">
      <w:pPr>
        <w:spacing w:after="0" w:line="240" w:lineRule="auto"/>
      </w:pPr>
      <w:r>
        <w:separator/>
      </w:r>
    </w:p>
  </w:endnote>
  <w:endnote w:type="continuationSeparator" w:id="0">
    <w:p w14:paraId="045C8680" w14:textId="77777777" w:rsidR="00763B0D" w:rsidRDefault="00763B0D">
      <w:pPr>
        <w:spacing w:after="0" w:line="240" w:lineRule="auto"/>
      </w:pPr>
      <w:r>
        <w:continuationSeparator/>
      </w:r>
    </w:p>
  </w:endnote>
  <w:endnote w:type="continuationNotice" w:id="1">
    <w:p w14:paraId="65CBE67C" w14:textId="77777777" w:rsidR="00763B0D" w:rsidRDefault="00763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7C5E" w14:textId="77777777" w:rsidR="00550D2B" w:rsidRDefault="00550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CB66" w14:textId="77777777" w:rsidR="00550D2B" w:rsidRDefault="00B93E89">
    <w:pPr>
      <w:pStyle w:val="Footer"/>
    </w:pPr>
    <w:r>
      <w:t>CP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E4E904" wp14:editId="0ACC044A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4" name="drawingObject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33726EC2" id="drawingObject4" o:spid="_x0000_s1026" style="position:absolute;margin-left:-1in;margin-top:29.65pt;width:595.5pt;height:20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" fillcolor="#40d1f5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A17E" w14:textId="77777777" w:rsidR="00550D2B" w:rsidRDefault="00550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FA150" w14:textId="77777777" w:rsidR="00763B0D" w:rsidRDefault="00763B0D">
      <w:pPr>
        <w:spacing w:after="0" w:line="240" w:lineRule="auto"/>
      </w:pPr>
      <w:r>
        <w:separator/>
      </w:r>
    </w:p>
  </w:footnote>
  <w:footnote w:type="continuationSeparator" w:id="0">
    <w:p w14:paraId="74F4786A" w14:textId="77777777" w:rsidR="00763B0D" w:rsidRDefault="00763B0D">
      <w:pPr>
        <w:spacing w:after="0" w:line="240" w:lineRule="auto"/>
      </w:pPr>
      <w:r>
        <w:continuationSeparator/>
      </w:r>
    </w:p>
  </w:footnote>
  <w:footnote w:type="continuationNotice" w:id="1">
    <w:p w14:paraId="14D0DFE8" w14:textId="77777777" w:rsidR="00763B0D" w:rsidRDefault="00763B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BA1B5" w14:textId="77777777" w:rsidR="00550D2B" w:rsidRDefault="00550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EFFF" w14:textId="77777777" w:rsidR="00550D2B" w:rsidRDefault="00B93E89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54AA281" wp14:editId="1B48E005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1" name="drawingObjec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6D949" wp14:editId="488AAB92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3" name="drawingObject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38E60C0E" id="drawingObject3" o:spid="_x0000_s1026" style="position:absolute;margin-left:-1in;margin-top:-38.4pt;width:595.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" fillcolor="#3e5aa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8B09" w14:textId="77777777" w:rsidR="00550D2B" w:rsidRDefault="0055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CA1"/>
    <w:multiLevelType w:val="hybridMultilevel"/>
    <w:tmpl w:val="ABAE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6BBA"/>
    <w:multiLevelType w:val="hybridMultilevel"/>
    <w:tmpl w:val="08CA81DC"/>
    <w:name w:val="Style40"/>
    <w:styleLink w:val="Style40"/>
    <w:lvl w:ilvl="0" w:tplc="46F21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4AE5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5A4F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1A205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5A46C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82C13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22AF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56973E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D0A3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D4F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35012E"/>
    <w:multiLevelType w:val="hybridMultilevel"/>
    <w:tmpl w:val="054C91DE"/>
    <w:lvl w:ilvl="0" w:tplc="1B841C6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A94467"/>
    <w:multiLevelType w:val="hybridMultilevel"/>
    <w:tmpl w:val="CB449756"/>
    <w:lvl w:ilvl="0" w:tplc="6366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CF016">
      <w:numFmt w:val="none"/>
      <w:lvlText w:val=""/>
      <w:lvlJc w:val="left"/>
      <w:pPr>
        <w:tabs>
          <w:tab w:val="num" w:pos="360"/>
        </w:tabs>
      </w:pPr>
    </w:lvl>
    <w:lvl w:ilvl="2" w:tplc="17764CCA">
      <w:numFmt w:val="none"/>
      <w:lvlText w:val=""/>
      <w:lvlJc w:val="left"/>
      <w:pPr>
        <w:tabs>
          <w:tab w:val="num" w:pos="360"/>
        </w:tabs>
      </w:pPr>
    </w:lvl>
    <w:lvl w:ilvl="3" w:tplc="53BE0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08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0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A7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A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05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462F4"/>
    <w:multiLevelType w:val="hybridMultilevel"/>
    <w:tmpl w:val="04301D80"/>
    <w:name w:val="Style401"/>
    <w:styleLink w:val="Style401"/>
    <w:lvl w:ilvl="0" w:tplc="2C007F40">
      <w:start w:val="1"/>
      <w:numFmt w:val="decimal"/>
      <w:lvlText w:val="%1."/>
      <w:lvlJc w:val="left"/>
      <w:pPr>
        <w:ind w:left="720" w:hanging="360"/>
      </w:pPr>
    </w:lvl>
    <w:lvl w:ilvl="1" w:tplc="38AA30B4">
      <w:start w:val="1"/>
      <w:numFmt w:val="lowerLetter"/>
      <w:lvlText w:val="%2)"/>
      <w:lvlJc w:val="left"/>
      <w:pPr>
        <w:ind w:left="1440" w:hanging="360"/>
      </w:pPr>
    </w:lvl>
    <w:lvl w:ilvl="2" w:tplc="B3289526">
      <w:start w:val="1"/>
      <w:numFmt w:val="lowerRoman"/>
      <w:lvlText w:val="%3."/>
      <w:lvlJc w:val="right"/>
      <w:pPr>
        <w:ind w:left="2160" w:hanging="180"/>
      </w:pPr>
    </w:lvl>
    <w:lvl w:ilvl="3" w:tplc="73D65BCA">
      <w:start w:val="1"/>
      <w:numFmt w:val="decimal"/>
      <w:lvlText w:val="%4."/>
      <w:lvlJc w:val="left"/>
      <w:pPr>
        <w:ind w:left="2880" w:hanging="360"/>
      </w:pPr>
    </w:lvl>
    <w:lvl w:ilvl="4" w:tplc="DBB8C7C2">
      <w:start w:val="1"/>
      <w:numFmt w:val="lowerLetter"/>
      <w:lvlText w:val="%5."/>
      <w:lvlJc w:val="left"/>
      <w:pPr>
        <w:ind w:left="3600" w:hanging="360"/>
      </w:pPr>
    </w:lvl>
    <w:lvl w:ilvl="5" w:tplc="D2BAD28E">
      <w:start w:val="1"/>
      <w:numFmt w:val="lowerRoman"/>
      <w:lvlText w:val="%6."/>
      <w:lvlJc w:val="right"/>
      <w:pPr>
        <w:ind w:left="4320" w:hanging="180"/>
      </w:pPr>
    </w:lvl>
    <w:lvl w:ilvl="6" w:tplc="18E0C48A">
      <w:start w:val="1"/>
      <w:numFmt w:val="decimal"/>
      <w:lvlText w:val="%7."/>
      <w:lvlJc w:val="left"/>
      <w:pPr>
        <w:ind w:left="5040" w:hanging="360"/>
      </w:pPr>
    </w:lvl>
    <w:lvl w:ilvl="7" w:tplc="8C8665F0">
      <w:start w:val="1"/>
      <w:numFmt w:val="lowerLetter"/>
      <w:lvlText w:val="%8."/>
      <w:lvlJc w:val="left"/>
      <w:pPr>
        <w:ind w:left="5760" w:hanging="360"/>
      </w:pPr>
    </w:lvl>
    <w:lvl w:ilvl="8" w:tplc="04CAFC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15F63"/>
    <w:multiLevelType w:val="hybridMultilevel"/>
    <w:tmpl w:val="FFA644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0366A"/>
    <w:multiLevelType w:val="hybridMultilevel"/>
    <w:tmpl w:val="5FF48E2C"/>
    <w:name w:val="Style402"/>
    <w:styleLink w:val="Style402"/>
    <w:lvl w:ilvl="0" w:tplc="D116D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3EE12C">
      <w:start w:val="1"/>
      <w:numFmt w:val="lowerLetter"/>
      <w:lvlText w:val="%2."/>
      <w:lvlJc w:val="left"/>
      <w:pPr>
        <w:ind w:left="1440" w:hanging="360"/>
      </w:pPr>
    </w:lvl>
    <w:lvl w:ilvl="2" w:tplc="DD6AB3C6">
      <w:start w:val="1"/>
      <w:numFmt w:val="lowerRoman"/>
      <w:lvlText w:val="%3."/>
      <w:lvlJc w:val="right"/>
      <w:pPr>
        <w:ind w:left="2160" w:hanging="180"/>
      </w:pPr>
    </w:lvl>
    <w:lvl w:ilvl="3" w:tplc="57942BA2">
      <w:start w:val="1"/>
      <w:numFmt w:val="decimal"/>
      <w:lvlText w:val="%4."/>
      <w:lvlJc w:val="left"/>
      <w:pPr>
        <w:ind w:left="2880" w:hanging="360"/>
      </w:pPr>
    </w:lvl>
    <w:lvl w:ilvl="4" w:tplc="6A5CBCA8">
      <w:start w:val="1"/>
      <w:numFmt w:val="lowerLetter"/>
      <w:lvlText w:val="%5."/>
      <w:lvlJc w:val="left"/>
      <w:pPr>
        <w:ind w:left="3600" w:hanging="360"/>
      </w:pPr>
    </w:lvl>
    <w:lvl w:ilvl="5" w:tplc="0AB4DAA4">
      <w:start w:val="1"/>
      <w:numFmt w:val="lowerRoman"/>
      <w:lvlText w:val="%6."/>
      <w:lvlJc w:val="right"/>
      <w:pPr>
        <w:ind w:left="4320" w:hanging="180"/>
      </w:pPr>
    </w:lvl>
    <w:lvl w:ilvl="6" w:tplc="8326BC44">
      <w:start w:val="1"/>
      <w:numFmt w:val="decimal"/>
      <w:lvlText w:val="%7."/>
      <w:lvlJc w:val="left"/>
      <w:pPr>
        <w:ind w:left="5040" w:hanging="360"/>
      </w:pPr>
    </w:lvl>
    <w:lvl w:ilvl="7" w:tplc="FD847DCA">
      <w:start w:val="1"/>
      <w:numFmt w:val="lowerLetter"/>
      <w:lvlText w:val="%8."/>
      <w:lvlJc w:val="left"/>
      <w:pPr>
        <w:ind w:left="5760" w:hanging="360"/>
      </w:pPr>
    </w:lvl>
    <w:lvl w:ilvl="8" w:tplc="3CFE60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93974"/>
    <w:multiLevelType w:val="hybridMultilevel"/>
    <w:tmpl w:val="FFA644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D5FCD"/>
    <w:multiLevelType w:val="hybridMultilevel"/>
    <w:tmpl w:val="CB449756"/>
    <w:lvl w:ilvl="0" w:tplc="6366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CF016">
      <w:numFmt w:val="none"/>
      <w:lvlText w:val=""/>
      <w:lvlJc w:val="left"/>
      <w:pPr>
        <w:tabs>
          <w:tab w:val="num" w:pos="360"/>
        </w:tabs>
      </w:pPr>
    </w:lvl>
    <w:lvl w:ilvl="2" w:tplc="17764CCA">
      <w:numFmt w:val="none"/>
      <w:lvlText w:val=""/>
      <w:lvlJc w:val="left"/>
      <w:pPr>
        <w:tabs>
          <w:tab w:val="num" w:pos="360"/>
        </w:tabs>
      </w:pPr>
    </w:lvl>
    <w:lvl w:ilvl="3" w:tplc="53BE0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08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0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A7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A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05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412412"/>
    <w:multiLevelType w:val="multilevel"/>
    <w:tmpl w:val="1582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9656936"/>
    <w:multiLevelType w:val="hybridMultilevel"/>
    <w:tmpl w:val="34FCF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C2453"/>
    <w:multiLevelType w:val="hybridMultilevel"/>
    <w:tmpl w:val="FFA644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2"/>
  </w:num>
  <w:num w:numId="10">
    <w:abstractNumId w:val="11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B"/>
    <w:rsid w:val="00000E1F"/>
    <w:rsid w:val="0000224E"/>
    <w:rsid w:val="00002978"/>
    <w:rsid w:val="00004F8B"/>
    <w:rsid w:val="000063F6"/>
    <w:rsid w:val="00010E92"/>
    <w:rsid w:val="00011B9E"/>
    <w:rsid w:val="00011BC3"/>
    <w:rsid w:val="00013C84"/>
    <w:rsid w:val="0001414C"/>
    <w:rsid w:val="0001768C"/>
    <w:rsid w:val="00021E54"/>
    <w:rsid w:val="0002261B"/>
    <w:rsid w:val="00025419"/>
    <w:rsid w:val="00030455"/>
    <w:rsid w:val="0003061D"/>
    <w:rsid w:val="0003113A"/>
    <w:rsid w:val="00034423"/>
    <w:rsid w:val="000365FC"/>
    <w:rsid w:val="00037F1D"/>
    <w:rsid w:val="00040808"/>
    <w:rsid w:val="00045626"/>
    <w:rsid w:val="0006119D"/>
    <w:rsid w:val="0006165C"/>
    <w:rsid w:val="00061B6C"/>
    <w:rsid w:val="00063DA0"/>
    <w:rsid w:val="000656D5"/>
    <w:rsid w:val="00067965"/>
    <w:rsid w:val="000679D2"/>
    <w:rsid w:val="000725BC"/>
    <w:rsid w:val="00072763"/>
    <w:rsid w:val="00072C34"/>
    <w:rsid w:val="000750C2"/>
    <w:rsid w:val="00076C76"/>
    <w:rsid w:val="000778D5"/>
    <w:rsid w:val="00080883"/>
    <w:rsid w:val="00081D49"/>
    <w:rsid w:val="000823F8"/>
    <w:rsid w:val="00084CC2"/>
    <w:rsid w:val="000864EE"/>
    <w:rsid w:val="00086F63"/>
    <w:rsid w:val="0009034A"/>
    <w:rsid w:val="00090C9E"/>
    <w:rsid w:val="00090E2D"/>
    <w:rsid w:val="000936F1"/>
    <w:rsid w:val="00095FAE"/>
    <w:rsid w:val="000A19FC"/>
    <w:rsid w:val="000A1CB8"/>
    <w:rsid w:val="000A5811"/>
    <w:rsid w:val="000B1096"/>
    <w:rsid w:val="000B2715"/>
    <w:rsid w:val="000B5D02"/>
    <w:rsid w:val="000B6327"/>
    <w:rsid w:val="000C3C53"/>
    <w:rsid w:val="000C5355"/>
    <w:rsid w:val="000C565D"/>
    <w:rsid w:val="000C5B9E"/>
    <w:rsid w:val="000C713C"/>
    <w:rsid w:val="000C7979"/>
    <w:rsid w:val="000D0654"/>
    <w:rsid w:val="000D3D29"/>
    <w:rsid w:val="000D5527"/>
    <w:rsid w:val="000D7845"/>
    <w:rsid w:val="000D7F46"/>
    <w:rsid w:val="000E253A"/>
    <w:rsid w:val="000E4AC0"/>
    <w:rsid w:val="000E5ACD"/>
    <w:rsid w:val="000F065B"/>
    <w:rsid w:val="000F06C7"/>
    <w:rsid w:val="000F415A"/>
    <w:rsid w:val="000F469A"/>
    <w:rsid w:val="000F4C11"/>
    <w:rsid w:val="000F6E3B"/>
    <w:rsid w:val="00100A99"/>
    <w:rsid w:val="00101374"/>
    <w:rsid w:val="00101548"/>
    <w:rsid w:val="00105DB3"/>
    <w:rsid w:val="0010680F"/>
    <w:rsid w:val="001077E5"/>
    <w:rsid w:val="00113710"/>
    <w:rsid w:val="00113F1B"/>
    <w:rsid w:val="00114CF8"/>
    <w:rsid w:val="00114F53"/>
    <w:rsid w:val="00117035"/>
    <w:rsid w:val="0012157C"/>
    <w:rsid w:val="00121B87"/>
    <w:rsid w:val="00126171"/>
    <w:rsid w:val="001266FB"/>
    <w:rsid w:val="00127AA1"/>
    <w:rsid w:val="00141E23"/>
    <w:rsid w:val="001464C7"/>
    <w:rsid w:val="00150C58"/>
    <w:rsid w:val="0015713D"/>
    <w:rsid w:val="001602DD"/>
    <w:rsid w:val="0016358F"/>
    <w:rsid w:val="00163CC9"/>
    <w:rsid w:val="001642C7"/>
    <w:rsid w:val="00164953"/>
    <w:rsid w:val="001715AF"/>
    <w:rsid w:val="001718CC"/>
    <w:rsid w:val="00173F60"/>
    <w:rsid w:val="00175533"/>
    <w:rsid w:val="001771A3"/>
    <w:rsid w:val="00177B19"/>
    <w:rsid w:val="001807BC"/>
    <w:rsid w:val="00183067"/>
    <w:rsid w:val="00183AFE"/>
    <w:rsid w:val="00183FB7"/>
    <w:rsid w:val="001848C6"/>
    <w:rsid w:val="00186232"/>
    <w:rsid w:val="00190535"/>
    <w:rsid w:val="001907BA"/>
    <w:rsid w:val="00194630"/>
    <w:rsid w:val="00194883"/>
    <w:rsid w:val="00195669"/>
    <w:rsid w:val="00196D2C"/>
    <w:rsid w:val="00196E0D"/>
    <w:rsid w:val="001A3A00"/>
    <w:rsid w:val="001A556C"/>
    <w:rsid w:val="001A72BB"/>
    <w:rsid w:val="001B0461"/>
    <w:rsid w:val="001B0A41"/>
    <w:rsid w:val="001B70C3"/>
    <w:rsid w:val="001B7405"/>
    <w:rsid w:val="001C6265"/>
    <w:rsid w:val="001D291D"/>
    <w:rsid w:val="001D6B3B"/>
    <w:rsid w:val="001D752E"/>
    <w:rsid w:val="001D7AF0"/>
    <w:rsid w:val="001E3636"/>
    <w:rsid w:val="001E3C5A"/>
    <w:rsid w:val="001E5F3F"/>
    <w:rsid w:val="001E6A54"/>
    <w:rsid w:val="001E7F0D"/>
    <w:rsid w:val="001F020F"/>
    <w:rsid w:val="001F2334"/>
    <w:rsid w:val="001F2D42"/>
    <w:rsid w:val="001F326B"/>
    <w:rsid w:val="0020111E"/>
    <w:rsid w:val="00202E44"/>
    <w:rsid w:val="00204224"/>
    <w:rsid w:val="002048D8"/>
    <w:rsid w:val="00205201"/>
    <w:rsid w:val="00205DE8"/>
    <w:rsid w:val="0021497B"/>
    <w:rsid w:val="00223242"/>
    <w:rsid w:val="00224F8A"/>
    <w:rsid w:val="0023223B"/>
    <w:rsid w:val="00233BB5"/>
    <w:rsid w:val="00234D1D"/>
    <w:rsid w:val="002354A8"/>
    <w:rsid w:val="00235A1E"/>
    <w:rsid w:val="00237442"/>
    <w:rsid w:val="00237AE5"/>
    <w:rsid w:val="002412FC"/>
    <w:rsid w:val="00245E28"/>
    <w:rsid w:val="002474E7"/>
    <w:rsid w:val="00256809"/>
    <w:rsid w:val="00257872"/>
    <w:rsid w:val="00261388"/>
    <w:rsid w:val="00261F62"/>
    <w:rsid w:val="00263BB0"/>
    <w:rsid w:val="0026599E"/>
    <w:rsid w:val="00266636"/>
    <w:rsid w:val="0027102E"/>
    <w:rsid w:val="002748DC"/>
    <w:rsid w:val="00275519"/>
    <w:rsid w:val="002765E2"/>
    <w:rsid w:val="00277834"/>
    <w:rsid w:val="0028189F"/>
    <w:rsid w:val="00281C71"/>
    <w:rsid w:val="00283BB7"/>
    <w:rsid w:val="00285E04"/>
    <w:rsid w:val="0028622E"/>
    <w:rsid w:val="0028649D"/>
    <w:rsid w:val="00286E51"/>
    <w:rsid w:val="00290320"/>
    <w:rsid w:val="00290361"/>
    <w:rsid w:val="0029208D"/>
    <w:rsid w:val="0029209E"/>
    <w:rsid w:val="002A4CE8"/>
    <w:rsid w:val="002B2214"/>
    <w:rsid w:val="002B4622"/>
    <w:rsid w:val="002B5F9B"/>
    <w:rsid w:val="002C1791"/>
    <w:rsid w:val="002C1934"/>
    <w:rsid w:val="002C4DA0"/>
    <w:rsid w:val="002C5D32"/>
    <w:rsid w:val="002C5EBC"/>
    <w:rsid w:val="002C620E"/>
    <w:rsid w:val="002C7FE8"/>
    <w:rsid w:val="002D1BB0"/>
    <w:rsid w:val="002D4255"/>
    <w:rsid w:val="002D4469"/>
    <w:rsid w:val="002D7CE8"/>
    <w:rsid w:val="002E0D5C"/>
    <w:rsid w:val="002E1FC6"/>
    <w:rsid w:val="002E7083"/>
    <w:rsid w:val="002E719F"/>
    <w:rsid w:val="002F04D7"/>
    <w:rsid w:val="002F19FB"/>
    <w:rsid w:val="002F69B9"/>
    <w:rsid w:val="002F6E55"/>
    <w:rsid w:val="00301D16"/>
    <w:rsid w:val="00304C6A"/>
    <w:rsid w:val="00305F2A"/>
    <w:rsid w:val="00306CFA"/>
    <w:rsid w:val="00307BD0"/>
    <w:rsid w:val="00307CF5"/>
    <w:rsid w:val="0031098C"/>
    <w:rsid w:val="00310BA0"/>
    <w:rsid w:val="00312008"/>
    <w:rsid w:val="00312C7A"/>
    <w:rsid w:val="0031374B"/>
    <w:rsid w:val="00313D47"/>
    <w:rsid w:val="0031494C"/>
    <w:rsid w:val="003156D7"/>
    <w:rsid w:val="00321956"/>
    <w:rsid w:val="00321BFF"/>
    <w:rsid w:val="0032646B"/>
    <w:rsid w:val="00326CA7"/>
    <w:rsid w:val="00326D19"/>
    <w:rsid w:val="00326FE5"/>
    <w:rsid w:val="00331D8F"/>
    <w:rsid w:val="00334104"/>
    <w:rsid w:val="0033792E"/>
    <w:rsid w:val="003424F8"/>
    <w:rsid w:val="00347006"/>
    <w:rsid w:val="00347540"/>
    <w:rsid w:val="00347A0A"/>
    <w:rsid w:val="00351D60"/>
    <w:rsid w:val="0035475A"/>
    <w:rsid w:val="003563E8"/>
    <w:rsid w:val="003568EE"/>
    <w:rsid w:val="003630DA"/>
    <w:rsid w:val="00363A5E"/>
    <w:rsid w:val="00365C61"/>
    <w:rsid w:val="00370AA6"/>
    <w:rsid w:val="0037174F"/>
    <w:rsid w:val="003745A5"/>
    <w:rsid w:val="00374C7B"/>
    <w:rsid w:val="003760E7"/>
    <w:rsid w:val="003766D8"/>
    <w:rsid w:val="00376E7A"/>
    <w:rsid w:val="003776C2"/>
    <w:rsid w:val="00381025"/>
    <w:rsid w:val="00384A1F"/>
    <w:rsid w:val="00385518"/>
    <w:rsid w:val="00385754"/>
    <w:rsid w:val="003860C4"/>
    <w:rsid w:val="0039010A"/>
    <w:rsid w:val="00391BDB"/>
    <w:rsid w:val="00392430"/>
    <w:rsid w:val="00392DA1"/>
    <w:rsid w:val="00392F16"/>
    <w:rsid w:val="00394B6C"/>
    <w:rsid w:val="003A2131"/>
    <w:rsid w:val="003A2942"/>
    <w:rsid w:val="003A3759"/>
    <w:rsid w:val="003A6053"/>
    <w:rsid w:val="003A656D"/>
    <w:rsid w:val="003B0414"/>
    <w:rsid w:val="003B0D4C"/>
    <w:rsid w:val="003B11C3"/>
    <w:rsid w:val="003B30FE"/>
    <w:rsid w:val="003B4A6F"/>
    <w:rsid w:val="003B4D47"/>
    <w:rsid w:val="003C3EA6"/>
    <w:rsid w:val="003C5A47"/>
    <w:rsid w:val="003C6D85"/>
    <w:rsid w:val="003D4033"/>
    <w:rsid w:val="003D5960"/>
    <w:rsid w:val="003D6740"/>
    <w:rsid w:val="003E0564"/>
    <w:rsid w:val="003E654B"/>
    <w:rsid w:val="003F039E"/>
    <w:rsid w:val="003F22B4"/>
    <w:rsid w:val="00403EE9"/>
    <w:rsid w:val="00404656"/>
    <w:rsid w:val="0040720B"/>
    <w:rsid w:val="004108C9"/>
    <w:rsid w:val="0041126B"/>
    <w:rsid w:val="00420969"/>
    <w:rsid w:val="00420DBA"/>
    <w:rsid w:val="00422BFC"/>
    <w:rsid w:val="0042371F"/>
    <w:rsid w:val="00425F88"/>
    <w:rsid w:val="004263CF"/>
    <w:rsid w:val="00441E21"/>
    <w:rsid w:val="00443590"/>
    <w:rsid w:val="0044682C"/>
    <w:rsid w:val="0044773A"/>
    <w:rsid w:val="00450A39"/>
    <w:rsid w:val="00452F44"/>
    <w:rsid w:val="004568B1"/>
    <w:rsid w:val="00456CD5"/>
    <w:rsid w:val="00456F30"/>
    <w:rsid w:val="00457A2D"/>
    <w:rsid w:val="00463088"/>
    <w:rsid w:val="00465A05"/>
    <w:rsid w:val="00466838"/>
    <w:rsid w:val="00467756"/>
    <w:rsid w:val="00470286"/>
    <w:rsid w:val="004709BB"/>
    <w:rsid w:val="004726AB"/>
    <w:rsid w:val="00472A9E"/>
    <w:rsid w:val="00480176"/>
    <w:rsid w:val="00480A15"/>
    <w:rsid w:val="00481136"/>
    <w:rsid w:val="00481B23"/>
    <w:rsid w:val="00482969"/>
    <w:rsid w:val="0048628F"/>
    <w:rsid w:val="00490B3A"/>
    <w:rsid w:val="00490EE5"/>
    <w:rsid w:val="00495416"/>
    <w:rsid w:val="0049592F"/>
    <w:rsid w:val="00497A07"/>
    <w:rsid w:val="004A01E9"/>
    <w:rsid w:val="004A0636"/>
    <w:rsid w:val="004A7F3A"/>
    <w:rsid w:val="004B013A"/>
    <w:rsid w:val="004B060E"/>
    <w:rsid w:val="004B1EFD"/>
    <w:rsid w:val="004B2A4B"/>
    <w:rsid w:val="004B3BAA"/>
    <w:rsid w:val="004B4B00"/>
    <w:rsid w:val="004B7754"/>
    <w:rsid w:val="004C0C26"/>
    <w:rsid w:val="004C21BD"/>
    <w:rsid w:val="004C59A8"/>
    <w:rsid w:val="004C6C61"/>
    <w:rsid w:val="004D1596"/>
    <w:rsid w:val="004D19FB"/>
    <w:rsid w:val="004D1E59"/>
    <w:rsid w:val="004D3AF6"/>
    <w:rsid w:val="004D44C0"/>
    <w:rsid w:val="004D49D7"/>
    <w:rsid w:val="004D4A18"/>
    <w:rsid w:val="004D6527"/>
    <w:rsid w:val="004D6A4D"/>
    <w:rsid w:val="004D6C2D"/>
    <w:rsid w:val="004D6DAF"/>
    <w:rsid w:val="004E0DAD"/>
    <w:rsid w:val="004E1A4E"/>
    <w:rsid w:val="004E2613"/>
    <w:rsid w:val="004E343D"/>
    <w:rsid w:val="004E39F2"/>
    <w:rsid w:val="004E4A3B"/>
    <w:rsid w:val="004E616C"/>
    <w:rsid w:val="004E6239"/>
    <w:rsid w:val="004E7A07"/>
    <w:rsid w:val="004F027D"/>
    <w:rsid w:val="004F07F1"/>
    <w:rsid w:val="004F12F9"/>
    <w:rsid w:val="004F2A9B"/>
    <w:rsid w:val="004F2CF0"/>
    <w:rsid w:val="004F35CF"/>
    <w:rsid w:val="004F3EBB"/>
    <w:rsid w:val="004F64B3"/>
    <w:rsid w:val="00503A63"/>
    <w:rsid w:val="00503B80"/>
    <w:rsid w:val="00510E06"/>
    <w:rsid w:val="00511DFD"/>
    <w:rsid w:val="005129F0"/>
    <w:rsid w:val="005135C8"/>
    <w:rsid w:val="0051486E"/>
    <w:rsid w:val="00515044"/>
    <w:rsid w:val="0051633C"/>
    <w:rsid w:val="00521D7A"/>
    <w:rsid w:val="005223E6"/>
    <w:rsid w:val="00522A1D"/>
    <w:rsid w:val="005241FC"/>
    <w:rsid w:val="0052474E"/>
    <w:rsid w:val="00524CC7"/>
    <w:rsid w:val="00527065"/>
    <w:rsid w:val="00532013"/>
    <w:rsid w:val="00533E48"/>
    <w:rsid w:val="0053476F"/>
    <w:rsid w:val="00536296"/>
    <w:rsid w:val="00536F0A"/>
    <w:rsid w:val="00540C95"/>
    <w:rsid w:val="00541D5A"/>
    <w:rsid w:val="005446CC"/>
    <w:rsid w:val="005507EB"/>
    <w:rsid w:val="00550D2B"/>
    <w:rsid w:val="00551264"/>
    <w:rsid w:val="00552391"/>
    <w:rsid w:val="00553DEB"/>
    <w:rsid w:val="005552EC"/>
    <w:rsid w:val="00556EF7"/>
    <w:rsid w:val="005614BD"/>
    <w:rsid w:val="0056295F"/>
    <w:rsid w:val="005726AA"/>
    <w:rsid w:val="00572E7A"/>
    <w:rsid w:val="00573931"/>
    <w:rsid w:val="00574361"/>
    <w:rsid w:val="005743CA"/>
    <w:rsid w:val="00574903"/>
    <w:rsid w:val="00575968"/>
    <w:rsid w:val="005762F5"/>
    <w:rsid w:val="00576C8F"/>
    <w:rsid w:val="005802E0"/>
    <w:rsid w:val="00580BF2"/>
    <w:rsid w:val="00581256"/>
    <w:rsid w:val="00581551"/>
    <w:rsid w:val="0058397C"/>
    <w:rsid w:val="005872C8"/>
    <w:rsid w:val="00592071"/>
    <w:rsid w:val="00592BF2"/>
    <w:rsid w:val="00595E10"/>
    <w:rsid w:val="00595E82"/>
    <w:rsid w:val="00596EA6"/>
    <w:rsid w:val="00597BA1"/>
    <w:rsid w:val="00597C8F"/>
    <w:rsid w:val="005A16E5"/>
    <w:rsid w:val="005A22DD"/>
    <w:rsid w:val="005A47F9"/>
    <w:rsid w:val="005A67D4"/>
    <w:rsid w:val="005B386F"/>
    <w:rsid w:val="005B43DD"/>
    <w:rsid w:val="005B5B10"/>
    <w:rsid w:val="005B659D"/>
    <w:rsid w:val="005B743F"/>
    <w:rsid w:val="005C3DE3"/>
    <w:rsid w:val="005C4849"/>
    <w:rsid w:val="005C778F"/>
    <w:rsid w:val="005D1A7E"/>
    <w:rsid w:val="005D675C"/>
    <w:rsid w:val="005E0215"/>
    <w:rsid w:val="005E2BF2"/>
    <w:rsid w:val="005E4E32"/>
    <w:rsid w:val="005E7A51"/>
    <w:rsid w:val="005F16B6"/>
    <w:rsid w:val="005F2FBA"/>
    <w:rsid w:val="005F31F2"/>
    <w:rsid w:val="005F56D0"/>
    <w:rsid w:val="006058CA"/>
    <w:rsid w:val="00607B9E"/>
    <w:rsid w:val="0061008F"/>
    <w:rsid w:val="00614F43"/>
    <w:rsid w:val="00616DC1"/>
    <w:rsid w:val="006200FC"/>
    <w:rsid w:val="0062147F"/>
    <w:rsid w:val="00621B0C"/>
    <w:rsid w:val="006279FC"/>
    <w:rsid w:val="00630719"/>
    <w:rsid w:val="006315A9"/>
    <w:rsid w:val="00631F70"/>
    <w:rsid w:val="006373DB"/>
    <w:rsid w:val="00637A99"/>
    <w:rsid w:val="00640E6E"/>
    <w:rsid w:val="00644A0A"/>
    <w:rsid w:val="00652496"/>
    <w:rsid w:val="0065356F"/>
    <w:rsid w:val="00653601"/>
    <w:rsid w:val="00653DCC"/>
    <w:rsid w:val="006551DC"/>
    <w:rsid w:val="00656F66"/>
    <w:rsid w:val="006603E0"/>
    <w:rsid w:val="00661387"/>
    <w:rsid w:val="00661B55"/>
    <w:rsid w:val="0066370D"/>
    <w:rsid w:val="00663924"/>
    <w:rsid w:val="006660C0"/>
    <w:rsid w:val="0066679C"/>
    <w:rsid w:val="006667AF"/>
    <w:rsid w:val="00667154"/>
    <w:rsid w:val="0066744C"/>
    <w:rsid w:val="00670B80"/>
    <w:rsid w:val="0067651E"/>
    <w:rsid w:val="006834E2"/>
    <w:rsid w:val="00684214"/>
    <w:rsid w:val="00684381"/>
    <w:rsid w:val="0069129C"/>
    <w:rsid w:val="00691CA4"/>
    <w:rsid w:val="006937D0"/>
    <w:rsid w:val="00697BF9"/>
    <w:rsid w:val="006A17ED"/>
    <w:rsid w:val="006A22DB"/>
    <w:rsid w:val="006A4914"/>
    <w:rsid w:val="006A7857"/>
    <w:rsid w:val="006B1CF3"/>
    <w:rsid w:val="006B4E54"/>
    <w:rsid w:val="006B58C2"/>
    <w:rsid w:val="006B5D83"/>
    <w:rsid w:val="006B60F6"/>
    <w:rsid w:val="006C0F08"/>
    <w:rsid w:val="006C1A20"/>
    <w:rsid w:val="006C1BFD"/>
    <w:rsid w:val="006C457C"/>
    <w:rsid w:val="006C7661"/>
    <w:rsid w:val="006D2988"/>
    <w:rsid w:val="006D3309"/>
    <w:rsid w:val="006D3DD3"/>
    <w:rsid w:val="006D44CD"/>
    <w:rsid w:val="006D51AA"/>
    <w:rsid w:val="006E2F8E"/>
    <w:rsid w:val="006E42D8"/>
    <w:rsid w:val="006E52DB"/>
    <w:rsid w:val="006E6DF9"/>
    <w:rsid w:val="006F30C0"/>
    <w:rsid w:val="006F350C"/>
    <w:rsid w:val="006F39A3"/>
    <w:rsid w:val="006F559C"/>
    <w:rsid w:val="006F6308"/>
    <w:rsid w:val="006F6798"/>
    <w:rsid w:val="006F6B33"/>
    <w:rsid w:val="00701B24"/>
    <w:rsid w:val="0070333A"/>
    <w:rsid w:val="00705392"/>
    <w:rsid w:val="00707AA8"/>
    <w:rsid w:val="0071570A"/>
    <w:rsid w:val="00716809"/>
    <w:rsid w:val="00716C85"/>
    <w:rsid w:val="0072091C"/>
    <w:rsid w:val="0072749E"/>
    <w:rsid w:val="007275A2"/>
    <w:rsid w:val="00727AAF"/>
    <w:rsid w:val="00731F61"/>
    <w:rsid w:val="0073295A"/>
    <w:rsid w:val="007364C2"/>
    <w:rsid w:val="00737CDD"/>
    <w:rsid w:val="00746FFC"/>
    <w:rsid w:val="0075162E"/>
    <w:rsid w:val="00754CAC"/>
    <w:rsid w:val="007562D7"/>
    <w:rsid w:val="00757907"/>
    <w:rsid w:val="00760F6E"/>
    <w:rsid w:val="00763B0D"/>
    <w:rsid w:val="007642D9"/>
    <w:rsid w:val="00765493"/>
    <w:rsid w:val="007711D0"/>
    <w:rsid w:val="0077335D"/>
    <w:rsid w:val="0077393A"/>
    <w:rsid w:val="0077513A"/>
    <w:rsid w:val="007765A7"/>
    <w:rsid w:val="00776CDF"/>
    <w:rsid w:val="007774B0"/>
    <w:rsid w:val="00780A02"/>
    <w:rsid w:val="00782194"/>
    <w:rsid w:val="007832BE"/>
    <w:rsid w:val="007907FA"/>
    <w:rsid w:val="00790BFA"/>
    <w:rsid w:val="007926B9"/>
    <w:rsid w:val="00793D62"/>
    <w:rsid w:val="007953AA"/>
    <w:rsid w:val="007953CF"/>
    <w:rsid w:val="007A1F38"/>
    <w:rsid w:val="007A3CF0"/>
    <w:rsid w:val="007A3FAA"/>
    <w:rsid w:val="007A6259"/>
    <w:rsid w:val="007B423C"/>
    <w:rsid w:val="007C1C59"/>
    <w:rsid w:val="007C4DF3"/>
    <w:rsid w:val="007C549B"/>
    <w:rsid w:val="007C6D26"/>
    <w:rsid w:val="007C7698"/>
    <w:rsid w:val="007D185B"/>
    <w:rsid w:val="007D2106"/>
    <w:rsid w:val="007D497A"/>
    <w:rsid w:val="007D4CA8"/>
    <w:rsid w:val="007E0031"/>
    <w:rsid w:val="007E2EFC"/>
    <w:rsid w:val="007E3710"/>
    <w:rsid w:val="007E45B6"/>
    <w:rsid w:val="007E5991"/>
    <w:rsid w:val="007F1B6A"/>
    <w:rsid w:val="007F1F36"/>
    <w:rsid w:val="00800908"/>
    <w:rsid w:val="00801AE5"/>
    <w:rsid w:val="00802315"/>
    <w:rsid w:val="00810A6B"/>
    <w:rsid w:val="00810A6D"/>
    <w:rsid w:val="008113F7"/>
    <w:rsid w:val="00811883"/>
    <w:rsid w:val="00814997"/>
    <w:rsid w:val="008152A2"/>
    <w:rsid w:val="00816D4C"/>
    <w:rsid w:val="00822C62"/>
    <w:rsid w:val="00823E9D"/>
    <w:rsid w:val="008259C3"/>
    <w:rsid w:val="00825B34"/>
    <w:rsid w:val="00827DEA"/>
    <w:rsid w:val="00831189"/>
    <w:rsid w:val="008328B0"/>
    <w:rsid w:val="00833916"/>
    <w:rsid w:val="008342C9"/>
    <w:rsid w:val="008347BD"/>
    <w:rsid w:val="00836C82"/>
    <w:rsid w:val="0084247A"/>
    <w:rsid w:val="008425CD"/>
    <w:rsid w:val="008431DA"/>
    <w:rsid w:val="00843789"/>
    <w:rsid w:val="00843C3B"/>
    <w:rsid w:val="00844AB5"/>
    <w:rsid w:val="00846938"/>
    <w:rsid w:val="008475AC"/>
    <w:rsid w:val="00851016"/>
    <w:rsid w:val="008514F1"/>
    <w:rsid w:val="00853E0D"/>
    <w:rsid w:val="00854895"/>
    <w:rsid w:val="00855CAA"/>
    <w:rsid w:val="00855E5F"/>
    <w:rsid w:val="008620E6"/>
    <w:rsid w:val="00877A9B"/>
    <w:rsid w:val="00877E72"/>
    <w:rsid w:val="00880E82"/>
    <w:rsid w:val="008812FC"/>
    <w:rsid w:val="00881A3B"/>
    <w:rsid w:val="00881E7E"/>
    <w:rsid w:val="0088279B"/>
    <w:rsid w:val="008863F9"/>
    <w:rsid w:val="00886412"/>
    <w:rsid w:val="0088702A"/>
    <w:rsid w:val="0088799A"/>
    <w:rsid w:val="00887BA4"/>
    <w:rsid w:val="00891B9A"/>
    <w:rsid w:val="0089227F"/>
    <w:rsid w:val="008926B1"/>
    <w:rsid w:val="00897840"/>
    <w:rsid w:val="008979D6"/>
    <w:rsid w:val="008A0BEA"/>
    <w:rsid w:val="008A25CD"/>
    <w:rsid w:val="008A633A"/>
    <w:rsid w:val="008B30DC"/>
    <w:rsid w:val="008B31CD"/>
    <w:rsid w:val="008B6239"/>
    <w:rsid w:val="008C12A8"/>
    <w:rsid w:val="008C3C9A"/>
    <w:rsid w:val="008C406D"/>
    <w:rsid w:val="008C5110"/>
    <w:rsid w:val="008C6E73"/>
    <w:rsid w:val="008D01B5"/>
    <w:rsid w:val="008D0A3E"/>
    <w:rsid w:val="008D47DF"/>
    <w:rsid w:val="008D7A07"/>
    <w:rsid w:val="008E02E5"/>
    <w:rsid w:val="008E1D6A"/>
    <w:rsid w:val="008E5D15"/>
    <w:rsid w:val="008E7D5E"/>
    <w:rsid w:val="008F0A36"/>
    <w:rsid w:val="008F0CC6"/>
    <w:rsid w:val="008F0F8B"/>
    <w:rsid w:val="008F2DFF"/>
    <w:rsid w:val="008F382A"/>
    <w:rsid w:val="008F577C"/>
    <w:rsid w:val="008F6599"/>
    <w:rsid w:val="0090074C"/>
    <w:rsid w:val="00901DA2"/>
    <w:rsid w:val="009036CA"/>
    <w:rsid w:val="00904F4A"/>
    <w:rsid w:val="00905820"/>
    <w:rsid w:val="009071F7"/>
    <w:rsid w:val="00911D77"/>
    <w:rsid w:val="00916B1D"/>
    <w:rsid w:val="0092089C"/>
    <w:rsid w:val="00924ED1"/>
    <w:rsid w:val="00925695"/>
    <w:rsid w:val="009265FB"/>
    <w:rsid w:val="00927BAD"/>
    <w:rsid w:val="00930566"/>
    <w:rsid w:val="0093524A"/>
    <w:rsid w:val="00937AB8"/>
    <w:rsid w:val="009404E1"/>
    <w:rsid w:val="0094083F"/>
    <w:rsid w:val="00941088"/>
    <w:rsid w:val="00942D64"/>
    <w:rsid w:val="00944BDD"/>
    <w:rsid w:val="0095259A"/>
    <w:rsid w:val="00953D8A"/>
    <w:rsid w:val="009617C8"/>
    <w:rsid w:val="00967381"/>
    <w:rsid w:val="009720FC"/>
    <w:rsid w:val="00975496"/>
    <w:rsid w:val="009760B2"/>
    <w:rsid w:val="009820F4"/>
    <w:rsid w:val="009862C0"/>
    <w:rsid w:val="009879D9"/>
    <w:rsid w:val="00990B2B"/>
    <w:rsid w:val="00990D25"/>
    <w:rsid w:val="00993A7E"/>
    <w:rsid w:val="00994694"/>
    <w:rsid w:val="009948E4"/>
    <w:rsid w:val="00996EF7"/>
    <w:rsid w:val="009A0BA3"/>
    <w:rsid w:val="009A2972"/>
    <w:rsid w:val="009A3FF3"/>
    <w:rsid w:val="009A66FB"/>
    <w:rsid w:val="009B4376"/>
    <w:rsid w:val="009B496F"/>
    <w:rsid w:val="009B4D5C"/>
    <w:rsid w:val="009B6C7D"/>
    <w:rsid w:val="009C2AAF"/>
    <w:rsid w:val="009C4401"/>
    <w:rsid w:val="009C4608"/>
    <w:rsid w:val="009C67B6"/>
    <w:rsid w:val="009C7C0E"/>
    <w:rsid w:val="009D1DD0"/>
    <w:rsid w:val="009D5164"/>
    <w:rsid w:val="009D5DA2"/>
    <w:rsid w:val="009D6F5E"/>
    <w:rsid w:val="009E250A"/>
    <w:rsid w:val="009E373C"/>
    <w:rsid w:val="009E3A51"/>
    <w:rsid w:val="009E5104"/>
    <w:rsid w:val="009E69D4"/>
    <w:rsid w:val="009E6BC6"/>
    <w:rsid w:val="009F028B"/>
    <w:rsid w:val="009F128C"/>
    <w:rsid w:val="009F6A0F"/>
    <w:rsid w:val="009F754F"/>
    <w:rsid w:val="00A00F44"/>
    <w:rsid w:val="00A0128A"/>
    <w:rsid w:val="00A02F03"/>
    <w:rsid w:val="00A038D5"/>
    <w:rsid w:val="00A03E35"/>
    <w:rsid w:val="00A05933"/>
    <w:rsid w:val="00A07558"/>
    <w:rsid w:val="00A10BFA"/>
    <w:rsid w:val="00A10C71"/>
    <w:rsid w:val="00A11766"/>
    <w:rsid w:val="00A14CF3"/>
    <w:rsid w:val="00A172C0"/>
    <w:rsid w:val="00A177D9"/>
    <w:rsid w:val="00A17DAB"/>
    <w:rsid w:val="00A2150D"/>
    <w:rsid w:val="00A33862"/>
    <w:rsid w:val="00A37F62"/>
    <w:rsid w:val="00A41984"/>
    <w:rsid w:val="00A425B9"/>
    <w:rsid w:val="00A44E78"/>
    <w:rsid w:val="00A454A8"/>
    <w:rsid w:val="00A47BFD"/>
    <w:rsid w:val="00A50460"/>
    <w:rsid w:val="00A5089F"/>
    <w:rsid w:val="00A51975"/>
    <w:rsid w:val="00A54982"/>
    <w:rsid w:val="00A54FAF"/>
    <w:rsid w:val="00A57D5D"/>
    <w:rsid w:val="00A66C9F"/>
    <w:rsid w:val="00A6729D"/>
    <w:rsid w:val="00A707C4"/>
    <w:rsid w:val="00A7230F"/>
    <w:rsid w:val="00A74ED5"/>
    <w:rsid w:val="00A75C3B"/>
    <w:rsid w:val="00A8104C"/>
    <w:rsid w:val="00A85DFB"/>
    <w:rsid w:val="00A86345"/>
    <w:rsid w:val="00A86A2E"/>
    <w:rsid w:val="00A91597"/>
    <w:rsid w:val="00A9182A"/>
    <w:rsid w:val="00A91B55"/>
    <w:rsid w:val="00A95B6C"/>
    <w:rsid w:val="00A96E50"/>
    <w:rsid w:val="00A97135"/>
    <w:rsid w:val="00A976A6"/>
    <w:rsid w:val="00AA1D34"/>
    <w:rsid w:val="00AA202E"/>
    <w:rsid w:val="00AA38D3"/>
    <w:rsid w:val="00AA70A7"/>
    <w:rsid w:val="00AB437E"/>
    <w:rsid w:val="00AB5154"/>
    <w:rsid w:val="00AB54B0"/>
    <w:rsid w:val="00AB7C3C"/>
    <w:rsid w:val="00AC29F8"/>
    <w:rsid w:val="00AC2B5B"/>
    <w:rsid w:val="00AC443C"/>
    <w:rsid w:val="00AC59EC"/>
    <w:rsid w:val="00AC6DE8"/>
    <w:rsid w:val="00AD0A2A"/>
    <w:rsid w:val="00AD0AD5"/>
    <w:rsid w:val="00AD20E2"/>
    <w:rsid w:val="00AD405B"/>
    <w:rsid w:val="00AE0680"/>
    <w:rsid w:val="00AE309E"/>
    <w:rsid w:val="00AE31D2"/>
    <w:rsid w:val="00AE6461"/>
    <w:rsid w:val="00AE7A6D"/>
    <w:rsid w:val="00AF04D5"/>
    <w:rsid w:val="00AF18D5"/>
    <w:rsid w:val="00AF21E8"/>
    <w:rsid w:val="00AF4E3B"/>
    <w:rsid w:val="00AF68FF"/>
    <w:rsid w:val="00AF6EED"/>
    <w:rsid w:val="00AF7DBB"/>
    <w:rsid w:val="00B0359C"/>
    <w:rsid w:val="00B10252"/>
    <w:rsid w:val="00B10406"/>
    <w:rsid w:val="00B1357A"/>
    <w:rsid w:val="00B1761B"/>
    <w:rsid w:val="00B200B2"/>
    <w:rsid w:val="00B2177B"/>
    <w:rsid w:val="00B2231C"/>
    <w:rsid w:val="00B2478E"/>
    <w:rsid w:val="00B2520A"/>
    <w:rsid w:val="00B25F37"/>
    <w:rsid w:val="00B343EB"/>
    <w:rsid w:val="00B35760"/>
    <w:rsid w:val="00B372E3"/>
    <w:rsid w:val="00B3749B"/>
    <w:rsid w:val="00B37B38"/>
    <w:rsid w:val="00B412CF"/>
    <w:rsid w:val="00B414DE"/>
    <w:rsid w:val="00B41DBC"/>
    <w:rsid w:val="00B431B7"/>
    <w:rsid w:val="00B43CD3"/>
    <w:rsid w:val="00B45245"/>
    <w:rsid w:val="00B4579D"/>
    <w:rsid w:val="00B479AE"/>
    <w:rsid w:val="00B50D11"/>
    <w:rsid w:val="00B522C2"/>
    <w:rsid w:val="00B528F9"/>
    <w:rsid w:val="00B53BE8"/>
    <w:rsid w:val="00B55FEF"/>
    <w:rsid w:val="00B575B2"/>
    <w:rsid w:val="00B6082A"/>
    <w:rsid w:val="00B60B61"/>
    <w:rsid w:val="00B61ADF"/>
    <w:rsid w:val="00B638E8"/>
    <w:rsid w:val="00B76351"/>
    <w:rsid w:val="00B76DF2"/>
    <w:rsid w:val="00B873AA"/>
    <w:rsid w:val="00B91386"/>
    <w:rsid w:val="00B91AF3"/>
    <w:rsid w:val="00B92469"/>
    <w:rsid w:val="00B92C81"/>
    <w:rsid w:val="00B93331"/>
    <w:rsid w:val="00B93BA0"/>
    <w:rsid w:val="00B93E89"/>
    <w:rsid w:val="00B93EAD"/>
    <w:rsid w:val="00B944C7"/>
    <w:rsid w:val="00B951CF"/>
    <w:rsid w:val="00B959C2"/>
    <w:rsid w:val="00B96450"/>
    <w:rsid w:val="00BA0D40"/>
    <w:rsid w:val="00BA2D18"/>
    <w:rsid w:val="00BA3653"/>
    <w:rsid w:val="00BA4DBD"/>
    <w:rsid w:val="00BB0792"/>
    <w:rsid w:val="00BB1256"/>
    <w:rsid w:val="00BB34F3"/>
    <w:rsid w:val="00BB40C7"/>
    <w:rsid w:val="00BB4536"/>
    <w:rsid w:val="00BC01D1"/>
    <w:rsid w:val="00BC1692"/>
    <w:rsid w:val="00BC1B48"/>
    <w:rsid w:val="00BC1F21"/>
    <w:rsid w:val="00BC3BDF"/>
    <w:rsid w:val="00BC4E73"/>
    <w:rsid w:val="00BC52CA"/>
    <w:rsid w:val="00BC5D2E"/>
    <w:rsid w:val="00BD18C6"/>
    <w:rsid w:val="00BD25E2"/>
    <w:rsid w:val="00BD30CE"/>
    <w:rsid w:val="00BD5FA7"/>
    <w:rsid w:val="00BE5A00"/>
    <w:rsid w:val="00BE7D55"/>
    <w:rsid w:val="00BF0B4A"/>
    <w:rsid w:val="00BF0E1C"/>
    <w:rsid w:val="00BF2759"/>
    <w:rsid w:val="00BF32E4"/>
    <w:rsid w:val="00BF50D7"/>
    <w:rsid w:val="00C0379F"/>
    <w:rsid w:val="00C03A97"/>
    <w:rsid w:val="00C056B3"/>
    <w:rsid w:val="00C06E18"/>
    <w:rsid w:val="00C11017"/>
    <w:rsid w:val="00C11FF9"/>
    <w:rsid w:val="00C132BA"/>
    <w:rsid w:val="00C2045A"/>
    <w:rsid w:val="00C22BA7"/>
    <w:rsid w:val="00C25968"/>
    <w:rsid w:val="00C25CA7"/>
    <w:rsid w:val="00C304CD"/>
    <w:rsid w:val="00C30B15"/>
    <w:rsid w:val="00C31900"/>
    <w:rsid w:val="00C3734C"/>
    <w:rsid w:val="00C41C05"/>
    <w:rsid w:val="00C4448D"/>
    <w:rsid w:val="00C4645B"/>
    <w:rsid w:val="00C56C8C"/>
    <w:rsid w:val="00C6036E"/>
    <w:rsid w:val="00C608CC"/>
    <w:rsid w:val="00C60A0C"/>
    <w:rsid w:val="00C6114C"/>
    <w:rsid w:val="00C64BD5"/>
    <w:rsid w:val="00C64CA8"/>
    <w:rsid w:val="00C71B24"/>
    <w:rsid w:val="00C74BFA"/>
    <w:rsid w:val="00C80948"/>
    <w:rsid w:val="00C82E2F"/>
    <w:rsid w:val="00C85025"/>
    <w:rsid w:val="00C87116"/>
    <w:rsid w:val="00C909C6"/>
    <w:rsid w:val="00C914AA"/>
    <w:rsid w:val="00C93436"/>
    <w:rsid w:val="00C977B0"/>
    <w:rsid w:val="00CA1F11"/>
    <w:rsid w:val="00CA2B48"/>
    <w:rsid w:val="00CA33B8"/>
    <w:rsid w:val="00CA49DC"/>
    <w:rsid w:val="00CA58F4"/>
    <w:rsid w:val="00CA6DEE"/>
    <w:rsid w:val="00CA74F4"/>
    <w:rsid w:val="00CB1ABC"/>
    <w:rsid w:val="00CB5C87"/>
    <w:rsid w:val="00CB746A"/>
    <w:rsid w:val="00CC1129"/>
    <w:rsid w:val="00CC2DD4"/>
    <w:rsid w:val="00CC4495"/>
    <w:rsid w:val="00CC6315"/>
    <w:rsid w:val="00CC6CB8"/>
    <w:rsid w:val="00CC7DEF"/>
    <w:rsid w:val="00CD1DD8"/>
    <w:rsid w:val="00CD29BC"/>
    <w:rsid w:val="00CD2A35"/>
    <w:rsid w:val="00CD3A1E"/>
    <w:rsid w:val="00CD3C02"/>
    <w:rsid w:val="00CD59C8"/>
    <w:rsid w:val="00CD6849"/>
    <w:rsid w:val="00CD7606"/>
    <w:rsid w:val="00CD7646"/>
    <w:rsid w:val="00CD78C6"/>
    <w:rsid w:val="00CE048E"/>
    <w:rsid w:val="00CE0C05"/>
    <w:rsid w:val="00CE1439"/>
    <w:rsid w:val="00CE3DEB"/>
    <w:rsid w:val="00CF1324"/>
    <w:rsid w:val="00CF272E"/>
    <w:rsid w:val="00CF5531"/>
    <w:rsid w:val="00D00D5F"/>
    <w:rsid w:val="00D05E2D"/>
    <w:rsid w:val="00D06BC9"/>
    <w:rsid w:val="00D07493"/>
    <w:rsid w:val="00D07F38"/>
    <w:rsid w:val="00D11331"/>
    <w:rsid w:val="00D14EBF"/>
    <w:rsid w:val="00D15E07"/>
    <w:rsid w:val="00D26DFC"/>
    <w:rsid w:val="00D3110B"/>
    <w:rsid w:val="00D3172D"/>
    <w:rsid w:val="00D32F66"/>
    <w:rsid w:val="00D333C8"/>
    <w:rsid w:val="00D34964"/>
    <w:rsid w:val="00D35404"/>
    <w:rsid w:val="00D37C64"/>
    <w:rsid w:val="00D40726"/>
    <w:rsid w:val="00D42AC8"/>
    <w:rsid w:val="00D440E5"/>
    <w:rsid w:val="00D463F3"/>
    <w:rsid w:val="00D50697"/>
    <w:rsid w:val="00D5087F"/>
    <w:rsid w:val="00D535DB"/>
    <w:rsid w:val="00D554C0"/>
    <w:rsid w:val="00D556CF"/>
    <w:rsid w:val="00D55876"/>
    <w:rsid w:val="00D56275"/>
    <w:rsid w:val="00D568F8"/>
    <w:rsid w:val="00D63795"/>
    <w:rsid w:val="00D67B3A"/>
    <w:rsid w:val="00D71D28"/>
    <w:rsid w:val="00D7249C"/>
    <w:rsid w:val="00D727DB"/>
    <w:rsid w:val="00D72B4B"/>
    <w:rsid w:val="00D738A6"/>
    <w:rsid w:val="00D7794A"/>
    <w:rsid w:val="00D80346"/>
    <w:rsid w:val="00D8387B"/>
    <w:rsid w:val="00D87429"/>
    <w:rsid w:val="00D90651"/>
    <w:rsid w:val="00DA19EC"/>
    <w:rsid w:val="00DA1BC9"/>
    <w:rsid w:val="00DA347B"/>
    <w:rsid w:val="00DA3F55"/>
    <w:rsid w:val="00DA4E5A"/>
    <w:rsid w:val="00DA761E"/>
    <w:rsid w:val="00DB0573"/>
    <w:rsid w:val="00DB1080"/>
    <w:rsid w:val="00DB5021"/>
    <w:rsid w:val="00DC38DA"/>
    <w:rsid w:val="00DD08AD"/>
    <w:rsid w:val="00DD28E8"/>
    <w:rsid w:val="00DD5AB8"/>
    <w:rsid w:val="00DD79E1"/>
    <w:rsid w:val="00DE43BB"/>
    <w:rsid w:val="00DE7C44"/>
    <w:rsid w:val="00DF3952"/>
    <w:rsid w:val="00DF6A0E"/>
    <w:rsid w:val="00E00AFA"/>
    <w:rsid w:val="00E00CFB"/>
    <w:rsid w:val="00E00EDA"/>
    <w:rsid w:val="00E042C8"/>
    <w:rsid w:val="00E127E3"/>
    <w:rsid w:val="00E15EF4"/>
    <w:rsid w:val="00E20483"/>
    <w:rsid w:val="00E2346E"/>
    <w:rsid w:val="00E23767"/>
    <w:rsid w:val="00E26027"/>
    <w:rsid w:val="00E26E18"/>
    <w:rsid w:val="00E301CC"/>
    <w:rsid w:val="00E31DD3"/>
    <w:rsid w:val="00E32959"/>
    <w:rsid w:val="00E3361A"/>
    <w:rsid w:val="00E40793"/>
    <w:rsid w:val="00E420F2"/>
    <w:rsid w:val="00E42580"/>
    <w:rsid w:val="00E43D99"/>
    <w:rsid w:val="00E440B1"/>
    <w:rsid w:val="00E451C1"/>
    <w:rsid w:val="00E473BC"/>
    <w:rsid w:val="00E5118C"/>
    <w:rsid w:val="00E545AF"/>
    <w:rsid w:val="00E550DF"/>
    <w:rsid w:val="00E5564E"/>
    <w:rsid w:val="00E5578A"/>
    <w:rsid w:val="00E56744"/>
    <w:rsid w:val="00E57257"/>
    <w:rsid w:val="00E60A0B"/>
    <w:rsid w:val="00E60C6A"/>
    <w:rsid w:val="00E62FAD"/>
    <w:rsid w:val="00E634F5"/>
    <w:rsid w:val="00E64308"/>
    <w:rsid w:val="00E67683"/>
    <w:rsid w:val="00E678A0"/>
    <w:rsid w:val="00E67940"/>
    <w:rsid w:val="00E77FDF"/>
    <w:rsid w:val="00E80DC6"/>
    <w:rsid w:val="00E81C62"/>
    <w:rsid w:val="00E84903"/>
    <w:rsid w:val="00E85073"/>
    <w:rsid w:val="00E8770A"/>
    <w:rsid w:val="00E90160"/>
    <w:rsid w:val="00E9356A"/>
    <w:rsid w:val="00E95FFC"/>
    <w:rsid w:val="00EA025C"/>
    <w:rsid w:val="00EA42CC"/>
    <w:rsid w:val="00EA4D79"/>
    <w:rsid w:val="00EA5A3D"/>
    <w:rsid w:val="00EA6F8D"/>
    <w:rsid w:val="00EB1A13"/>
    <w:rsid w:val="00EB6406"/>
    <w:rsid w:val="00EC5D5A"/>
    <w:rsid w:val="00EC65D6"/>
    <w:rsid w:val="00ED193D"/>
    <w:rsid w:val="00ED19BE"/>
    <w:rsid w:val="00ED403C"/>
    <w:rsid w:val="00ED4525"/>
    <w:rsid w:val="00ED4A63"/>
    <w:rsid w:val="00ED5906"/>
    <w:rsid w:val="00ED6982"/>
    <w:rsid w:val="00ED6A46"/>
    <w:rsid w:val="00ED7359"/>
    <w:rsid w:val="00EE33C7"/>
    <w:rsid w:val="00EE4315"/>
    <w:rsid w:val="00EE5864"/>
    <w:rsid w:val="00EF12D6"/>
    <w:rsid w:val="00F011A8"/>
    <w:rsid w:val="00F01A47"/>
    <w:rsid w:val="00F01F2D"/>
    <w:rsid w:val="00F04146"/>
    <w:rsid w:val="00F06193"/>
    <w:rsid w:val="00F06E23"/>
    <w:rsid w:val="00F106BA"/>
    <w:rsid w:val="00F11522"/>
    <w:rsid w:val="00F135D9"/>
    <w:rsid w:val="00F16B46"/>
    <w:rsid w:val="00F2116D"/>
    <w:rsid w:val="00F21EF9"/>
    <w:rsid w:val="00F21F52"/>
    <w:rsid w:val="00F2518B"/>
    <w:rsid w:val="00F30872"/>
    <w:rsid w:val="00F32AE7"/>
    <w:rsid w:val="00F337A8"/>
    <w:rsid w:val="00F34018"/>
    <w:rsid w:val="00F35BCA"/>
    <w:rsid w:val="00F375FF"/>
    <w:rsid w:val="00F41F67"/>
    <w:rsid w:val="00F4264E"/>
    <w:rsid w:val="00F45918"/>
    <w:rsid w:val="00F465BB"/>
    <w:rsid w:val="00F500A6"/>
    <w:rsid w:val="00F52F4A"/>
    <w:rsid w:val="00F605DF"/>
    <w:rsid w:val="00F61AA9"/>
    <w:rsid w:val="00F63C0A"/>
    <w:rsid w:val="00F66F2E"/>
    <w:rsid w:val="00F67CC0"/>
    <w:rsid w:val="00F701C1"/>
    <w:rsid w:val="00F715C5"/>
    <w:rsid w:val="00F73E37"/>
    <w:rsid w:val="00F80423"/>
    <w:rsid w:val="00F832FA"/>
    <w:rsid w:val="00F84135"/>
    <w:rsid w:val="00F85B3B"/>
    <w:rsid w:val="00F90844"/>
    <w:rsid w:val="00F912C0"/>
    <w:rsid w:val="00F96874"/>
    <w:rsid w:val="00F97116"/>
    <w:rsid w:val="00FA61BD"/>
    <w:rsid w:val="00FB0061"/>
    <w:rsid w:val="00FB1667"/>
    <w:rsid w:val="00FB7C72"/>
    <w:rsid w:val="00FC5E32"/>
    <w:rsid w:val="00FD12C0"/>
    <w:rsid w:val="00FD13BF"/>
    <w:rsid w:val="00FD1530"/>
    <w:rsid w:val="00FD2754"/>
    <w:rsid w:val="00FD4DFD"/>
    <w:rsid w:val="00FD6840"/>
    <w:rsid w:val="00FD7A00"/>
    <w:rsid w:val="00FE2B86"/>
    <w:rsid w:val="00FE2C67"/>
    <w:rsid w:val="00FE33EE"/>
    <w:rsid w:val="00FE476F"/>
    <w:rsid w:val="00FF1DB4"/>
    <w:rsid w:val="00FF2F52"/>
    <w:rsid w:val="00FF4EDF"/>
    <w:rsid w:val="00FF508E"/>
    <w:rsid w:val="00FF7596"/>
    <w:rsid w:val="00FF7E6C"/>
    <w:rsid w:val="0136E0A1"/>
    <w:rsid w:val="5AFCC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8DF5"/>
  <w15:docId w15:val="{157DFB61-07DF-4158-9ADB-D36EA9E4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b/>
      <w:bCs/>
      <w:color w:val="3E5AA8"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6440A3"/>
      <w:sz w:val="26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0D1F5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3E5AA8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1F2D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character" w:customStyle="1" w:styleId="Heading1Char">
    <w:name w:val="Heading 1 Char"/>
    <w:aliases w:val="Xo Heading 1 Char"/>
    <w:basedOn w:val="DefaultParagraphFont"/>
    <w:uiPriority w:val="9"/>
    <w:qFormat/>
    <w:rPr>
      <w:rFonts w:ascii="Arial" w:hAnsi="Arial"/>
      <w:b/>
      <w:bCs/>
      <w:color w:val="3E5AA8"/>
      <w:sz w:val="28"/>
      <w:szCs w:val="28"/>
    </w:rPr>
  </w:style>
  <w:style w:type="character" w:customStyle="1" w:styleId="Heading2Char">
    <w:name w:val="Heading 2 Char"/>
    <w:basedOn w:val="DefaultParagraphFont"/>
    <w:qFormat/>
    <w:rPr>
      <w:rFonts w:ascii="Arial" w:hAnsi="Arial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uiPriority w:val="10"/>
    <w:qFormat/>
    <w:pPr>
      <w:pBdr>
        <w:bottom w:val="single" w:sz="8" w:space="4" w:color="3E5AA8"/>
      </w:pBdr>
      <w:spacing w:after="300" w:line="240" w:lineRule="auto"/>
      <w:contextualSpacing/>
    </w:pPr>
    <w:rPr>
      <w:b/>
      <w:bCs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uiPriority w:val="10"/>
    <w:qFormat/>
    <w:rPr>
      <w:rFonts w:ascii="Arial" w:hAnsi="Arial"/>
      <w:b/>
      <w:bCs/>
      <w:color w:val="1D3E61"/>
      <w:spacing w:val="5"/>
      <w:kern w:val="28"/>
      <w:sz w:val="52"/>
      <w:szCs w:val="52"/>
    </w:rPr>
  </w:style>
  <w:style w:type="paragraph" w:styleId="Subtitle">
    <w:name w:val="Subtitle"/>
    <w:basedOn w:val="Normal"/>
    <w:uiPriority w:val="11"/>
    <w:qFormat/>
    <w:rPr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basedOn w:val="DefaultParagraphFont"/>
    <w:qFormat/>
    <w:rPr>
      <w:rFonts w:ascii="Arial" w:hAnsi="Arial"/>
      <w:i/>
      <w:iCs/>
      <w:color w:val="56CF9E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rFonts w:ascii="Arial" w:hAnsi="Arial"/>
      <w:i/>
      <w:iCs/>
      <w:color w:val="80808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qFormat/>
    <w:rPr>
      <w:rFonts w:ascii="Arial" w:hAnsi="Arial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qFormat/>
    <w:rPr>
      <w:rFonts w:ascii="Arial" w:hAnsi="Arial"/>
    </w:rPr>
  </w:style>
  <w:style w:type="character" w:customStyle="1" w:styleId="Heading3Char">
    <w:name w:val="Heading 3 Char"/>
    <w:basedOn w:val="DefaultParagraphFont"/>
    <w:qFormat/>
    <w:rPr>
      <w:rFonts w:ascii="Arial" w:hAnsi="Arial"/>
      <w:b/>
      <w:bCs/>
      <w:color w:val="40D1F5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6440A3"/>
      <w:u w:val="single"/>
    </w:rPr>
  </w:style>
  <w:style w:type="character" w:customStyle="1" w:styleId="Heading4Char">
    <w:name w:val="Heading 4 Char"/>
    <w:basedOn w:val="DefaultParagraphFont"/>
    <w:qFormat/>
    <w:rPr>
      <w:rFonts w:ascii="Arial" w:hAnsi="Arial"/>
      <w:b/>
      <w:bCs/>
      <w:i/>
      <w:iCs/>
      <w:color w:val="3E5AA8"/>
    </w:rPr>
  </w:style>
  <w:style w:type="character" w:customStyle="1" w:styleId="Heading5Char">
    <w:name w:val="Heading 5 Char"/>
    <w:basedOn w:val="DefaultParagraphFont"/>
    <w:qFormat/>
    <w:rPr>
      <w:rFonts w:ascii="Arial" w:hAnsi="Arial"/>
      <w:color w:val="1F2D54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3E5AA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Quote">
    <w:name w:val="Quote"/>
    <w:basedOn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qFormat/>
    <w:rPr>
      <w:rFonts w:ascii="Arial" w:hAnsi="Arial"/>
      <w:i/>
      <w:iCs/>
      <w:color w:val="000000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character" w:customStyle="1" w:styleId="CommentSubjectChar">
    <w:name w:val="Comment Subject Char"/>
    <w:basedOn w:val="CommentTextChar"/>
    <w:qFormat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ListParagraphChar">
    <w:name w:val="List Paragraph Char"/>
    <w:qFormat/>
  </w:style>
  <w:style w:type="paragraph" w:styleId="Revision">
    <w:name w:val="Revision"/>
    <w:qFormat/>
    <w:pPr>
      <w:spacing w:after="0" w:line="240" w:lineRule="auto"/>
    </w:pPr>
  </w:style>
  <w:style w:type="numbering" w:customStyle="1" w:styleId="Style40">
    <w:name w:val="Style40"/>
    <w:qFormat/>
    <w:pPr>
      <w:numPr>
        <w:numId w:val="1"/>
      </w:numPr>
    </w:pPr>
  </w:style>
  <w:style w:type="numbering" w:customStyle="1" w:styleId="Style401">
    <w:name w:val="Style401"/>
    <w:qFormat/>
    <w:pPr>
      <w:numPr>
        <w:numId w:val="2"/>
      </w:numPr>
    </w:pPr>
  </w:style>
  <w:style w:type="numbering" w:customStyle="1" w:styleId="Style402">
    <w:name w:val="Style402"/>
    <w:qFormat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C0C26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C056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83BB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578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57872"/>
  </w:style>
  <w:style w:type="character" w:customStyle="1" w:styleId="eop">
    <w:name w:val="eop"/>
    <w:basedOn w:val="DefaultParagraphFont"/>
    <w:rsid w:val="0025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umbraco.xoserve.com/media/42880/m03-billreads-v12fa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xoserve.com/change/change-proposals/xrn-5463-technical-debt-reduction-prime-and-sub-process-enhancement/" TargetMode="External"/><Relationship Id="rId5" Type="http://schemas.openxmlformats.org/officeDocument/2006/relationships/styles" Target="styles.xml"/><Relationship Id="rId15" Type="http://schemas.openxmlformats.org/officeDocument/2006/relationships/hyperlink" Target="mailto:uklink@xoserv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ames.barlow@xoserve.co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xoserve.com/calendar/dsc-delivery-sub-group-20th-december-2021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4" ma:contentTypeDescription="Create a new document." ma:contentTypeScope="" ma:versionID="33b8fecee8c4713a57430302bf85c5cc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f5412dd98e0cafb03a0a30bd6733c8ea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025CB-3362-4C6B-97E3-62D27396817C}">
  <ds:schemaRefs>
    <ds:schemaRef ds:uri="http://www.w3.org/XML/1998/namespace"/>
    <ds:schemaRef ds:uri="c78a4dae-5fc0-4ed3-ad80-da51122ab114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844fa40-a696-4ac9-bd38-c0330d29510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C58691-9E15-401C-86B7-FA6AAD42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EF549-0DB8-46CF-8A60-169124774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Grid</dc:creator>
  <cp:lastModifiedBy>Megan Troth</cp:lastModifiedBy>
  <cp:revision>12</cp:revision>
  <dcterms:created xsi:type="dcterms:W3CDTF">2022-01-14T10:41:00Z</dcterms:created>
  <dcterms:modified xsi:type="dcterms:W3CDTF">2022-01-17T10:50:00Z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</Properties>
</file>