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p14">
  <w:body>
    <w:p w:rsidR="007D4F26" w:rsidP="002B2E87" w:rsidRDefault="002B2E87" w14:paraId="3E175A29" w14:textId="529EB393">
      <w:pPr>
        <w:pStyle w:val="Title"/>
        <w:jc w:val="center"/>
      </w:pPr>
      <w:r>
        <w:t>DSC Business Evaluation Report (BER)</w:t>
      </w:r>
    </w:p>
    <w:p w:rsidR="002B2E87" w:rsidP="00D66C7E" w:rsidRDefault="002B2E87" w14:paraId="1B0A6AE9" w14:textId="2D5BFDE6">
      <w:r>
        <w:rPr>
          <w:noProof/>
        </w:rPr>
        <w:drawing>
          <wp:anchor distT="0" distB="0" distL="114300" distR="114300" simplePos="0" relativeHeight="251658240" behindDoc="0" locked="0" layoutInCell="1" allowOverlap="1" wp14:anchorId="3E175A6E" wp14:editId="3D281ED2">
            <wp:simplePos x="0" y="0"/>
            <wp:positionH relativeFrom="column">
              <wp:posOffset>710565</wp:posOffset>
            </wp:positionH>
            <wp:positionV relativeFrom="paragraph">
              <wp:posOffset>41910</wp:posOffset>
            </wp:positionV>
            <wp:extent cx="4109720" cy="647700"/>
            <wp:effectExtent l="0" t="0" r="508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09720" cy="647700"/>
                    </a:xfrm>
                    <a:prstGeom prst="rect">
                      <a:avLst/>
                    </a:prstGeom>
                  </pic:spPr>
                </pic:pic>
              </a:graphicData>
            </a:graphic>
            <wp14:sizeRelH relativeFrom="page">
              <wp14:pctWidth>0</wp14:pctWidth>
            </wp14:sizeRelH>
            <wp14:sizeRelV relativeFrom="page">
              <wp14:pctHeight>0</wp14:pctHeight>
            </wp14:sizeRelV>
          </wp:anchor>
        </w:drawing>
      </w:r>
    </w:p>
    <w:p w:rsidR="002B2E87" w:rsidP="00D66C7E" w:rsidRDefault="002B2E87" w14:paraId="28DEB76A" w14:textId="77777777"/>
    <w:p w:rsidR="002B2E87" w:rsidP="00D66C7E" w:rsidRDefault="002B2E87" w14:paraId="1DA3FC3E" w14:textId="77777777"/>
    <w:tbl>
      <w:tblPr>
        <w:tblStyle w:val="TableGrid1"/>
        <w:tblW w:w="5504" w:type="pct"/>
        <w:tblInd w:w="-459" w:type="dxa"/>
        <w:tblLayout w:type="fixed"/>
        <w:tblLook w:val="04A0" w:firstRow="1" w:lastRow="0" w:firstColumn="1" w:lastColumn="0" w:noHBand="0" w:noVBand="1"/>
      </w:tblPr>
      <w:tblGrid>
        <w:gridCol w:w="4841"/>
        <w:gridCol w:w="5084"/>
      </w:tblGrid>
      <w:tr w:rsidRPr="002B2E87" w:rsidR="00B13C27" w:rsidTr="13E168D9" w14:paraId="4E169BE3" w14:textId="77777777">
        <w:tc>
          <w:tcPr>
            <w:tcW w:w="2439" w:type="pct"/>
            <w:shd w:val="clear" w:color="auto" w:fill="FFFFFF" w:themeFill="background1"/>
            <w:tcMar/>
            <w:vAlign w:val="center"/>
          </w:tcPr>
          <w:p w:rsidRPr="002B2E87" w:rsidR="00B13C27" w:rsidP="00B13C27" w:rsidRDefault="00B13C27" w14:paraId="5132746B" w14:textId="77777777">
            <w:pPr>
              <w:rPr>
                <w:rFonts w:eastAsia="Times New Roman" w:cs="Arial"/>
                <w:b/>
                <w:sz w:val="20"/>
                <w:szCs w:val="16"/>
              </w:rPr>
            </w:pPr>
            <w:r w:rsidRPr="002B2E87">
              <w:rPr>
                <w:rFonts w:eastAsia="Times New Roman" w:cs="Arial"/>
                <w:b/>
                <w:sz w:val="20"/>
                <w:szCs w:val="16"/>
              </w:rPr>
              <w:t>Change Title</w:t>
            </w:r>
          </w:p>
        </w:tc>
        <w:tc>
          <w:tcPr>
            <w:tcW w:w="2561" w:type="pct"/>
            <w:tcMar/>
          </w:tcPr>
          <w:p w:rsidRPr="002B2E87" w:rsidR="00B13C27" w:rsidP="00B13C27" w:rsidRDefault="00B13C27" w14:paraId="17A91EFD" w14:textId="3DA6FAB5">
            <w:pPr>
              <w:rPr>
                <w:rFonts w:eastAsia="Times New Roman" w:cs="Arial"/>
                <w:sz w:val="20"/>
                <w:szCs w:val="16"/>
              </w:rPr>
            </w:pPr>
            <w:r>
              <w:rPr>
                <w:rFonts w:eastAsia="Times New Roman" w:cs="Arial"/>
                <w:sz w:val="20"/>
                <w:szCs w:val="16"/>
              </w:rPr>
              <w:t xml:space="preserve">UK Link November 21 Major Release </w:t>
            </w:r>
          </w:p>
        </w:tc>
      </w:tr>
      <w:tr w:rsidRPr="002B2E87" w:rsidR="00B13C27" w:rsidTr="13E168D9" w14:paraId="185696D7" w14:textId="77777777">
        <w:tc>
          <w:tcPr>
            <w:tcW w:w="2439" w:type="pct"/>
            <w:shd w:val="clear" w:color="auto" w:fill="FFFFFF" w:themeFill="background1"/>
            <w:tcMar/>
            <w:vAlign w:val="center"/>
          </w:tcPr>
          <w:p w:rsidRPr="002B2E87" w:rsidR="00B13C27" w:rsidP="00B13C27" w:rsidRDefault="00B13C27" w14:paraId="54673459" w14:textId="77777777">
            <w:pPr>
              <w:rPr>
                <w:rFonts w:eastAsia="Times New Roman" w:cs="Arial"/>
                <w:b/>
                <w:sz w:val="20"/>
                <w:szCs w:val="16"/>
              </w:rPr>
            </w:pPr>
            <w:r w:rsidRPr="002B2E87">
              <w:rPr>
                <w:rFonts w:eastAsia="Times New Roman" w:cs="Arial"/>
                <w:b/>
                <w:sz w:val="20"/>
                <w:szCs w:val="16"/>
              </w:rPr>
              <w:t>Xoserve reference number (XRN)</w:t>
            </w:r>
          </w:p>
        </w:tc>
        <w:tc>
          <w:tcPr>
            <w:tcW w:w="2561" w:type="pct"/>
            <w:tcMar/>
          </w:tcPr>
          <w:p w:rsidRPr="002B2E87" w:rsidR="00B13C27" w:rsidP="00B13C27" w:rsidRDefault="00B13C27" w14:paraId="16500EDB" w14:textId="1C3CF88A">
            <w:pPr>
              <w:rPr>
                <w:rFonts w:eastAsia="Times New Roman" w:cs="Arial"/>
                <w:sz w:val="20"/>
                <w:szCs w:val="16"/>
              </w:rPr>
            </w:pPr>
            <w:r>
              <w:rPr>
                <w:rFonts w:eastAsia="Times New Roman" w:cs="Arial"/>
                <w:sz w:val="20"/>
                <w:szCs w:val="16"/>
              </w:rPr>
              <w:t>5289</w:t>
            </w:r>
          </w:p>
        </w:tc>
      </w:tr>
      <w:tr w:rsidRPr="002B2E87" w:rsidR="00B13C27" w:rsidTr="13E168D9" w14:paraId="74B6BF6B" w14:textId="77777777">
        <w:tc>
          <w:tcPr>
            <w:tcW w:w="2439" w:type="pct"/>
            <w:tcBorders>
              <w:bottom w:val="single" w:color="auto" w:sz="4" w:space="0"/>
            </w:tcBorders>
            <w:shd w:val="clear" w:color="auto" w:fill="FFFFFF" w:themeFill="background1"/>
            <w:tcMar/>
            <w:vAlign w:val="center"/>
          </w:tcPr>
          <w:p w:rsidRPr="002B2E87" w:rsidR="00B13C27" w:rsidP="6EEFDFBD" w:rsidRDefault="384532EE" w14:paraId="4CE5812F" w14:textId="74016740">
            <w:pPr>
              <w:rPr>
                <w:rFonts w:eastAsia="Times New Roman" w:cs="Arial"/>
                <w:b/>
                <w:bCs/>
                <w:sz w:val="20"/>
                <w:szCs w:val="20"/>
              </w:rPr>
            </w:pPr>
            <w:r w:rsidRPr="6EEFDFBD">
              <w:rPr>
                <w:rFonts w:eastAsia="Times New Roman" w:cs="Arial"/>
                <w:b/>
                <w:bCs/>
                <w:sz w:val="20"/>
                <w:szCs w:val="20"/>
              </w:rPr>
              <w:t>Correla</w:t>
            </w:r>
            <w:r w:rsidRPr="6EEFDFBD" w:rsidR="00B13C27">
              <w:rPr>
                <w:rFonts w:eastAsia="Times New Roman" w:cs="Arial"/>
                <w:b/>
                <w:bCs/>
                <w:sz w:val="20"/>
                <w:szCs w:val="20"/>
              </w:rPr>
              <w:t xml:space="preserve"> Project Manager</w:t>
            </w:r>
          </w:p>
        </w:tc>
        <w:tc>
          <w:tcPr>
            <w:tcW w:w="2561" w:type="pct"/>
            <w:tcBorders>
              <w:bottom w:val="single" w:color="auto" w:sz="4" w:space="0"/>
            </w:tcBorders>
            <w:tcMar/>
          </w:tcPr>
          <w:p w:rsidRPr="002B2E87" w:rsidR="00B13C27" w:rsidP="00B13C27" w:rsidRDefault="00B13C27" w14:paraId="1B99C211" w14:textId="24A6648F">
            <w:pPr>
              <w:rPr>
                <w:rFonts w:eastAsia="Times New Roman" w:cs="Arial"/>
                <w:sz w:val="20"/>
                <w:szCs w:val="16"/>
              </w:rPr>
            </w:pPr>
            <w:r>
              <w:rPr>
                <w:rFonts w:eastAsia="Times New Roman" w:cs="Arial"/>
                <w:sz w:val="20"/>
                <w:szCs w:val="16"/>
              </w:rPr>
              <w:t>Tara Ross</w:t>
            </w:r>
          </w:p>
        </w:tc>
      </w:tr>
      <w:tr w:rsidRPr="002B2E87" w:rsidR="00B13C27" w:rsidTr="13E168D9" w14:paraId="35655359" w14:textId="77777777">
        <w:tc>
          <w:tcPr>
            <w:tcW w:w="2439" w:type="pct"/>
            <w:tcBorders>
              <w:bottom w:val="single" w:color="auto" w:sz="4" w:space="0"/>
            </w:tcBorders>
            <w:shd w:val="clear" w:color="auto" w:fill="FFFFFF" w:themeFill="background1"/>
            <w:tcMar/>
            <w:vAlign w:val="center"/>
          </w:tcPr>
          <w:p w:rsidRPr="002B2E87" w:rsidR="00B13C27" w:rsidP="00B13C27" w:rsidRDefault="00B13C27" w14:paraId="21DA6362" w14:textId="77777777">
            <w:pPr>
              <w:rPr>
                <w:rFonts w:eastAsia="Times New Roman" w:cs="Arial"/>
                <w:b/>
                <w:sz w:val="20"/>
                <w:szCs w:val="16"/>
              </w:rPr>
            </w:pPr>
            <w:r w:rsidRPr="002B2E87">
              <w:rPr>
                <w:rFonts w:eastAsia="Times New Roman" w:cs="Arial"/>
                <w:b/>
                <w:sz w:val="20"/>
                <w:szCs w:val="16"/>
              </w:rPr>
              <w:t>Email address</w:t>
            </w:r>
          </w:p>
        </w:tc>
        <w:tc>
          <w:tcPr>
            <w:tcW w:w="2561" w:type="pct"/>
            <w:tcBorders>
              <w:bottom w:val="single" w:color="auto" w:sz="4" w:space="0"/>
            </w:tcBorders>
            <w:tcMar/>
          </w:tcPr>
          <w:p w:rsidRPr="002B2E87" w:rsidR="00B13C27" w:rsidP="00B13C27" w:rsidRDefault="00B13C27" w14:paraId="522375A6" w14:textId="4268C231">
            <w:pPr>
              <w:rPr>
                <w:rFonts w:eastAsia="Times New Roman" w:cs="Arial"/>
                <w:sz w:val="20"/>
                <w:szCs w:val="16"/>
              </w:rPr>
            </w:pPr>
            <w:r>
              <w:rPr>
                <w:rFonts w:eastAsia="Times New Roman" w:cs="Arial"/>
                <w:sz w:val="20"/>
                <w:szCs w:val="16"/>
              </w:rPr>
              <w:t>tara.ross@correla.com</w:t>
            </w:r>
          </w:p>
        </w:tc>
      </w:tr>
      <w:tr w:rsidRPr="002B2E87" w:rsidR="00B13C27" w:rsidTr="13E168D9" w14:paraId="1C247CD2" w14:textId="77777777">
        <w:tc>
          <w:tcPr>
            <w:tcW w:w="2439" w:type="pct"/>
            <w:tcBorders>
              <w:bottom w:val="single" w:color="auto" w:sz="4" w:space="0"/>
            </w:tcBorders>
            <w:shd w:val="clear" w:color="auto" w:fill="FFFFFF" w:themeFill="background1"/>
            <w:tcMar/>
            <w:vAlign w:val="center"/>
          </w:tcPr>
          <w:p w:rsidRPr="002B2E87" w:rsidR="00B13C27" w:rsidP="00B13C27" w:rsidRDefault="00B13C27" w14:paraId="0B3B4258" w14:textId="77777777">
            <w:pPr>
              <w:rPr>
                <w:rFonts w:eastAsia="Times New Roman" w:cs="Arial"/>
                <w:b/>
                <w:sz w:val="20"/>
                <w:szCs w:val="16"/>
              </w:rPr>
            </w:pPr>
            <w:r w:rsidRPr="002B2E87">
              <w:rPr>
                <w:rFonts w:eastAsia="Times New Roman" w:cs="Arial"/>
                <w:b/>
                <w:sz w:val="20"/>
                <w:szCs w:val="16"/>
              </w:rPr>
              <w:t>Contact number</w:t>
            </w:r>
          </w:p>
        </w:tc>
        <w:tc>
          <w:tcPr>
            <w:tcW w:w="2561" w:type="pct"/>
            <w:tcBorders>
              <w:bottom w:val="single" w:color="auto" w:sz="4" w:space="0"/>
            </w:tcBorders>
            <w:tcMar/>
          </w:tcPr>
          <w:p w:rsidRPr="00C967C0" w:rsidR="00B13C27" w:rsidP="00B13C27" w:rsidRDefault="00B13C27" w14:paraId="7B6CE89B" w14:textId="29E26843">
            <w:pPr>
              <w:rPr>
                <w:rFonts w:eastAsia="Times New Roman" w:cs="Arial"/>
                <w:sz w:val="20"/>
                <w:szCs w:val="20"/>
              </w:rPr>
            </w:pPr>
            <w:r w:rsidRPr="00C967C0">
              <w:rPr>
                <w:rFonts w:eastAsia="Times New Roman" w:cs="Arial"/>
                <w:sz w:val="20"/>
                <w:szCs w:val="20"/>
              </w:rPr>
              <w:t>0121 229 2075</w:t>
            </w:r>
          </w:p>
        </w:tc>
      </w:tr>
      <w:tr w:rsidRPr="002B2E87" w:rsidR="00B13C27" w:rsidTr="13E168D9" w14:paraId="1271BAA4" w14:textId="77777777">
        <w:tc>
          <w:tcPr>
            <w:tcW w:w="2439" w:type="pct"/>
            <w:tcBorders>
              <w:bottom w:val="single" w:color="auto" w:sz="4" w:space="0"/>
            </w:tcBorders>
            <w:shd w:val="clear" w:color="auto" w:fill="FFFFFF" w:themeFill="background1"/>
            <w:tcMar/>
            <w:vAlign w:val="center"/>
          </w:tcPr>
          <w:p w:rsidRPr="002B2E87" w:rsidR="00B13C27" w:rsidP="00B13C27" w:rsidRDefault="00B13C27" w14:paraId="3ED5372A" w14:textId="77777777">
            <w:pPr>
              <w:rPr>
                <w:rFonts w:eastAsia="Times New Roman" w:cs="Arial"/>
                <w:b/>
                <w:sz w:val="20"/>
                <w:szCs w:val="16"/>
              </w:rPr>
            </w:pPr>
            <w:r w:rsidRPr="002B2E87">
              <w:rPr>
                <w:rFonts w:eastAsia="Times New Roman" w:cs="Arial"/>
                <w:b/>
                <w:sz w:val="20"/>
                <w:szCs w:val="16"/>
              </w:rPr>
              <w:t>Target Change Management Committee date</w:t>
            </w:r>
          </w:p>
        </w:tc>
        <w:tc>
          <w:tcPr>
            <w:tcW w:w="2561" w:type="pct"/>
            <w:tcBorders>
              <w:bottom w:val="single" w:color="auto" w:sz="4" w:space="0"/>
            </w:tcBorders>
            <w:tcMar/>
          </w:tcPr>
          <w:p w:rsidRPr="00C967C0" w:rsidR="00B13C27" w:rsidP="00B13C27" w:rsidRDefault="00F65E08" w14:paraId="14B22CEA" w14:textId="0B1FFF18">
            <w:pPr>
              <w:rPr>
                <w:rFonts w:eastAsia="Times New Roman" w:cs="Arial"/>
                <w:sz w:val="20"/>
                <w:szCs w:val="20"/>
                <w:lang w:val="en-US"/>
              </w:rPr>
            </w:pPr>
            <w:r>
              <w:rPr>
                <w:rFonts w:eastAsia="Times New Roman" w:cs="Arial"/>
                <w:sz w:val="20"/>
                <w:szCs w:val="20"/>
                <w:lang w:val="en-US"/>
              </w:rPr>
              <w:t>9</w:t>
            </w:r>
            <w:r w:rsidRPr="00F65E08">
              <w:rPr>
                <w:rFonts w:eastAsia="Times New Roman" w:cs="Arial"/>
                <w:sz w:val="20"/>
                <w:szCs w:val="20"/>
                <w:vertAlign w:val="superscript"/>
                <w:lang w:val="en-US"/>
              </w:rPr>
              <w:t>th</w:t>
            </w:r>
            <w:r>
              <w:rPr>
                <w:rFonts w:eastAsia="Times New Roman" w:cs="Arial"/>
                <w:sz w:val="20"/>
                <w:szCs w:val="20"/>
                <w:lang w:val="en-US"/>
              </w:rPr>
              <w:t xml:space="preserve"> February 2022</w:t>
            </w:r>
          </w:p>
        </w:tc>
      </w:tr>
      <w:tr w:rsidRPr="002B2E87" w:rsidR="002B2E87" w:rsidTr="13E168D9" w14:paraId="3B4FF6C3" w14:textId="77777777">
        <w:tc>
          <w:tcPr>
            <w:tcW w:w="5000" w:type="pct"/>
            <w:gridSpan w:val="2"/>
            <w:tcBorders>
              <w:bottom w:val="single" w:color="auto" w:sz="4" w:space="0"/>
            </w:tcBorders>
            <w:shd w:val="clear" w:color="auto" w:fill="3E5AA8" w:themeFill="accent1"/>
            <w:tcMar/>
            <w:vAlign w:val="center"/>
          </w:tcPr>
          <w:p w:rsidRPr="002B2E87" w:rsidR="002B2E87" w:rsidP="002B2E87" w:rsidRDefault="002B2E87" w14:paraId="3011F0CF" w14:textId="77777777">
            <w:pPr>
              <w:jc w:val="center"/>
              <w:rPr>
                <w:rFonts w:eastAsia="Times New Roman" w:cs="Arial"/>
                <w:b/>
              </w:rPr>
            </w:pPr>
            <w:r w:rsidRPr="002B2E87">
              <w:rPr>
                <w:rFonts w:eastAsia="Times New Roman" w:cs="Arial"/>
                <w:b/>
                <w:color w:val="FFFFFF"/>
                <w:sz w:val="20"/>
              </w:rPr>
              <w:t>Section 1: In Scope</w:t>
            </w:r>
          </w:p>
        </w:tc>
      </w:tr>
      <w:tr w:rsidRPr="002B2E87" w:rsidR="002B2E87" w:rsidTr="13E168D9" w14:paraId="5C22B926" w14:textId="77777777">
        <w:tc>
          <w:tcPr>
            <w:tcW w:w="5000" w:type="pct"/>
            <w:gridSpan w:val="2"/>
            <w:tcBorders>
              <w:bottom w:val="single" w:color="auto" w:sz="4" w:space="0"/>
            </w:tcBorders>
            <w:shd w:val="clear" w:color="auto" w:fill="FFFFFF" w:themeFill="background1"/>
            <w:tcMar/>
          </w:tcPr>
          <w:p w:rsidRPr="002B5742" w:rsidR="0028280D" w:rsidP="00A107AC" w:rsidRDefault="0028280D" w14:paraId="6A12E4BA" w14:textId="77777777">
            <w:pPr>
              <w:spacing w:after="60" w:line="276" w:lineRule="auto"/>
              <w:rPr>
                <w:rFonts w:cs="Arial"/>
                <w:sz w:val="18"/>
                <w:szCs w:val="18"/>
              </w:rPr>
            </w:pPr>
          </w:p>
          <w:p w:rsidRPr="003910C0" w:rsidR="00174786" w:rsidP="00174786" w:rsidRDefault="00174786" w14:paraId="7DA65EA8" w14:textId="7DA9FE73">
            <w:pPr>
              <w:rPr>
                <w:rFonts w:eastAsia="Times New Roman" w:asciiTheme="minorHAnsi" w:hAnsiTheme="minorHAnsi" w:cstheme="minorHAnsi"/>
                <w:sz w:val="20"/>
                <w:szCs w:val="20"/>
              </w:rPr>
            </w:pPr>
            <w:r w:rsidRPr="0006609B">
              <w:rPr>
                <w:rFonts w:eastAsia="Times New Roman" w:asciiTheme="minorHAnsi" w:hAnsiTheme="minorHAnsi" w:cstheme="minorHAnsi"/>
                <w:color w:val="000000"/>
                <w:sz w:val="20"/>
                <w:szCs w:val="20"/>
              </w:rPr>
              <w:t>This BER requests approval for funding the full delivery of this UK Link Release, which consists of 6 XRNs, and is proposed to be implemented in November 2021.</w:t>
            </w:r>
            <w:r>
              <w:rPr>
                <w:rFonts w:eastAsia="Times New Roman" w:asciiTheme="minorHAnsi" w:hAnsiTheme="minorHAnsi" w:cstheme="minorHAnsi"/>
                <w:color w:val="000000"/>
                <w:sz w:val="20"/>
                <w:szCs w:val="20"/>
              </w:rPr>
              <w:t xml:space="preserve"> The</w:t>
            </w:r>
            <w:r w:rsidRPr="0006609B">
              <w:rPr>
                <w:rFonts w:eastAsia="Times New Roman" w:asciiTheme="minorHAnsi" w:hAnsiTheme="minorHAnsi" w:cstheme="minorHAnsi"/>
                <w:color w:val="000000"/>
                <w:sz w:val="20"/>
                <w:szCs w:val="20"/>
              </w:rPr>
              <w:t xml:space="preserve"> delivery cost</w:t>
            </w:r>
            <w:r>
              <w:rPr>
                <w:rFonts w:eastAsia="Times New Roman" w:asciiTheme="minorHAnsi" w:hAnsiTheme="minorHAnsi" w:cstheme="minorHAnsi"/>
                <w:color w:val="000000"/>
                <w:sz w:val="20"/>
                <w:szCs w:val="20"/>
              </w:rPr>
              <w:t xml:space="preserve"> of </w:t>
            </w:r>
            <w:r w:rsidRPr="00CF074C">
              <w:rPr>
                <w:rFonts w:eastAsia="Times New Roman" w:asciiTheme="minorHAnsi" w:hAnsiTheme="minorHAnsi" w:cstheme="minorHAnsi"/>
                <w:sz w:val="20"/>
                <w:szCs w:val="20"/>
              </w:rPr>
              <w:t>£1,</w:t>
            </w:r>
            <w:r w:rsidR="003910C0">
              <w:rPr>
                <w:rFonts w:eastAsia="Times New Roman" w:asciiTheme="minorHAnsi" w:hAnsiTheme="minorHAnsi" w:cstheme="minorHAnsi"/>
                <w:sz w:val="20"/>
                <w:szCs w:val="20"/>
              </w:rPr>
              <w:t>30</w:t>
            </w:r>
            <w:r w:rsidR="000C2924">
              <w:rPr>
                <w:rFonts w:eastAsia="Times New Roman" w:asciiTheme="minorHAnsi" w:hAnsiTheme="minorHAnsi" w:cstheme="minorHAnsi"/>
                <w:sz w:val="20"/>
                <w:szCs w:val="20"/>
              </w:rPr>
              <w:t>5</w:t>
            </w:r>
            <w:r w:rsidRPr="00CF074C" w:rsidR="00CF074C">
              <w:rPr>
                <w:rFonts w:eastAsia="Times New Roman" w:asciiTheme="minorHAnsi" w:hAnsiTheme="minorHAnsi" w:cstheme="minorHAnsi"/>
                <w:sz w:val="20"/>
                <w:szCs w:val="20"/>
              </w:rPr>
              <w:t>,</w:t>
            </w:r>
            <w:r w:rsidR="000C2924">
              <w:rPr>
                <w:rFonts w:eastAsia="Times New Roman" w:asciiTheme="minorHAnsi" w:hAnsiTheme="minorHAnsi" w:cstheme="minorHAnsi"/>
                <w:sz w:val="20"/>
                <w:szCs w:val="20"/>
              </w:rPr>
              <w:t>931</w:t>
            </w:r>
            <w:r w:rsidRPr="00CF074C">
              <w:rPr>
                <w:rFonts w:eastAsia="Times New Roman" w:asciiTheme="minorHAnsi" w:hAnsiTheme="minorHAnsi" w:cstheme="minorHAnsi"/>
                <w:sz w:val="20"/>
                <w:szCs w:val="20"/>
              </w:rPr>
              <w:t xml:space="preserve"> includes</w:t>
            </w:r>
            <w:r w:rsidR="00D828FD">
              <w:rPr>
                <w:rFonts w:eastAsia="Times New Roman" w:asciiTheme="minorHAnsi" w:hAnsiTheme="minorHAnsi" w:cstheme="minorHAnsi"/>
                <w:sz w:val="20"/>
                <w:szCs w:val="20"/>
              </w:rPr>
              <w:t xml:space="preserve"> the EQR and</w:t>
            </w:r>
            <w:r w:rsidRPr="00CF074C">
              <w:rPr>
                <w:rFonts w:eastAsia="Times New Roman" w:asciiTheme="minorHAnsi" w:hAnsiTheme="minorHAnsi" w:cstheme="minorHAnsi"/>
                <w:sz w:val="20"/>
                <w:szCs w:val="20"/>
              </w:rPr>
              <w:t xml:space="preserve"> a risk margin (specific per-change risks as listed below)</w:t>
            </w:r>
            <w:r w:rsidR="00D828FD">
              <w:rPr>
                <w:rFonts w:eastAsia="Times New Roman" w:asciiTheme="minorHAnsi" w:hAnsiTheme="minorHAnsi" w:cstheme="minorHAnsi"/>
                <w:sz w:val="20"/>
                <w:szCs w:val="20"/>
              </w:rPr>
              <w:t>.</w:t>
            </w:r>
          </w:p>
          <w:p w:rsidR="0028280D" w:rsidP="0007561C" w:rsidRDefault="0028280D" w14:paraId="683B4EF4" w14:textId="42CF26AB">
            <w:pPr>
              <w:spacing w:after="60" w:line="276" w:lineRule="auto"/>
              <w:rPr>
                <w:rFonts w:cs="Arial"/>
                <w:sz w:val="18"/>
                <w:szCs w:val="18"/>
              </w:rPr>
            </w:pPr>
          </w:p>
          <w:tbl>
            <w:tblPr>
              <w:tblW w:w="9696" w:type="dxa"/>
              <w:tblLayout w:type="fixed"/>
              <w:tblLook w:val="04A0" w:firstRow="1" w:lastRow="0" w:firstColumn="1" w:lastColumn="0" w:noHBand="0" w:noVBand="1"/>
            </w:tblPr>
            <w:tblGrid>
              <w:gridCol w:w="766"/>
              <w:gridCol w:w="1134"/>
              <w:gridCol w:w="1134"/>
              <w:gridCol w:w="3260"/>
              <w:gridCol w:w="2410"/>
              <w:gridCol w:w="992"/>
            </w:tblGrid>
            <w:tr w:rsidRPr="00C25F07" w:rsidR="00A83436" w:rsidTr="5C4D837B" w14:paraId="6E5EC3E0" w14:textId="77777777">
              <w:trPr>
                <w:trHeight w:val="290"/>
              </w:trPr>
              <w:tc>
                <w:tcPr>
                  <w:tcW w:w="766" w:type="dxa"/>
                  <w:tcBorders>
                    <w:top w:val="single" w:color="auto" w:sz="4" w:space="0"/>
                    <w:left w:val="single" w:color="auto" w:sz="4" w:space="0"/>
                    <w:bottom w:val="single" w:color="auto" w:sz="4" w:space="0"/>
                    <w:right w:val="single" w:color="auto" w:sz="4" w:space="0"/>
                  </w:tcBorders>
                  <w:shd w:val="clear" w:color="auto" w:fill="4472C4"/>
                  <w:noWrap/>
                  <w:hideMark/>
                </w:tcPr>
                <w:p w:rsidRPr="00C25F07" w:rsidR="00A83436" w:rsidP="00745D01" w:rsidRDefault="00A83436" w14:paraId="1F548CC9" w14:textId="77777777">
                  <w:pPr>
                    <w:spacing w:after="0" w:line="240" w:lineRule="auto"/>
                    <w:jc w:val="center"/>
                    <w:rPr>
                      <w:rFonts w:eastAsia="Times New Roman" w:cs="Arial"/>
                      <w:b/>
                      <w:color w:val="FFFFFF"/>
                      <w:sz w:val="20"/>
                    </w:rPr>
                  </w:pPr>
                  <w:r w:rsidRPr="00C25F07">
                    <w:rPr>
                      <w:rFonts w:eastAsia="Times New Roman" w:cs="Arial"/>
                      <w:b/>
                      <w:color w:val="FFFFFF"/>
                      <w:sz w:val="20"/>
                    </w:rPr>
                    <w:t>XRN</w:t>
                  </w:r>
                </w:p>
              </w:tc>
              <w:tc>
                <w:tcPr>
                  <w:tcW w:w="1134" w:type="dxa"/>
                  <w:tcBorders>
                    <w:top w:val="single" w:color="auto" w:sz="4" w:space="0"/>
                    <w:left w:val="single" w:color="auto" w:sz="4" w:space="0"/>
                    <w:bottom w:val="single" w:color="auto" w:sz="4" w:space="0"/>
                    <w:right w:val="single" w:color="auto" w:sz="4" w:space="0"/>
                  </w:tcBorders>
                  <w:shd w:val="clear" w:color="auto" w:fill="4472C4"/>
                  <w:noWrap/>
                  <w:hideMark/>
                </w:tcPr>
                <w:p w:rsidRPr="00C25F07" w:rsidR="00A83436" w:rsidP="00745D01" w:rsidRDefault="00A83436" w14:paraId="09A9C248" w14:textId="77777777">
                  <w:pPr>
                    <w:spacing w:after="0" w:line="240" w:lineRule="auto"/>
                    <w:jc w:val="center"/>
                    <w:rPr>
                      <w:rFonts w:ascii="Calibri" w:hAnsi="Calibri" w:eastAsia="Times New Roman" w:cs="Calibri"/>
                      <w:b/>
                      <w:bCs/>
                      <w:color w:val="FFFFFF"/>
                    </w:rPr>
                  </w:pPr>
                  <w:r w:rsidRPr="00C25F07">
                    <w:rPr>
                      <w:rFonts w:ascii="Calibri" w:hAnsi="Calibri" w:eastAsia="Times New Roman" w:cs="Calibri"/>
                      <w:b/>
                      <w:bCs/>
                      <w:color w:val="FFFFFF"/>
                    </w:rPr>
                    <w:t>Title</w:t>
                  </w:r>
                </w:p>
              </w:tc>
              <w:tc>
                <w:tcPr>
                  <w:tcW w:w="1134" w:type="dxa"/>
                  <w:tcBorders>
                    <w:top w:val="single" w:color="auto" w:sz="4" w:space="0"/>
                    <w:left w:val="single" w:color="auto" w:sz="4" w:space="0"/>
                    <w:bottom w:val="single" w:color="auto" w:sz="4" w:space="0"/>
                    <w:right w:val="single" w:color="auto" w:sz="4" w:space="0"/>
                  </w:tcBorders>
                  <w:shd w:val="clear" w:color="auto" w:fill="4472C4"/>
                  <w:noWrap/>
                  <w:hideMark/>
                </w:tcPr>
                <w:p w:rsidRPr="00C25F07" w:rsidR="00A83436" w:rsidP="00745D01" w:rsidRDefault="00A83436" w14:paraId="508EEDAA" w14:textId="77777777">
                  <w:pPr>
                    <w:spacing w:after="0" w:line="240" w:lineRule="auto"/>
                    <w:jc w:val="center"/>
                    <w:rPr>
                      <w:rFonts w:ascii="Calibri" w:hAnsi="Calibri" w:eastAsia="Times New Roman" w:cs="Calibri"/>
                      <w:b/>
                      <w:bCs/>
                      <w:color w:val="FFFFFF"/>
                    </w:rPr>
                  </w:pPr>
                  <w:r w:rsidRPr="00C25F07">
                    <w:rPr>
                      <w:rFonts w:ascii="Calibri" w:hAnsi="Calibri" w:eastAsia="Times New Roman" w:cs="Calibri"/>
                      <w:b/>
                      <w:bCs/>
                      <w:color w:val="FFFFFF"/>
                    </w:rPr>
                    <w:t>Type</w:t>
                  </w:r>
                </w:p>
              </w:tc>
              <w:tc>
                <w:tcPr>
                  <w:tcW w:w="3260" w:type="dxa"/>
                  <w:tcBorders>
                    <w:top w:val="single" w:color="auto" w:sz="4" w:space="0"/>
                    <w:left w:val="single" w:color="auto" w:sz="4" w:space="0"/>
                    <w:bottom w:val="single" w:color="auto" w:sz="4" w:space="0"/>
                    <w:right w:val="single" w:color="auto" w:sz="4" w:space="0"/>
                  </w:tcBorders>
                  <w:shd w:val="clear" w:color="auto" w:fill="4472C4"/>
                  <w:noWrap/>
                  <w:hideMark/>
                </w:tcPr>
                <w:p w:rsidRPr="00C25F07" w:rsidR="00A83436" w:rsidP="00745D01" w:rsidRDefault="00A83436" w14:paraId="164084BA" w14:textId="77777777">
                  <w:pPr>
                    <w:spacing w:after="0" w:line="240" w:lineRule="auto"/>
                    <w:jc w:val="center"/>
                    <w:rPr>
                      <w:rFonts w:ascii="Calibri" w:hAnsi="Calibri" w:eastAsia="Times New Roman" w:cs="Calibri"/>
                      <w:b/>
                      <w:bCs/>
                      <w:color w:val="FFFFFF"/>
                    </w:rPr>
                  </w:pPr>
                  <w:r w:rsidRPr="00C25F07">
                    <w:rPr>
                      <w:rFonts w:ascii="Calibri" w:hAnsi="Calibri" w:eastAsia="Times New Roman" w:cs="Calibri"/>
                      <w:b/>
                      <w:bCs/>
                      <w:color w:val="FFFFFF"/>
                    </w:rPr>
                    <w:t>Description</w:t>
                  </w:r>
                </w:p>
              </w:tc>
              <w:tc>
                <w:tcPr>
                  <w:tcW w:w="2410" w:type="dxa"/>
                  <w:tcBorders>
                    <w:top w:val="single" w:color="auto" w:sz="4" w:space="0"/>
                    <w:left w:val="single" w:color="auto" w:sz="4" w:space="0"/>
                    <w:bottom w:val="single" w:color="auto" w:sz="4" w:space="0"/>
                    <w:right w:val="single" w:color="auto" w:sz="4" w:space="0"/>
                  </w:tcBorders>
                  <w:shd w:val="clear" w:color="auto" w:fill="4472C4"/>
                  <w:noWrap/>
                  <w:hideMark/>
                </w:tcPr>
                <w:p w:rsidRPr="00C25F07" w:rsidR="00A83436" w:rsidP="00745D01" w:rsidRDefault="00A83436" w14:paraId="4430919C" w14:textId="77777777">
                  <w:pPr>
                    <w:spacing w:after="0" w:line="240" w:lineRule="auto"/>
                    <w:jc w:val="center"/>
                    <w:rPr>
                      <w:rFonts w:ascii="Calibri" w:hAnsi="Calibri" w:eastAsia="Times New Roman" w:cs="Calibri"/>
                      <w:b/>
                      <w:bCs/>
                      <w:color w:val="FFFFFF"/>
                    </w:rPr>
                  </w:pPr>
                  <w:r w:rsidRPr="00C25F07">
                    <w:rPr>
                      <w:rFonts w:ascii="Calibri" w:hAnsi="Calibri" w:eastAsia="Times New Roman" w:cs="Calibri"/>
                      <w:b/>
                      <w:bCs/>
                      <w:color w:val="FFFFFF"/>
                    </w:rPr>
                    <w:t>Link to Change Proposal</w:t>
                  </w:r>
                </w:p>
              </w:tc>
              <w:tc>
                <w:tcPr>
                  <w:tcW w:w="992" w:type="dxa"/>
                  <w:tcBorders>
                    <w:top w:val="single" w:color="auto" w:sz="4" w:space="0"/>
                    <w:left w:val="single" w:color="auto" w:sz="4" w:space="0"/>
                    <w:bottom w:val="single" w:color="auto" w:sz="4" w:space="0"/>
                    <w:right w:val="single" w:color="auto" w:sz="4" w:space="0"/>
                  </w:tcBorders>
                  <w:shd w:val="clear" w:color="auto" w:fill="4472C4"/>
                </w:tcPr>
                <w:p w:rsidRPr="00C25F07" w:rsidR="00A83436" w:rsidP="00745D01" w:rsidRDefault="00A83436" w14:paraId="0B8198A4" w14:textId="2DE22D79">
                  <w:pPr>
                    <w:spacing w:after="0" w:line="240" w:lineRule="auto"/>
                    <w:jc w:val="center"/>
                    <w:rPr>
                      <w:rFonts w:ascii="Calibri" w:hAnsi="Calibri" w:eastAsia="Times New Roman" w:cs="Calibri"/>
                      <w:b/>
                      <w:bCs/>
                      <w:color w:val="FFFFFF"/>
                    </w:rPr>
                  </w:pPr>
                  <w:r w:rsidRPr="00C25F07">
                    <w:rPr>
                      <w:rFonts w:ascii="Calibri" w:hAnsi="Calibri" w:eastAsia="Times New Roman" w:cs="Calibri"/>
                      <w:b/>
                      <w:bCs/>
                      <w:color w:val="FFFFFF"/>
                    </w:rPr>
                    <w:t>Impacts</w:t>
                  </w:r>
                </w:p>
              </w:tc>
            </w:tr>
            <w:tr w:rsidRPr="00C25F07" w:rsidR="00A83436" w:rsidTr="5C4D837B" w14:paraId="49C8B27B" w14:textId="77777777">
              <w:trPr>
                <w:trHeight w:val="2000"/>
              </w:trPr>
              <w:tc>
                <w:tcPr>
                  <w:tcW w:w="766" w:type="dxa"/>
                  <w:tcBorders>
                    <w:top w:val="single" w:color="auto" w:sz="4" w:space="0"/>
                    <w:left w:val="single" w:color="auto" w:sz="4" w:space="0"/>
                    <w:bottom w:val="single" w:color="auto" w:sz="4" w:space="0"/>
                    <w:right w:val="single" w:color="auto" w:sz="4" w:space="0"/>
                  </w:tcBorders>
                  <w:shd w:val="clear" w:color="auto" w:fill="D9E1F2"/>
                  <w:hideMark/>
                </w:tcPr>
                <w:p w:rsidRPr="00C25F07" w:rsidR="00A83436" w:rsidP="00745D01" w:rsidRDefault="00A83436" w14:paraId="448D6B6D" w14:textId="3A035E92">
                  <w:pPr>
                    <w:spacing w:after="0" w:line="240" w:lineRule="auto"/>
                    <w:jc w:val="center"/>
                    <w:rPr>
                      <w:rFonts w:ascii="Calibri" w:hAnsi="Calibri" w:eastAsia="Times New Roman" w:cs="Calibri"/>
                      <w:color w:val="000000"/>
                    </w:rPr>
                  </w:pPr>
                  <w:r w:rsidRPr="007D1766">
                    <w:rPr>
                      <w:rFonts w:eastAsia="Times New Roman" w:asciiTheme="minorHAnsi" w:hAnsiTheme="minorHAnsi" w:cstheme="minorHAnsi"/>
                      <w:color w:val="000000"/>
                      <w:sz w:val="18"/>
                      <w:szCs w:val="18"/>
                    </w:rPr>
                    <w:t>4941</w:t>
                  </w:r>
                </w:p>
              </w:tc>
              <w:tc>
                <w:tcPr>
                  <w:tcW w:w="1134" w:type="dxa"/>
                  <w:tcBorders>
                    <w:top w:val="single" w:color="auto" w:sz="4" w:space="0"/>
                    <w:left w:val="single" w:color="auto" w:sz="4" w:space="0"/>
                    <w:bottom w:val="single" w:color="auto" w:sz="4" w:space="0"/>
                    <w:right w:val="single" w:color="auto" w:sz="4" w:space="0"/>
                  </w:tcBorders>
                  <w:shd w:val="clear" w:color="auto" w:fill="D9E1F2"/>
                  <w:hideMark/>
                </w:tcPr>
                <w:p w:rsidRPr="00C25F07" w:rsidR="00A83436" w:rsidP="00745D01" w:rsidRDefault="00A83436" w14:paraId="005F029A" w14:textId="46F7A5FE">
                  <w:pPr>
                    <w:spacing w:after="0" w:line="240" w:lineRule="auto"/>
                    <w:rPr>
                      <w:rFonts w:ascii="Calibri" w:hAnsi="Calibri" w:eastAsia="Times New Roman" w:cs="Calibri"/>
                      <w:color w:val="000000"/>
                    </w:rPr>
                  </w:pPr>
                  <w:r w:rsidRPr="007D1766">
                    <w:rPr>
                      <w:rFonts w:eastAsia="Times New Roman" w:asciiTheme="minorHAnsi" w:hAnsiTheme="minorHAnsi" w:cstheme="minorHAnsi"/>
                      <w:color w:val="000000"/>
                      <w:sz w:val="18"/>
                      <w:szCs w:val="18"/>
                    </w:rPr>
                    <w:t>MOD0692 – Auto updates to meter read frequency</w:t>
                  </w:r>
                </w:p>
              </w:tc>
              <w:tc>
                <w:tcPr>
                  <w:tcW w:w="1134" w:type="dxa"/>
                  <w:tcBorders>
                    <w:top w:val="single" w:color="auto" w:sz="4" w:space="0"/>
                    <w:left w:val="single" w:color="auto" w:sz="4" w:space="0"/>
                    <w:bottom w:val="single" w:color="auto" w:sz="4" w:space="0"/>
                    <w:right w:val="single" w:color="auto" w:sz="4" w:space="0"/>
                  </w:tcBorders>
                  <w:shd w:val="clear" w:color="auto" w:fill="D9E1F2"/>
                  <w:hideMark/>
                </w:tcPr>
                <w:p w:rsidRPr="00C25F07" w:rsidR="00A83436" w:rsidP="00745D01" w:rsidRDefault="00A83436" w14:paraId="57F384CB" w14:textId="31FE2B2F">
                  <w:pPr>
                    <w:spacing w:after="0" w:line="240" w:lineRule="auto"/>
                    <w:rPr>
                      <w:rFonts w:ascii="Calibri" w:hAnsi="Calibri" w:eastAsia="Times New Roman" w:cs="Calibri"/>
                      <w:color w:val="000000"/>
                    </w:rPr>
                  </w:pPr>
                  <w:r w:rsidRPr="00CE765F">
                    <w:rPr>
                      <w:rFonts w:eastAsia="Times New Roman" w:asciiTheme="minorHAnsi" w:hAnsiTheme="minorHAnsi" w:cstheme="minorHAnsi"/>
                      <w:sz w:val="18"/>
                      <w:szCs w:val="18"/>
                    </w:rPr>
                    <w:t>Regulatory</w:t>
                  </w:r>
                </w:p>
              </w:tc>
              <w:tc>
                <w:tcPr>
                  <w:tcW w:w="3260" w:type="dxa"/>
                  <w:tcBorders>
                    <w:top w:val="single" w:color="auto" w:sz="4" w:space="0"/>
                    <w:left w:val="single" w:color="auto" w:sz="4" w:space="0"/>
                    <w:bottom w:val="single" w:color="auto" w:sz="4" w:space="0"/>
                    <w:right w:val="single" w:color="auto" w:sz="4" w:space="0"/>
                  </w:tcBorders>
                  <w:shd w:val="clear" w:color="auto" w:fill="D9E1F2"/>
                  <w:hideMark/>
                </w:tcPr>
                <w:p w:rsidRPr="000B1B5B" w:rsidR="00A83436" w:rsidP="00745D01" w:rsidRDefault="00A83436" w14:paraId="52247E34" w14:textId="77777777">
                  <w:pPr>
                    <w:spacing w:after="0" w:line="240" w:lineRule="auto"/>
                    <w:rPr>
                      <w:rFonts w:eastAsia="Times New Roman" w:asciiTheme="minorHAnsi" w:hAnsiTheme="minorHAnsi" w:cstheme="minorHAnsi"/>
                      <w:sz w:val="18"/>
                      <w:szCs w:val="18"/>
                    </w:rPr>
                  </w:pPr>
                  <w:r w:rsidRPr="000B1B5B">
                    <w:rPr>
                      <w:rFonts w:eastAsia="Times New Roman" w:asciiTheme="minorHAnsi" w:hAnsiTheme="minorHAnsi" w:cstheme="minorHAnsi"/>
                      <w:sz w:val="18"/>
                      <w:szCs w:val="18"/>
                      <w:lang w:val="en-US"/>
                    </w:rPr>
                    <w:t xml:space="preserve">MOD - 0692 - Instructs the CDSP to change the meter read frequency of sites with </w:t>
                  </w:r>
                  <w:proofErr w:type="spellStart"/>
                  <w:proofErr w:type="gramStart"/>
                  <w:r w:rsidRPr="000B1B5B">
                    <w:rPr>
                      <w:rFonts w:eastAsia="Times New Roman" w:asciiTheme="minorHAnsi" w:hAnsiTheme="minorHAnsi" w:cstheme="minorHAnsi"/>
                      <w:sz w:val="18"/>
                      <w:szCs w:val="18"/>
                      <w:lang w:val="en-US"/>
                    </w:rPr>
                    <w:t>non monthly</w:t>
                  </w:r>
                  <w:proofErr w:type="spellEnd"/>
                  <w:proofErr w:type="gramEnd"/>
                  <w:r w:rsidRPr="000B1B5B">
                    <w:rPr>
                      <w:rFonts w:eastAsia="Times New Roman" w:asciiTheme="minorHAnsi" w:hAnsiTheme="minorHAnsi" w:cstheme="minorHAnsi"/>
                      <w:sz w:val="18"/>
                      <w:szCs w:val="18"/>
                      <w:lang w:val="en-US"/>
                    </w:rPr>
                    <w:t xml:space="preserve"> Meter Read Frequency (MRF) to monthly where either</w:t>
                  </w:r>
                </w:p>
                <w:p w:rsidRPr="000B1B5B" w:rsidR="00A83436" w:rsidP="00745D01" w:rsidRDefault="00A83436" w14:paraId="5D0A6290" w14:textId="516349AA">
                  <w:pPr>
                    <w:spacing w:after="0" w:line="240" w:lineRule="auto"/>
                    <w:rPr>
                      <w:rFonts w:eastAsia="Times New Roman" w:asciiTheme="minorHAnsi" w:hAnsiTheme="minorHAnsi" w:cstheme="minorHAnsi"/>
                      <w:sz w:val="18"/>
                      <w:szCs w:val="18"/>
                    </w:rPr>
                  </w:pPr>
                  <w:r w:rsidRPr="000B1B5B">
                    <w:rPr>
                      <w:rFonts w:eastAsia="Times New Roman" w:asciiTheme="minorHAnsi" w:hAnsiTheme="minorHAnsi" w:cstheme="minorHAnsi"/>
                      <w:sz w:val="18"/>
                      <w:szCs w:val="18"/>
                      <w:lang w:val="en-US"/>
                    </w:rPr>
                    <w:t>A. The AQ increases to 293,000 KWH or above</w:t>
                  </w:r>
                </w:p>
                <w:p w:rsidRPr="000B1B5B" w:rsidR="00A83436" w:rsidP="00745D01" w:rsidRDefault="00A83436" w14:paraId="727407B3" w14:textId="690DD9A5">
                  <w:pPr>
                    <w:spacing w:after="0" w:line="240" w:lineRule="auto"/>
                    <w:rPr>
                      <w:rFonts w:eastAsia="Times New Roman" w:asciiTheme="minorHAnsi" w:hAnsiTheme="minorHAnsi" w:cstheme="minorHAnsi"/>
                      <w:sz w:val="18"/>
                      <w:szCs w:val="18"/>
                    </w:rPr>
                  </w:pPr>
                  <w:r w:rsidRPr="000B1B5B">
                    <w:rPr>
                      <w:rFonts w:eastAsia="Times New Roman" w:asciiTheme="minorHAnsi" w:hAnsiTheme="minorHAnsi" w:cstheme="minorHAnsi"/>
                      <w:sz w:val="18"/>
                      <w:szCs w:val="18"/>
                      <w:lang w:val="en-US"/>
                    </w:rPr>
                    <w:t>B. AMR installed</w:t>
                  </w:r>
                </w:p>
                <w:p w:rsidRPr="000B1B5B" w:rsidR="00A83436" w:rsidP="00745D01" w:rsidRDefault="00A83436" w14:paraId="6858529D" w14:textId="53637571">
                  <w:pPr>
                    <w:spacing w:after="0" w:line="240" w:lineRule="auto"/>
                    <w:rPr>
                      <w:rFonts w:eastAsia="Times New Roman" w:asciiTheme="minorHAnsi" w:hAnsiTheme="minorHAnsi" w:cstheme="minorHAnsi"/>
                      <w:sz w:val="18"/>
                      <w:szCs w:val="18"/>
                    </w:rPr>
                  </w:pPr>
                  <w:r w:rsidRPr="000B1B5B">
                    <w:rPr>
                      <w:rFonts w:eastAsia="Times New Roman" w:asciiTheme="minorHAnsi" w:hAnsiTheme="minorHAnsi" w:cstheme="minorHAnsi"/>
                      <w:sz w:val="18"/>
                      <w:szCs w:val="18"/>
                      <w:lang w:val="en-US"/>
                    </w:rPr>
                    <w:t>C. DCC flag of active</w:t>
                  </w:r>
                </w:p>
                <w:p w:rsidRPr="00C25F07" w:rsidR="00A83436" w:rsidP="00745D01" w:rsidRDefault="00A83436" w14:paraId="343A3817" w14:textId="0F1702D2">
                  <w:pPr>
                    <w:spacing w:after="0" w:line="240" w:lineRule="auto"/>
                    <w:rPr>
                      <w:rFonts w:ascii="Calibri" w:hAnsi="Calibri" w:eastAsia="Times New Roman" w:cs="Calibri"/>
                      <w:color w:val="000000"/>
                    </w:rPr>
                  </w:pPr>
                  <w:r w:rsidRPr="000B1B5B">
                    <w:rPr>
                      <w:rFonts w:eastAsia="Times New Roman" w:asciiTheme="minorHAnsi" w:hAnsiTheme="minorHAnsi" w:cstheme="minorHAnsi"/>
                      <w:sz w:val="18"/>
                      <w:szCs w:val="18"/>
                      <w:lang w:val="en-US"/>
                    </w:rPr>
                    <w:t xml:space="preserve">An activity post implementation and XRN5142 data cleanse, will be completed where all the </w:t>
                  </w:r>
                  <w:proofErr w:type="spellStart"/>
                  <w:proofErr w:type="gramStart"/>
                  <w:r w:rsidRPr="000B1B5B">
                    <w:rPr>
                      <w:rFonts w:eastAsia="Times New Roman" w:asciiTheme="minorHAnsi" w:hAnsiTheme="minorHAnsi" w:cstheme="minorHAnsi"/>
                      <w:sz w:val="18"/>
                      <w:szCs w:val="18"/>
                      <w:lang w:val="en-US"/>
                    </w:rPr>
                    <w:t>non monthly</w:t>
                  </w:r>
                  <w:proofErr w:type="spellEnd"/>
                  <w:proofErr w:type="gramEnd"/>
                  <w:r w:rsidRPr="000B1B5B">
                    <w:rPr>
                      <w:rFonts w:eastAsia="Times New Roman" w:asciiTheme="minorHAnsi" w:hAnsiTheme="minorHAnsi" w:cstheme="minorHAnsi"/>
                      <w:sz w:val="18"/>
                      <w:szCs w:val="18"/>
                      <w:lang w:val="en-US"/>
                    </w:rPr>
                    <w:t xml:space="preserve"> MRF are assessed and updated to Monthly where one of the criteria is met – this is likely to cause an increase to Must Reads.</w:t>
                  </w:r>
                </w:p>
              </w:tc>
              <w:tc>
                <w:tcPr>
                  <w:tcW w:w="2410" w:type="dxa"/>
                  <w:tcBorders>
                    <w:top w:val="single" w:color="auto" w:sz="4" w:space="0"/>
                    <w:left w:val="single" w:color="auto" w:sz="4" w:space="0"/>
                    <w:bottom w:val="single" w:color="auto" w:sz="4" w:space="0"/>
                    <w:right w:val="single" w:color="auto" w:sz="4" w:space="0"/>
                  </w:tcBorders>
                  <w:shd w:val="clear" w:color="auto" w:fill="D9E1F2"/>
                  <w:hideMark/>
                </w:tcPr>
                <w:p w:rsidRPr="00C25F07" w:rsidR="00A83436" w:rsidP="00745D01" w:rsidRDefault="000E530C" w14:paraId="38869223" w14:textId="299D5C79">
                  <w:pPr>
                    <w:spacing w:after="0" w:line="240" w:lineRule="auto"/>
                    <w:jc w:val="center"/>
                    <w:rPr>
                      <w:rFonts w:ascii="Calibri" w:hAnsi="Calibri" w:eastAsia="Times New Roman" w:cs="Calibri"/>
                      <w:color w:val="000000"/>
                    </w:rPr>
                  </w:pPr>
                  <w:hyperlink w:history="1" r:id="rId12">
                    <w:r w:rsidRPr="007D1766" w:rsidR="00A83436">
                      <w:rPr>
                        <w:rStyle w:val="Hyperlink"/>
                        <w:rFonts w:eastAsia="Times New Roman" w:asciiTheme="minorHAnsi" w:hAnsiTheme="minorHAnsi" w:cstheme="minorHAnsi"/>
                        <w:sz w:val="18"/>
                        <w:szCs w:val="18"/>
                      </w:rPr>
                      <w:t>https://www.xoserve.com/change/change-proposals/xrn-4941-auto-updates-to-meter-read-frequency-mod0692/?return=/change/change-proposals/?customers=&amp;statuses=&amp;search=4941</w:t>
                    </w:r>
                  </w:hyperlink>
                </w:p>
              </w:tc>
              <w:tc>
                <w:tcPr>
                  <w:tcW w:w="992" w:type="dxa"/>
                  <w:tcBorders>
                    <w:top w:val="single" w:color="auto" w:sz="4" w:space="0"/>
                    <w:left w:val="single" w:color="auto" w:sz="4" w:space="0"/>
                    <w:bottom w:val="single" w:color="auto" w:sz="4" w:space="0"/>
                    <w:right w:val="single" w:color="auto" w:sz="4" w:space="0"/>
                  </w:tcBorders>
                  <w:shd w:val="clear" w:color="auto" w:fill="D9E1F2"/>
                </w:tcPr>
                <w:p w:rsidRPr="00C25F07" w:rsidR="00A83436" w:rsidP="00745D01" w:rsidRDefault="00A83436" w14:paraId="40F58743" w14:textId="660974B7">
                  <w:pPr>
                    <w:spacing w:after="0" w:line="240" w:lineRule="auto"/>
                    <w:jc w:val="center"/>
                    <w:rPr>
                      <w:rFonts w:ascii="Calibri" w:hAnsi="Calibri" w:eastAsia="Times New Roman" w:cs="Calibri"/>
                      <w:color w:val="000000"/>
                    </w:rPr>
                  </w:pPr>
                  <w:r w:rsidRPr="00C25F07">
                    <w:rPr>
                      <w:rFonts w:ascii="Calibri" w:hAnsi="Calibri" w:eastAsia="Times New Roman" w:cs="Calibri"/>
                      <w:color w:val="000000"/>
                    </w:rPr>
                    <w:t>Shipper</w:t>
                  </w:r>
                </w:p>
              </w:tc>
            </w:tr>
            <w:tr w:rsidRPr="00C25F07" w:rsidR="00A83436" w:rsidTr="00745D01" w14:paraId="4D14B2AA" w14:textId="77777777">
              <w:trPr>
                <w:trHeight w:val="2000"/>
              </w:trPr>
              <w:tc>
                <w:tcPr>
                  <w:tcW w:w="766" w:type="dxa"/>
                  <w:tcBorders>
                    <w:top w:val="single" w:color="auto" w:sz="4" w:space="0"/>
                    <w:left w:val="single" w:color="auto" w:sz="4" w:space="0"/>
                    <w:bottom w:val="single" w:color="auto" w:sz="4" w:space="0"/>
                    <w:right w:val="single" w:color="auto" w:sz="4" w:space="0"/>
                  </w:tcBorders>
                  <w:shd w:val="clear" w:color="auto" w:fill="auto"/>
                  <w:noWrap/>
                  <w:hideMark/>
                </w:tcPr>
                <w:p w:rsidRPr="00C25F07" w:rsidR="00A83436" w:rsidP="00745D01" w:rsidRDefault="00A83436" w14:paraId="3373FFB6" w14:textId="00EB46CB">
                  <w:pPr>
                    <w:spacing w:after="0" w:line="240" w:lineRule="auto"/>
                    <w:jc w:val="center"/>
                    <w:rPr>
                      <w:rFonts w:ascii="Calibri" w:hAnsi="Calibri" w:eastAsia="Times New Roman" w:cs="Calibri"/>
                      <w:color w:val="000000"/>
                    </w:rPr>
                  </w:pPr>
                  <w:r w:rsidRPr="007D1766">
                    <w:rPr>
                      <w:rFonts w:eastAsia="Times New Roman" w:asciiTheme="minorHAnsi" w:hAnsiTheme="minorHAnsi" w:cstheme="minorHAnsi"/>
                      <w:color w:val="000000"/>
                      <w:sz w:val="18"/>
                      <w:szCs w:val="18"/>
                    </w:rPr>
                    <w:t>5007</w:t>
                  </w:r>
                </w:p>
              </w:tc>
              <w:tc>
                <w:tcPr>
                  <w:tcW w:w="1134" w:type="dxa"/>
                  <w:tcBorders>
                    <w:top w:val="single" w:color="auto" w:sz="4" w:space="0"/>
                    <w:left w:val="single" w:color="auto" w:sz="4" w:space="0"/>
                    <w:bottom w:val="single" w:color="auto" w:sz="4" w:space="0"/>
                    <w:right w:val="single" w:color="auto" w:sz="4" w:space="0"/>
                  </w:tcBorders>
                  <w:shd w:val="clear" w:color="auto" w:fill="auto"/>
                  <w:noWrap/>
                  <w:hideMark/>
                </w:tcPr>
                <w:p w:rsidRPr="00C25F07" w:rsidR="00A83436" w:rsidP="00745D01" w:rsidRDefault="00A83436" w14:paraId="0425B998" w14:textId="070666C5">
                  <w:pPr>
                    <w:spacing w:after="0" w:line="240" w:lineRule="auto"/>
                    <w:rPr>
                      <w:rFonts w:ascii="Calibri" w:hAnsi="Calibri" w:eastAsia="Times New Roman" w:cs="Calibri"/>
                      <w:color w:val="000000"/>
                    </w:rPr>
                  </w:pPr>
                  <w:r w:rsidRPr="007D1766">
                    <w:rPr>
                      <w:rFonts w:eastAsia="Times New Roman" w:asciiTheme="minorHAnsi" w:hAnsiTheme="minorHAnsi" w:cstheme="minorHAnsi"/>
                      <w:color w:val="000000"/>
                      <w:sz w:val="18"/>
                      <w:szCs w:val="18"/>
                    </w:rPr>
                    <w:t>Enhancement to reconciliation process where prevailing volume is zero</w:t>
                  </w:r>
                </w:p>
              </w:tc>
              <w:tc>
                <w:tcPr>
                  <w:tcW w:w="1134" w:type="dxa"/>
                  <w:tcBorders>
                    <w:top w:val="single" w:color="auto" w:sz="4" w:space="0"/>
                    <w:left w:val="single" w:color="auto" w:sz="4" w:space="0"/>
                    <w:bottom w:val="single" w:color="auto" w:sz="4" w:space="0"/>
                    <w:right w:val="single" w:color="auto" w:sz="4" w:space="0"/>
                  </w:tcBorders>
                  <w:shd w:val="clear" w:color="auto" w:fill="auto"/>
                  <w:noWrap/>
                  <w:hideMark/>
                </w:tcPr>
                <w:p w:rsidRPr="00C25F07" w:rsidR="00A83436" w:rsidP="00745D01" w:rsidRDefault="00A83436" w14:paraId="364DB2D8" w14:textId="1609B8D8">
                  <w:pPr>
                    <w:spacing w:after="0" w:line="240" w:lineRule="auto"/>
                    <w:rPr>
                      <w:rFonts w:ascii="Calibri" w:hAnsi="Calibri" w:eastAsia="Times New Roman" w:cs="Calibri"/>
                      <w:color w:val="000000"/>
                    </w:rPr>
                  </w:pPr>
                  <w:r w:rsidRPr="007D1766">
                    <w:rPr>
                      <w:rFonts w:eastAsia="Times New Roman" w:asciiTheme="minorHAnsi" w:hAnsiTheme="minorHAnsi" w:cstheme="minorHAnsi"/>
                      <w:color w:val="000000"/>
                      <w:sz w:val="18"/>
                      <w:szCs w:val="18"/>
                    </w:rPr>
                    <w:t>Non-regulatory</w:t>
                  </w:r>
                </w:p>
              </w:tc>
              <w:tc>
                <w:tcPr>
                  <w:tcW w:w="3260" w:type="dxa"/>
                  <w:tcBorders>
                    <w:top w:val="single" w:color="auto" w:sz="4" w:space="0"/>
                    <w:left w:val="single" w:color="auto" w:sz="4" w:space="0"/>
                    <w:bottom w:val="single" w:color="auto" w:sz="4" w:space="0"/>
                    <w:right w:val="single" w:color="auto" w:sz="4" w:space="0"/>
                  </w:tcBorders>
                  <w:shd w:val="clear" w:color="auto" w:fill="auto"/>
                  <w:hideMark/>
                </w:tcPr>
                <w:p w:rsidRPr="003631E6" w:rsidR="00A83436" w:rsidP="00745D01" w:rsidRDefault="00A83436" w14:paraId="1AFF8529" w14:textId="14F1616E">
                  <w:pPr>
                    <w:spacing w:after="0" w:line="240" w:lineRule="auto"/>
                    <w:rPr>
                      <w:rFonts w:eastAsia="Times New Roman" w:asciiTheme="minorHAnsi" w:hAnsiTheme="minorHAnsi" w:cstheme="minorHAnsi"/>
                      <w:sz w:val="18"/>
                      <w:szCs w:val="18"/>
                    </w:rPr>
                  </w:pPr>
                  <w:r w:rsidRPr="003631E6">
                    <w:rPr>
                      <w:rFonts w:eastAsia="Times New Roman" w:asciiTheme="minorHAnsi" w:hAnsiTheme="minorHAnsi" w:cstheme="minorHAnsi"/>
                      <w:sz w:val="18"/>
                      <w:szCs w:val="18"/>
                    </w:rPr>
                    <w:t>Where a period has been reconciled to a zero position and then a valid read related to that period is received, re-reconciliation takes place.</w:t>
                  </w:r>
                </w:p>
                <w:p w:rsidRPr="003631E6" w:rsidR="00A83436" w:rsidP="00745D01" w:rsidRDefault="00A83436" w14:paraId="57A438BB" w14:textId="0B3379C7">
                  <w:pPr>
                    <w:spacing w:after="0" w:line="240" w:lineRule="auto"/>
                    <w:rPr>
                      <w:rFonts w:eastAsia="Times New Roman" w:asciiTheme="minorHAnsi" w:hAnsiTheme="minorHAnsi" w:cstheme="minorHAnsi"/>
                      <w:sz w:val="18"/>
                      <w:szCs w:val="18"/>
                    </w:rPr>
                  </w:pPr>
                  <w:r w:rsidRPr="003631E6">
                    <w:rPr>
                      <w:rFonts w:eastAsia="Times New Roman" w:asciiTheme="minorHAnsi" w:hAnsiTheme="minorHAnsi" w:cstheme="minorHAnsi"/>
                      <w:sz w:val="18"/>
                      <w:szCs w:val="18"/>
                    </w:rPr>
                    <w:t>As the prevailing metered volume is zero an MN09 exception is generated for Class 3 and Class 4 sites.</w:t>
                  </w:r>
                </w:p>
                <w:p w:rsidRPr="00C25F07" w:rsidR="00A83436" w:rsidP="00745D01" w:rsidRDefault="00A83436" w14:paraId="5DD2CBE7" w14:textId="522138AC">
                  <w:pPr>
                    <w:spacing w:after="0" w:line="240" w:lineRule="auto"/>
                    <w:rPr>
                      <w:rFonts w:ascii="Calibri" w:hAnsi="Calibri" w:eastAsia="Times New Roman" w:cs="Calibri"/>
                      <w:color w:val="000000"/>
                    </w:rPr>
                  </w:pPr>
                  <w:r w:rsidRPr="003631E6">
                    <w:rPr>
                      <w:rFonts w:eastAsia="Times New Roman" w:asciiTheme="minorHAnsi" w:hAnsiTheme="minorHAnsi" w:cstheme="minorHAnsi"/>
                      <w:sz w:val="18"/>
                      <w:szCs w:val="18"/>
                    </w:rPr>
                    <w:t>In these scenarios we will use the deemed volume instead of the prevailing volume when calculating the reconciliation factor which will prevent an MN09 exception being created.</w:t>
                  </w:r>
                </w:p>
              </w:tc>
              <w:tc>
                <w:tcPr>
                  <w:tcW w:w="2410" w:type="dxa"/>
                  <w:tcBorders>
                    <w:top w:val="single" w:color="auto" w:sz="4" w:space="0"/>
                    <w:left w:val="single" w:color="auto" w:sz="4" w:space="0"/>
                    <w:bottom w:val="single" w:color="auto" w:sz="4" w:space="0"/>
                    <w:right w:val="single" w:color="auto" w:sz="4" w:space="0"/>
                  </w:tcBorders>
                  <w:shd w:val="clear" w:color="auto" w:fill="auto"/>
                  <w:hideMark/>
                </w:tcPr>
                <w:p w:rsidRPr="00C25F07" w:rsidR="00A83436" w:rsidP="00745D01" w:rsidRDefault="000E530C" w14:paraId="7AE54909" w14:textId="50D37F57">
                  <w:pPr>
                    <w:spacing w:after="0" w:line="240" w:lineRule="auto"/>
                    <w:jc w:val="center"/>
                    <w:rPr>
                      <w:rFonts w:ascii="Calibri" w:hAnsi="Calibri" w:eastAsia="Times New Roman" w:cs="Calibri"/>
                      <w:color w:val="000000"/>
                    </w:rPr>
                  </w:pPr>
                  <w:hyperlink w:history="1" r:id="rId13">
                    <w:r w:rsidRPr="007D1766" w:rsidR="00A83436">
                      <w:rPr>
                        <w:rStyle w:val="Hyperlink"/>
                        <w:rFonts w:eastAsia="Times New Roman" w:asciiTheme="minorHAnsi" w:hAnsiTheme="minorHAnsi" w:cstheme="minorHAnsi"/>
                        <w:sz w:val="18"/>
                        <w:szCs w:val="18"/>
                      </w:rPr>
                      <w:t>https://www.xoserve.com/change/change-proposals/xrn-5007-correction-in-the-reconciliation-process-when-volume-is-zero/?return=/change/change-proposals/?customers=&amp;statuses=&amp;search=5007</w:t>
                    </w:r>
                  </w:hyperlink>
                </w:p>
              </w:tc>
              <w:tc>
                <w:tcPr>
                  <w:tcW w:w="992" w:type="dxa"/>
                  <w:tcBorders>
                    <w:top w:val="single" w:color="auto" w:sz="4" w:space="0"/>
                    <w:left w:val="single" w:color="auto" w:sz="4" w:space="0"/>
                    <w:bottom w:val="single" w:color="auto" w:sz="4" w:space="0"/>
                    <w:right w:val="single" w:color="auto" w:sz="4" w:space="0"/>
                  </w:tcBorders>
                </w:tcPr>
                <w:p w:rsidR="00A83436" w:rsidP="00745D01" w:rsidRDefault="00A83436" w14:paraId="176D5424" w14:textId="77777777">
                  <w:pPr>
                    <w:spacing w:after="0" w:line="240" w:lineRule="auto"/>
                    <w:jc w:val="center"/>
                    <w:rPr>
                      <w:rFonts w:ascii="Calibri" w:hAnsi="Calibri" w:eastAsia="Times New Roman" w:cs="Calibri"/>
                      <w:color w:val="000000"/>
                    </w:rPr>
                  </w:pPr>
                </w:p>
                <w:p w:rsidRPr="00C25F07" w:rsidR="00A83436" w:rsidP="00745D01" w:rsidRDefault="00A83436" w14:paraId="32F5E87A" w14:textId="6BE717A5">
                  <w:pPr>
                    <w:spacing w:after="0" w:line="240" w:lineRule="auto"/>
                    <w:jc w:val="center"/>
                    <w:rPr>
                      <w:rFonts w:ascii="Calibri" w:hAnsi="Calibri" w:eastAsia="Times New Roman" w:cs="Calibri"/>
                      <w:color w:val="000000"/>
                    </w:rPr>
                  </w:pPr>
                  <w:r>
                    <w:rPr>
                      <w:rFonts w:ascii="Calibri" w:hAnsi="Calibri" w:eastAsia="Times New Roman" w:cs="Calibri"/>
                      <w:color w:val="000000"/>
                    </w:rPr>
                    <w:t>Shipper</w:t>
                  </w:r>
                </w:p>
              </w:tc>
            </w:tr>
            <w:tr w:rsidRPr="00C25F07" w:rsidR="00A83436" w:rsidTr="5C4D837B" w14:paraId="1847E924" w14:textId="77777777">
              <w:trPr>
                <w:trHeight w:val="2000"/>
              </w:trPr>
              <w:tc>
                <w:tcPr>
                  <w:tcW w:w="766" w:type="dxa"/>
                  <w:tcBorders>
                    <w:top w:val="single" w:color="auto" w:sz="4" w:space="0"/>
                    <w:left w:val="single" w:color="auto" w:sz="4" w:space="0"/>
                    <w:bottom w:val="single" w:color="auto" w:sz="4" w:space="0"/>
                    <w:right w:val="single" w:color="auto" w:sz="4" w:space="0"/>
                  </w:tcBorders>
                  <w:shd w:val="clear" w:color="auto" w:fill="D9E1F2"/>
                  <w:noWrap/>
                  <w:hideMark/>
                </w:tcPr>
                <w:p w:rsidRPr="00C25F07" w:rsidR="00A83436" w:rsidP="00745D01" w:rsidRDefault="00A83436" w14:paraId="2E170E9B" w14:textId="08D2E2C8">
                  <w:pPr>
                    <w:spacing w:after="0" w:line="240" w:lineRule="auto"/>
                    <w:jc w:val="center"/>
                    <w:rPr>
                      <w:rFonts w:ascii="Calibri" w:hAnsi="Calibri" w:eastAsia="Times New Roman" w:cs="Calibri"/>
                      <w:color w:val="000000"/>
                    </w:rPr>
                  </w:pPr>
                  <w:r w:rsidRPr="007D1766">
                    <w:rPr>
                      <w:rFonts w:eastAsia="Times New Roman" w:asciiTheme="minorHAnsi" w:hAnsiTheme="minorHAnsi" w:cstheme="minorHAnsi"/>
                      <w:color w:val="000000"/>
                      <w:sz w:val="18"/>
                      <w:szCs w:val="18"/>
                    </w:rPr>
                    <w:lastRenderedPageBreak/>
                    <w:t>5072</w:t>
                  </w:r>
                </w:p>
              </w:tc>
              <w:tc>
                <w:tcPr>
                  <w:tcW w:w="1134" w:type="dxa"/>
                  <w:tcBorders>
                    <w:top w:val="single" w:color="auto" w:sz="4" w:space="0"/>
                    <w:left w:val="single" w:color="auto" w:sz="4" w:space="0"/>
                    <w:bottom w:val="single" w:color="auto" w:sz="4" w:space="0"/>
                    <w:right w:val="single" w:color="auto" w:sz="4" w:space="0"/>
                  </w:tcBorders>
                  <w:shd w:val="clear" w:color="auto" w:fill="D9E1F2"/>
                  <w:noWrap/>
                  <w:hideMark/>
                </w:tcPr>
                <w:p w:rsidRPr="00C25F07" w:rsidR="00A83436" w:rsidP="00745D01" w:rsidRDefault="00A83436" w14:paraId="45982AE6" w14:textId="0D3704A1">
                  <w:pPr>
                    <w:spacing w:after="0" w:line="240" w:lineRule="auto"/>
                    <w:rPr>
                      <w:rFonts w:ascii="Calibri" w:hAnsi="Calibri" w:eastAsia="Times New Roman" w:cs="Calibri"/>
                      <w:color w:val="000000"/>
                    </w:rPr>
                  </w:pPr>
                  <w:r w:rsidRPr="007D1766">
                    <w:rPr>
                      <w:rFonts w:eastAsia="Times New Roman" w:asciiTheme="minorHAnsi" w:hAnsiTheme="minorHAnsi" w:cstheme="minorHAnsi"/>
                      <w:color w:val="000000"/>
                      <w:sz w:val="18"/>
                      <w:szCs w:val="18"/>
                    </w:rPr>
                    <w:t>Application and derivation of TTZ indicator and calculation of volume and energy (all classes)</w:t>
                  </w:r>
                </w:p>
              </w:tc>
              <w:tc>
                <w:tcPr>
                  <w:tcW w:w="1134" w:type="dxa"/>
                  <w:tcBorders>
                    <w:top w:val="single" w:color="auto" w:sz="4" w:space="0"/>
                    <w:left w:val="single" w:color="auto" w:sz="4" w:space="0"/>
                    <w:bottom w:val="single" w:color="auto" w:sz="4" w:space="0"/>
                    <w:right w:val="single" w:color="auto" w:sz="4" w:space="0"/>
                  </w:tcBorders>
                  <w:shd w:val="clear" w:color="auto" w:fill="D9E1F2"/>
                  <w:noWrap/>
                  <w:hideMark/>
                </w:tcPr>
                <w:p w:rsidRPr="00C25F07" w:rsidR="00A83436" w:rsidP="00745D01" w:rsidRDefault="00A83436" w14:paraId="79B2842E" w14:textId="6852A8AD">
                  <w:pPr>
                    <w:spacing w:after="0" w:line="240" w:lineRule="auto"/>
                    <w:rPr>
                      <w:rFonts w:ascii="Calibri" w:hAnsi="Calibri" w:eastAsia="Times New Roman" w:cs="Calibri"/>
                      <w:color w:val="000000"/>
                    </w:rPr>
                  </w:pPr>
                  <w:r w:rsidRPr="007D1766">
                    <w:rPr>
                      <w:rFonts w:eastAsia="Times New Roman" w:asciiTheme="minorHAnsi" w:hAnsiTheme="minorHAnsi" w:cstheme="minorHAnsi"/>
                      <w:color w:val="000000"/>
                      <w:sz w:val="18"/>
                      <w:szCs w:val="18"/>
                    </w:rPr>
                    <w:t>Non- regulatory</w:t>
                  </w:r>
                </w:p>
              </w:tc>
              <w:tc>
                <w:tcPr>
                  <w:tcW w:w="3260" w:type="dxa"/>
                  <w:tcBorders>
                    <w:top w:val="single" w:color="auto" w:sz="4" w:space="0"/>
                    <w:left w:val="single" w:color="auto" w:sz="4" w:space="0"/>
                    <w:bottom w:val="single" w:color="auto" w:sz="4" w:space="0"/>
                    <w:right w:val="single" w:color="auto" w:sz="4" w:space="0"/>
                  </w:tcBorders>
                  <w:shd w:val="clear" w:color="auto" w:fill="D9E1F2"/>
                  <w:hideMark/>
                </w:tcPr>
                <w:p w:rsidRPr="00725E9C" w:rsidR="00A83436" w:rsidP="00745D01" w:rsidRDefault="00A83436" w14:paraId="2C42CED4" w14:textId="5CC90159">
                  <w:pPr>
                    <w:spacing w:after="0" w:line="240" w:lineRule="auto"/>
                    <w:rPr>
                      <w:rFonts w:eastAsia="Times New Roman" w:asciiTheme="minorHAnsi" w:hAnsiTheme="minorHAnsi" w:cstheme="minorHAnsi"/>
                      <w:sz w:val="18"/>
                      <w:szCs w:val="18"/>
                    </w:rPr>
                  </w:pPr>
                  <w:r w:rsidRPr="00725E9C">
                    <w:rPr>
                      <w:rFonts w:eastAsia="Times New Roman" w:asciiTheme="minorHAnsi" w:hAnsiTheme="minorHAnsi" w:cstheme="minorHAnsi"/>
                      <w:sz w:val="18"/>
                      <w:szCs w:val="18"/>
                      <w:lang w:val="en-US"/>
                    </w:rPr>
                    <w:t xml:space="preserve">Where there is at least one read with a Through </w:t>
                  </w:r>
                  <w:proofErr w:type="gramStart"/>
                  <w:r w:rsidRPr="00725E9C">
                    <w:rPr>
                      <w:rFonts w:eastAsia="Times New Roman" w:asciiTheme="minorHAnsi" w:hAnsiTheme="minorHAnsi" w:cstheme="minorHAnsi"/>
                      <w:sz w:val="18"/>
                      <w:szCs w:val="18"/>
                      <w:lang w:val="en-US"/>
                    </w:rPr>
                    <w:t>The</w:t>
                  </w:r>
                  <w:proofErr w:type="gramEnd"/>
                  <w:r w:rsidRPr="00725E9C">
                    <w:rPr>
                      <w:rFonts w:eastAsia="Times New Roman" w:asciiTheme="minorHAnsi" w:hAnsiTheme="minorHAnsi" w:cstheme="minorHAnsi"/>
                      <w:sz w:val="18"/>
                      <w:szCs w:val="18"/>
                      <w:lang w:val="en-US"/>
                    </w:rPr>
                    <w:t xml:space="preserve"> Zero's (TTZ) count the system doesn’t always calculate the volume correctly.</w:t>
                  </w:r>
                </w:p>
                <w:p w:rsidRPr="00725E9C" w:rsidR="00A83436" w:rsidP="00745D01" w:rsidRDefault="00A83436" w14:paraId="1A0556F6" w14:textId="77777777">
                  <w:pPr>
                    <w:spacing w:after="0" w:line="240" w:lineRule="auto"/>
                    <w:rPr>
                      <w:rFonts w:eastAsia="Times New Roman" w:asciiTheme="minorHAnsi" w:hAnsiTheme="minorHAnsi" w:cstheme="minorHAnsi"/>
                      <w:sz w:val="18"/>
                      <w:szCs w:val="18"/>
                    </w:rPr>
                  </w:pPr>
                  <w:r w:rsidRPr="00725E9C">
                    <w:rPr>
                      <w:rFonts w:eastAsia="Times New Roman" w:asciiTheme="minorHAnsi" w:hAnsiTheme="minorHAnsi" w:cstheme="minorHAnsi"/>
                      <w:sz w:val="18"/>
                      <w:szCs w:val="18"/>
                      <w:lang w:val="en-US"/>
                    </w:rPr>
                    <w:t>The system calculation will be amended so that the volume is calculated correctly.</w:t>
                  </w:r>
                </w:p>
                <w:p w:rsidRPr="00C25F07" w:rsidR="00A83436" w:rsidP="00745D01" w:rsidRDefault="00A83436" w14:paraId="5085D59E" w14:textId="2E83D40E">
                  <w:pPr>
                    <w:spacing w:after="0" w:line="240" w:lineRule="auto"/>
                    <w:rPr>
                      <w:rFonts w:ascii="Calibri" w:hAnsi="Calibri" w:eastAsia="Times New Roman" w:cs="Calibri"/>
                      <w:color w:val="000000"/>
                    </w:rPr>
                  </w:pPr>
                  <w:r w:rsidRPr="00725E9C">
                    <w:rPr>
                      <w:rFonts w:eastAsia="Times New Roman" w:asciiTheme="minorHAnsi" w:hAnsiTheme="minorHAnsi" w:cstheme="minorHAnsi"/>
                      <w:sz w:val="18"/>
                      <w:szCs w:val="18"/>
                      <w:lang w:val="en-US"/>
                    </w:rPr>
                    <w:t>An activity will be completed where all historical calculations with a TTZ count are assessed. The volume and AQ will be corrected where necessary.</w:t>
                  </w:r>
                </w:p>
              </w:tc>
              <w:tc>
                <w:tcPr>
                  <w:tcW w:w="2410" w:type="dxa"/>
                  <w:tcBorders>
                    <w:top w:val="single" w:color="auto" w:sz="4" w:space="0"/>
                    <w:left w:val="single" w:color="auto" w:sz="4" w:space="0"/>
                    <w:bottom w:val="single" w:color="auto" w:sz="4" w:space="0"/>
                    <w:right w:val="single" w:color="auto" w:sz="4" w:space="0"/>
                  </w:tcBorders>
                  <w:shd w:val="clear" w:color="auto" w:fill="D9E1F2"/>
                  <w:hideMark/>
                </w:tcPr>
                <w:p w:rsidRPr="00C25F07" w:rsidR="00A83436" w:rsidP="00745D01" w:rsidRDefault="000E530C" w14:paraId="3960E072" w14:textId="26459DE2">
                  <w:pPr>
                    <w:spacing w:after="0" w:line="240" w:lineRule="auto"/>
                    <w:jc w:val="center"/>
                    <w:rPr>
                      <w:rFonts w:ascii="Calibri" w:hAnsi="Calibri" w:eastAsia="Times New Roman" w:cs="Calibri"/>
                      <w:color w:val="000000"/>
                    </w:rPr>
                  </w:pPr>
                  <w:hyperlink w:history="1" r:id="rId14">
                    <w:r w:rsidRPr="007D1766" w:rsidR="00A83436">
                      <w:rPr>
                        <w:rStyle w:val="Hyperlink"/>
                        <w:rFonts w:eastAsia="Times New Roman" w:asciiTheme="minorHAnsi" w:hAnsiTheme="minorHAnsi" w:cstheme="minorHAnsi"/>
                        <w:sz w:val="18"/>
                        <w:szCs w:val="18"/>
                      </w:rPr>
                      <w:t>https://www.xoserve.com/change/change-proposals/xrn-5072-application-and-derivation-of-ttz-indicator-and-calculation-of-volume-and-energy-all-classes/?return=/change/change-proposals/?customers=&amp;statuses=&amp;search=5072</w:t>
                    </w:r>
                  </w:hyperlink>
                </w:p>
              </w:tc>
              <w:tc>
                <w:tcPr>
                  <w:tcW w:w="992" w:type="dxa"/>
                  <w:tcBorders>
                    <w:top w:val="single" w:color="auto" w:sz="4" w:space="0"/>
                    <w:left w:val="single" w:color="auto" w:sz="4" w:space="0"/>
                    <w:bottom w:val="single" w:color="auto" w:sz="4" w:space="0"/>
                    <w:right w:val="single" w:color="auto" w:sz="4" w:space="0"/>
                  </w:tcBorders>
                  <w:shd w:val="clear" w:color="auto" w:fill="D9E1F2"/>
                </w:tcPr>
                <w:p w:rsidR="00A83436" w:rsidP="00745D01" w:rsidRDefault="00A83436" w14:paraId="521F85D5" w14:textId="77777777">
                  <w:pPr>
                    <w:spacing w:after="0" w:line="240" w:lineRule="auto"/>
                    <w:jc w:val="center"/>
                    <w:rPr>
                      <w:rFonts w:ascii="Calibri" w:hAnsi="Calibri" w:eastAsia="Times New Roman" w:cs="Calibri"/>
                      <w:color w:val="000000"/>
                    </w:rPr>
                  </w:pPr>
                </w:p>
                <w:p w:rsidRPr="00C25F07" w:rsidR="00A83436" w:rsidP="00745D01" w:rsidRDefault="00A83436" w14:paraId="2F2EA4F2" w14:textId="57C6A5D1">
                  <w:pPr>
                    <w:spacing w:after="0" w:line="240" w:lineRule="auto"/>
                    <w:jc w:val="center"/>
                    <w:rPr>
                      <w:rFonts w:ascii="Calibri" w:hAnsi="Calibri" w:eastAsia="Times New Roman" w:cs="Calibri"/>
                      <w:color w:val="000000"/>
                    </w:rPr>
                  </w:pPr>
                  <w:r>
                    <w:rPr>
                      <w:rFonts w:ascii="Calibri" w:hAnsi="Calibri" w:eastAsia="Times New Roman" w:cs="Calibri"/>
                      <w:color w:val="000000"/>
                    </w:rPr>
                    <w:t>Shipper</w:t>
                  </w:r>
                </w:p>
              </w:tc>
            </w:tr>
            <w:tr w:rsidRPr="00C25F07" w:rsidR="00A83436" w:rsidTr="00745D01" w14:paraId="19B9E09B" w14:textId="77777777">
              <w:trPr>
                <w:cantSplit/>
                <w:trHeight w:val="2874"/>
              </w:trPr>
              <w:tc>
                <w:tcPr>
                  <w:tcW w:w="76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D1766" w:rsidR="00A83436" w:rsidP="00745D01" w:rsidRDefault="00A83436" w14:paraId="499A6444" w14:textId="7AD41E09">
                  <w:pPr>
                    <w:spacing w:after="0" w:line="240" w:lineRule="auto"/>
                    <w:jc w:val="center"/>
                    <w:rPr>
                      <w:rFonts w:eastAsia="Times New Roman" w:asciiTheme="minorHAnsi" w:hAnsiTheme="minorHAnsi" w:cstheme="minorHAnsi"/>
                      <w:color w:val="000000"/>
                      <w:sz w:val="18"/>
                      <w:szCs w:val="18"/>
                    </w:rPr>
                  </w:pPr>
                  <w:r w:rsidRPr="007D1766">
                    <w:rPr>
                      <w:rFonts w:eastAsia="Times New Roman" w:asciiTheme="minorHAnsi" w:hAnsiTheme="minorHAnsi" w:cstheme="minorHAnsi"/>
                      <w:color w:val="000000"/>
                      <w:sz w:val="18"/>
                      <w:szCs w:val="18"/>
                    </w:rPr>
                    <w:t>5142</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D1766" w:rsidR="00A83436" w:rsidP="00745D01" w:rsidRDefault="00A83436" w14:paraId="43056DD4" w14:textId="4112D8CB">
                  <w:pPr>
                    <w:spacing w:after="0" w:line="240" w:lineRule="auto"/>
                    <w:rPr>
                      <w:rFonts w:eastAsia="Times New Roman" w:asciiTheme="minorHAnsi" w:hAnsiTheme="minorHAnsi" w:cstheme="minorHAnsi"/>
                      <w:color w:val="000000"/>
                      <w:sz w:val="18"/>
                      <w:szCs w:val="18"/>
                    </w:rPr>
                  </w:pPr>
                  <w:r w:rsidRPr="007D1766">
                    <w:rPr>
                      <w:rFonts w:eastAsia="Times New Roman" w:asciiTheme="minorHAnsi" w:hAnsiTheme="minorHAnsi" w:cstheme="minorHAnsi"/>
                      <w:color w:val="000000"/>
                      <w:sz w:val="18"/>
                      <w:szCs w:val="18"/>
                    </w:rPr>
                    <w:t>SEC (MOD) -New allowable values for DCC service flag in DXI file from DCC</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D1766" w:rsidR="00A83436" w:rsidP="00745D01" w:rsidRDefault="00A83436" w14:paraId="425331C9" w14:textId="0B13B9FE">
                  <w:pPr>
                    <w:spacing w:after="0" w:line="240" w:lineRule="auto"/>
                    <w:rPr>
                      <w:rFonts w:eastAsia="Times New Roman" w:asciiTheme="minorHAnsi" w:hAnsiTheme="minorHAnsi" w:cstheme="minorHAnsi"/>
                      <w:color w:val="000000"/>
                      <w:sz w:val="18"/>
                      <w:szCs w:val="18"/>
                    </w:rPr>
                  </w:pPr>
                  <w:r w:rsidRPr="007D1766">
                    <w:rPr>
                      <w:rFonts w:eastAsia="Times New Roman" w:asciiTheme="minorHAnsi" w:hAnsiTheme="minorHAnsi" w:cstheme="minorHAnsi"/>
                      <w:color w:val="000000"/>
                      <w:sz w:val="18"/>
                      <w:szCs w:val="18"/>
                    </w:rPr>
                    <w:t>Regulatory</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Pr>
                <w:p w:rsidRPr="003F51E3" w:rsidR="00A83436" w:rsidP="00745D01" w:rsidRDefault="00A83436" w14:paraId="03DA1DA8" w14:textId="36913AAD">
                  <w:pPr>
                    <w:spacing w:after="0" w:line="240" w:lineRule="auto"/>
                    <w:rPr>
                      <w:rFonts w:eastAsia="Times New Roman" w:asciiTheme="minorHAnsi" w:hAnsiTheme="minorHAnsi" w:cstheme="minorHAnsi"/>
                      <w:sz w:val="18"/>
                      <w:szCs w:val="18"/>
                    </w:rPr>
                  </w:pPr>
                  <w:r w:rsidRPr="003F51E3">
                    <w:rPr>
                      <w:rFonts w:eastAsia="Times New Roman" w:asciiTheme="minorHAnsi" w:hAnsiTheme="minorHAnsi" w:cstheme="minorHAnsi"/>
                      <w:sz w:val="18"/>
                      <w:szCs w:val="18"/>
                      <w:lang w:val="en-US"/>
                    </w:rPr>
                    <w:t>The DCC Service flag values of 'S' (suspended) and 'W' (withdrawn) will be removed and new service flag values of 'N' (non-active) and 'I' (installed not commissioned) will be created. 'A' (active) will remain.</w:t>
                  </w:r>
                </w:p>
                <w:p w:rsidRPr="003F51E3" w:rsidR="00A83436" w:rsidP="00745D01" w:rsidRDefault="00A83436" w14:paraId="61B07259" w14:textId="77777777">
                  <w:pPr>
                    <w:spacing w:after="0" w:line="240" w:lineRule="auto"/>
                    <w:rPr>
                      <w:rFonts w:eastAsia="Times New Roman" w:asciiTheme="minorHAnsi" w:hAnsiTheme="minorHAnsi" w:cstheme="minorHAnsi"/>
                      <w:sz w:val="18"/>
                      <w:szCs w:val="18"/>
                    </w:rPr>
                  </w:pPr>
                  <w:r w:rsidRPr="003F51E3">
                    <w:rPr>
                      <w:rFonts w:eastAsia="Times New Roman" w:asciiTheme="minorHAnsi" w:hAnsiTheme="minorHAnsi" w:cstheme="minorHAnsi"/>
                      <w:sz w:val="18"/>
                      <w:szCs w:val="18"/>
                      <w:lang w:val="en-US"/>
                    </w:rPr>
                    <w:t>An activity, completed by the DCC, will assess and update any values where necessary. The DCC will then provide these updates so that UK Link reflects the same values.</w:t>
                  </w:r>
                </w:p>
                <w:p w:rsidRPr="003F51E3" w:rsidR="00A83436" w:rsidP="00745D01" w:rsidRDefault="00A83436" w14:paraId="0CA9C8B6" w14:textId="37FD19F8">
                  <w:pPr>
                    <w:spacing w:after="0" w:line="240" w:lineRule="auto"/>
                    <w:rPr>
                      <w:rFonts w:eastAsia="Times New Roman" w:asciiTheme="minorHAnsi" w:hAnsiTheme="minorHAnsi" w:cstheme="minorHAnsi"/>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7D1766" w:rsidR="00A83436" w:rsidP="00745D01" w:rsidRDefault="000E530C" w14:paraId="688595AD" w14:textId="7C84DEFA">
                  <w:pPr>
                    <w:spacing w:after="0" w:line="240" w:lineRule="auto"/>
                    <w:jc w:val="center"/>
                    <w:rPr>
                      <w:rFonts w:eastAsia="Times New Roman" w:asciiTheme="minorHAnsi" w:hAnsiTheme="minorHAnsi" w:cstheme="minorHAnsi"/>
                      <w:color w:val="000000"/>
                      <w:sz w:val="18"/>
                      <w:szCs w:val="18"/>
                    </w:rPr>
                  </w:pPr>
                  <w:hyperlink w:history="1" r:id="rId15">
                    <w:r w:rsidRPr="007D1766" w:rsidR="00A83436">
                      <w:rPr>
                        <w:rStyle w:val="Hyperlink"/>
                        <w:rFonts w:eastAsia="Times New Roman" w:asciiTheme="minorHAnsi" w:hAnsiTheme="minorHAnsi" w:cstheme="minorHAnsi"/>
                        <w:sz w:val="18"/>
                        <w:szCs w:val="18"/>
                      </w:rPr>
                      <w:t>https://www.xoserve.com/change/change-proposals/xrn-5142-new-allowable-values-for-dcc-service-flag-in-dxi-file-from-dcc/?return=/change/change-proposals/?customers=&amp;statuses=&amp;search=5142</w:t>
                    </w:r>
                  </w:hyperlink>
                </w:p>
              </w:tc>
              <w:tc>
                <w:tcPr>
                  <w:tcW w:w="992" w:type="dxa"/>
                  <w:tcBorders>
                    <w:top w:val="single" w:color="auto" w:sz="4" w:space="0"/>
                    <w:left w:val="single" w:color="auto" w:sz="4" w:space="0"/>
                    <w:bottom w:val="single" w:color="auto" w:sz="4" w:space="0"/>
                    <w:right w:val="single" w:color="auto" w:sz="4" w:space="0"/>
                  </w:tcBorders>
                </w:tcPr>
                <w:p w:rsidR="00A83436" w:rsidP="00745D01" w:rsidRDefault="00A83436" w14:paraId="56EDA7C2" w14:textId="77777777">
                  <w:pPr>
                    <w:spacing w:after="0" w:line="240" w:lineRule="auto"/>
                    <w:jc w:val="center"/>
                    <w:rPr>
                      <w:rFonts w:eastAsia="Times New Roman" w:asciiTheme="minorHAnsi" w:hAnsiTheme="minorHAnsi" w:cstheme="minorHAnsi"/>
                      <w:color w:val="000000"/>
                      <w:sz w:val="18"/>
                      <w:szCs w:val="18"/>
                    </w:rPr>
                  </w:pPr>
                </w:p>
                <w:p w:rsidRPr="007D1766" w:rsidR="00A83436" w:rsidP="00745D01" w:rsidRDefault="00A83436" w14:paraId="23D51576" w14:textId="72E4A600">
                  <w:pPr>
                    <w:spacing w:after="0" w:line="240" w:lineRule="auto"/>
                    <w:jc w:val="cente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DN/IGT</w:t>
                  </w:r>
                </w:p>
              </w:tc>
            </w:tr>
            <w:tr w:rsidRPr="00C25F07" w:rsidR="00A83436" w:rsidTr="5C4D837B" w14:paraId="7AF864AA" w14:textId="6C5762A3">
              <w:trPr>
                <w:trHeight w:val="2000"/>
              </w:trPr>
              <w:tc>
                <w:tcPr>
                  <w:tcW w:w="766" w:type="dxa"/>
                  <w:tcBorders>
                    <w:top w:val="single" w:color="auto" w:sz="4" w:space="0"/>
                    <w:left w:val="single" w:color="auto" w:sz="4" w:space="0"/>
                    <w:bottom w:val="single" w:color="auto" w:sz="4" w:space="0"/>
                    <w:right w:val="single" w:color="auto" w:sz="4" w:space="0"/>
                  </w:tcBorders>
                  <w:shd w:val="clear" w:color="auto" w:fill="D9E1F2"/>
                  <w:hideMark/>
                </w:tcPr>
                <w:p w:rsidRPr="00C25F07" w:rsidR="00A83436" w:rsidP="00745D01" w:rsidRDefault="00A83436" w14:paraId="314E03AD" w14:textId="0C41A198">
                  <w:pPr>
                    <w:spacing w:after="0" w:line="240" w:lineRule="auto"/>
                    <w:jc w:val="center"/>
                    <w:rPr>
                      <w:rFonts w:ascii="Calibri" w:hAnsi="Calibri" w:eastAsia="Times New Roman" w:cs="Calibri"/>
                      <w:color w:val="000000"/>
                    </w:rPr>
                  </w:pPr>
                  <w:r w:rsidRPr="007D1766">
                    <w:rPr>
                      <w:rFonts w:eastAsia="Times New Roman" w:asciiTheme="minorHAnsi" w:hAnsiTheme="minorHAnsi" w:cstheme="minorHAnsi"/>
                      <w:color w:val="000000"/>
                      <w:sz w:val="18"/>
                      <w:szCs w:val="18"/>
                    </w:rPr>
                    <w:t>5180</w:t>
                  </w:r>
                </w:p>
              </w:tc>
              <w:tc>
                <w:tcPr>
                  <w:tcW w:w="1134" w:type="dxa"/>
                  <w:tcBorders>
                    <w:top w:val="single" w:color="auto" w:sz="4" w:space="0"/>
                    <w:left w:val="single" w:color="auto" w:sz="4" w:space="0"/>
                    <w:bottom w:val="single" w:color="auto" w:sz="4" w:space="0"/>
                    <w:right w:val="single" w:color="auto" w:sz="4" w:space="0"/>
                  </w:tcBorders>
                  <w:shd w:val="clear" w:color="auto" w:fill="D9E1F2"/>
                  <w:hideMark/>
                </w:tcPr>
                <w:p w:rsidRPr="00C25F07" w:rsidR="00A83436" w:rsidP="00745D01" w:rsidRDefault="00A83436" w14:paraId="18EFE063" w14:textId="70541943">
                  <w:pPr>
                    <w:spacing w:after="0" w:line="240" w:lineRule="auto"/>
                    <w:rPr>
                      <w:rFonts w:ascii="Calibri" w:hAnsi="Calibri" w:eastAsia="Times New Roman" w:cs="Calibri"/>
                      <w:color w:val="000000"/>
                    </w:rPr>
                  </w:pPr>
                  <w:r w:rsidRPr="007D1766">
                    <w:rPr>
                      <w:rFonts w:eastAsia="Times New Roman" w:asciiTheme="minorHAnsi" w:hAnsiTheme="minorHAnsi" w:cstheme="minorHAnsi"/>
                      <w:color w:val="000000"/>
                      <w:sz w:val="18"/>
                      <w:szCs w:val="18"/>
                    </w:rPr>
                    <w:t>Inner tolerance validation for replacement reads and read insertions</w:t>
                  </w:r>
                </w:p>
              </w:tc>
              <w:tc>
                <w:tcPr>
                  <w:tcW w:w="1134" w:type="dxa"/>
                  <w:tcBorders>
                    <w:top w:val="single" w:color="auto" w:sz="4" w:space="0"/>
                    <w:left w:val="single" w:color="auto" w:sz="4" w:space="0"/>
                    <w:bottom w:val="single" w:color="auto" w:sz="4" w:space="0"/>
                    <w:right w:val="single" w:color="auto" w:sz="4" w:space="0"/>
                  </w:tcBorders>
                  <w:shd w:val="clear" w:color="auto" w:fill="D9E1F2"/>
                  <w:hideMark/>
                </w:tcPr>
                <w:p w:rsidRPr="00C25F07" w:rsidR="00A83436" w:rsidP="00745D01" w:rsidRDefault="00A83436" w14:paraId="457FF5F4" w14:textId="49B8D470">
                  <w:pPr>
                    <w:spacing w:after="0" w:line="240" w:lineRule="auto"/>
                    <w:rPr>
                      <w:rFonts w:ascii="Calibri" w:hAnsi="Calibri" w:eastAsia="Times New Roman" w:cs="Calibri"/>
                      <w:color w:val="000000"/>
                    </w:rPr>
                  </w:pPr>
                  <w:r w:rsidRPr="007D1766">
                    <w:rPr>
                      <w:rFonts w:eastAsia="Times New Roman" w:asciiTheme="minorHAnsi" w:hAnsiTheme="minorHAnsi" w:cstheme="minorHAnsi"/>
                      <w:color w:val="000000"/>
                      <w:sz w:val="18"/>
                      <w:szCs w:val="18"/>
                    </w:rPr>
                    <w:t>Non- regulatory</w:t>
                  </w:r>
                </w:p>
              </w:tc>
              <w:tc>
                <w:tcPr>
                  <w:tcW w:w="3260" w:type="dxa"/>
                  <w:tcBorders>
                    <w:top w:val="single" w:color="auto" w:sz="4" w:space="0"/>
                    <w:left w:val="single" w:color="auto" w:sz="4" w:space="0"/>
                    <w:bottom w:val="single" w:color="auto" w:sz="4" w:space="0"/>
                    <w:right w:val="single" w:color="auto" w:sz="4" w:space="0"/>
                  </w:tcBorders>
                  <w:shd w:val="clear" w:color="auto" w:fill="D9E1F2"/>
                  <w:hideMark/>
                </w:tcPr>
                <w:p w:rsidRPr="00802485" w:rsidR="00A83436" w:rsidP="00745D01" w:rsidRDefault="00A83436" w14:paraId="648E3AEE" w14:textId="2B8553F4">
                  <w:pPr>
                    <w:spacing w:after="0" w:line="240" w:lineRule="auto"/>
                    <w:rPr>
                      <w:rFonts w:eastAsia="Times New Roman" w:asciiTheme="minorHAnsi" w:hAnsiTheme="minorHAnsi"/>
                      <w:sz w:val="18"/>
                      <w:szCs w:val="18"/>
                    </w:rPr>
                  </w:pPr>
                  <w:r w:rsidRPr="5C4D837B">
                    <w:rPr>
                      <w:rFonts w:eastAsia="Times New Roman" w:asciiTheme="minorHAnsi" w:hAnsiTheme="minorHAnsi"/>
                      <w:sz w:val="18"/>
                      <w:szCs w:val="18"/>
                      <w:lang w:val="en-US"/>
                    </w:rPr>
                    <w:t>When a read is replaced or inserted, in between two reads, the replaced/inserted read is validated against both reads and energy tolerances are performed for each period i.e. backwards as well as forwards.</w:t>
                  </w:r>
                </w:p>
                <w:p w:rsidRPr="00802485" w:rsidR="00A83436" w:rsidP="00745D01" w:rsidRDefault="00A83436" w14:paraId="590B7020" w14:textId="106B1EC0">
                  <w:pPr>
                    <w:spacing w:after="0" w:line="240" w:lineRule="auto"/>
                    <w:rPr>
                      <w:rFonts w:ascii="Calibri" w:hAnsi="Calibri" w:eastAsia="Times New Roman" w:cs="Calibri"/>
                    </w:rPr>
                  </w:pPr>
                  <w:r w:rsidRPr="00802485">
                    <w:rPr>
                      <w:rFonts w:eastAsia="Times New Roman" w:asciiTheme="minorHAnsi" w:hAnsiTheme="minorHAnsi" w:cstheme="minorHAnsi"/>
                      <w:sz w:val="18"/>
                      <w:szCs w:val="18"/>
                      <w:lang w:val="en-US"/>
                    </w:rPr>
                    <w:t>When an override flag is only required for one of the periods (backwards or forwards) the read is rejected even when an override flag is provided.</w:t>
                  </w:r>
                </w:p>
              </w:tc>
              <w:tc>
                <w:tcPr>
                  <w:tcW w:w="2410" w:type="dxa"/>
                  <w:tcBorders>
                    <w:top w:val="single" w:color="auto" w:sz="4" w:space="0"/>
                    <w:left w:val="single" w:color="auto" w:sz="4" w:space="0"/>
                    <w:bottom w:val="single" w:color="auto" w:sz="4" w:space="0"/>
                    <w:right w:val="single" w:color="auto" w:sz="4" w:space="0"/>
                  </w:tcBorders>
                  <w:shd w:val="clear" w:color="auto" w:fill="D9E1F2"/>
                  <w:hideMark/>
                </w:tcPr>
                <w:p w:rsidRPr="00C25F07" w:rsidR="00A83436" w:rsidP="00745D01" w:rsidRDefault="000E530C" w14:paraId="26D95757" w14:textId="78875E06">
                  <w:pPr>
                    <w:spacing w:after="0" w:line="240" w:lineRule="auto"/>
                    <w:jc w:val="center"/>
                    <w:rPr>
                      <w:rFonts w:ascii="Calibri" w:hAnsi="Calibri" w:eastAsia="Times New Roman" w:cs="Calibri"/>
                      <w:color w:val="000000"/>
                    </w:rPr>
                  </w:pPr>
                  <w:hyperlink w:history="1" r:id="rId16">
                    <w:r w:rsidRPr="007D1766" w:rsidR="00A83436">
                      <w:rPr>
                        <w:rStyle w:val="Hyperlink"/>
                        <w:rFonts w:eastAsia="Times New Roman" w:asciiTheme="minorHAnsi" w:hAnsiTheme="minorHAnsi" w:cstheme="minorHAnsi"/>
                        <w:sz w:val="18"/>
                        <w:szCs w:val="18"/>
                      </w:rPr>
                      <w:t>https://www.xoserve.com/change/change-proposals/xrn-5180-inner-tolerance-validation-for-replacement-reads-and-read-insertions/?return=/change/change-proposals/?customers=&amp;statuses=&amp;search=5180</w:t>
                    </w:r>
                  </w:hyperlink>
                </w:p>
              </w:tc>
              <w:tc>
                <w:tcPr>
                  <w:tcW w:w="992" w:type="dxa"/>
                  <w:tcBorders>
                    <w:top w:val="single" w:color="auto" w:sz="4" w:space="0"/>
                    <w:left w:val="single" w:color="auto" w:sz="4" w:space="0"/>
                    <w:bottom w:val="single" w:color="auto" w:sz="4" w:space="0"/>
                    <w:right w:val="single" w:color="auto" w:sz="4" w:space="0"/>
                  </w:tcBorders>
                  <w:shd w:val="clear" w:color="auto" w:fill="D9E1F2"/>
                </w:tcPr>
                <w:p w:rsidR="003C04A7" w:rsidP="00745D01" w:rsidRDefault="003C04A7" w14:paraId="04249C22" w14:textId="77777777">
                  <w:pPr>
                    <w:spacing w:after="0" w:line="240" w:lineRule="auto"/>
                    <w:jc w:val="center"/>
                    <w:rPr>
                      <w:rStyle w:val="Hyperlink"/>
                      <w:rFonts w:eastAsia="Times New Roman" w:asciiTheme="minorHAnsi" w:hAnsiTheme="minorHAnsi" w:cstheme="minorHAnsi"/>
                      <w:sz w:val="18"/>
                      <w:szCs w:val="18"/>
                    </w:rPr>
                  </w:pPr>
                </w:p>
                <w:p w:rsidR="003C04A7" w:rsidP="00745D01" w:rsidRDefault="003C04A7" w14:paraId="6F6FFCED" w14:textId="60F14484">
                  <w:pPr>
                    <w:spacing w:after="0" w:line="240" w:lineRule="auto"/>
                    <w:jc w:val="center"/>
                    <w:rPr>
                      <w:rStyle w:val="Hyperlink"/>
                      <w:rFonts w:eastAsia="Times New Roman" w:asciiTheme="minorHAnsi" w:hAnsiTheme="minorHAnsi" w:cstheme="minorHAnsi"/>
                      <w:sz w:val="18"/>
                      <w:szCs w:val="18"/>
                    </w:rPr>
                  </w:pPr>
                  <w:r>
                    <w:rPr>
                      <w:rFonts w:ascii="Calibri" w:hAnsi="Calibri" w:eastAsia="Times New Roman" w:cs="Calibri"/>
                      <w:color w:val="000000"/>
                    </w:rPr>
                    <w:t>Shipper</w:t>
                  </w:r>
                </w:p>
              </w:tc>
            </w:tr>
            <w:tr w:rsidRPr="00C25F07" w:rsidR="0076501F" w:rsidTr="0076501F" w14:paraId="24139497" w14:textId="77777777">
              <w:trPr>
                <w:trHeight w:val="2000"/>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rsidRPr="0076501F" w:rsidR="0076501F" w:rsidP="0076501F" w:rsidRDefault="0076501F" w14:paraId="6B5BED31" w14:textId="1DB6C2C2">
                  <w:pPr>
                    <w:spacing w:after="0" w:line="240" w:lineRule="auto"/>
                    <w:jc w:val="center"/>
                    <w:rPr>
                      <w:rFonts w:eastAsia="Times New Roman" w:asciiTheme="minorHAnsi" w:hAnsiTheme="minorHAnsi" w:cstheme="minorHAnsi"/>
                      <w:color w:val="000000"/>
                      <w:sz w:val="18"/>
                      <w:szCs w:val="18"/>
                    </w:rPr>
                  </w:pPr>
                  <w:r w:rsidRPr="0076501F">
                    <w:rPr>
                      <w:rFonts w:asciiTheme="minorHAnsi" w:hAnsiTheme="minorHAnsi" w:cstheme="minorHAnsi"/>
                      <w:color w:val="000000"/>
                      <w:sz w:val="18"/>
                    </w:rPr>
                    <w:t>4780C</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76501F" w:rsidR="0076501F" w:rsidP="0076501F" w:rsidRDefault="0076501F" w14:paraId="40A76517" w14:textId="075A3CE2">
                  <w:pPr>
                    <w:spacing w:after="0" w:line="240" w:lineRule="auto"/>
                    <w:rPr>
                      <w:rFonts w:eastAsia="Times New Roman" w:asciiTheme="minorHAnsi" w:hAnsiTheme="minorHAnsi" w:cstheme="minorHAnsi"/>
                      <w:color w:val="000000"/>
                      <w:sz w:val="18"/>
                      <w:szCs w:val="18"/>
                    </w:rPr>
                  </w:pPr>
                  <w:r w:rsidRPr="0076501F">
                    <w:rPr>
                      <w:rFonts w:asciiTheme="minorHAnsi" w:hAnsiTheme="minorHAnsi" w:cstheme="minorHAnsi"/>
                      <w:color w:val="000000"/>
                      <w:sz w:val="18"/>
                    </w:rPr>
                    <w:t xml:space="preserve">Inclusion of Meter Asset Provider Identity (MAP Id) in the UK Link system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76501F" w:rsidR="0076501F" w:rsidP="0076501F" w:rsidRDefault="0076501F" w14:paraId="70DDF998" w14:textId="2BDE6A9E">
                  <w:pPr>
                    <w:spacing w:after="0" w:line="240" w:lineRule="auto"/>
                    <w:rPr>
                      <w:rFonts w:eastAsia="Times New Roman" w:asciiTheme="minorHAnsi" w:hAnsiTheme="minorHAnsi" w:cstheme="minorHAnsi"/>
                      <w:color w:val="000000"/>
                      <w:sz w:val="18"/>
                      <w:szCs w:val="18"/>
                    </w:rPr>
                  </w:pPr>
                  <w:r w:rsidRPr="0076501F">
                    <w:rPr>
                      <w:rFonts w:asciiTheme="minorHAnsi" w:hAnsiTheme="minorHAnsi" w:cstheme="minorHAnsi"/>
                      <w:color w:val="000000"/>
                      <w:sz w:val="18"/>
                    </w:rPr>
                    <w:t>Non-regulatory</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rsidRPr="0076501F" w:rsidR="0076501F" w:rsidP="0076501F" w:rsidRDefault="0076501F" w14:paraId="0EBD3F0C" w14:textId="0EACF1F0">
                  <w:pPr>
                    <w:spacing w:after="0" w:line="240" w:lineRule="auto"/>
                    <w:rPr>
                      <w:rFonts w:eastAsia="Times New Roman" w:asciiTheme="minorHAnsi" w:hAnsiTheme="minorHAnsi" w:cstheme="minorHAnsi"/>
                      <w:sz w:val="18"/>
                      <w:szCs w:val="18"/>
                      <w:lang w:val="en-US"/>
                    </w:rPr>
                  </w:pPr>
                  <w:r w:rsidRPr="0076501F">
                    <w:rPr>
                      <w:rFonts w:asciiTheme="minorHAnsi" w:hAnsiTheme="minorHAnsi" w:cstheme="minorHAnsi"/>
                      <w:color w:val="000000"/>
                      <w:sz w:val="18"/>
                    </w:rPr>
                    <w:t xml:space="preserve">Receive MAP Id information for Supply Meter Points from MAMs.  </w:t>
                  </w:r>
                  <w:r w:rsidRPr="0076501F">
                    <w:rPr>
                      <w:rFonts w:asciiTheme="minorHAnsi" w:hAnsiTheme="minorHAnsi" w:cstheme="minorHAnsi"/>
                      <w:color w:val="000000"/>
                      <w:sz w:val="18"/>
                    </w:rPr>
                    <w:br/>
                  </w:r>
                  <w:r w:rsidRPr="0076501F">
                    <w:rPr>
                      <w:rFonts w:asciiTheme="minorHAnsi" w:hAnsiTheme="minorHAnsi" w:cstheme="minorHAnsi"/>
                      <w:color w:val="000000"/>
                      <w:sz w:val="18"/>
                    </w:rPr>
                    <w:t xml:space="preserve">The provided MAM data will be stored within CDSP system(s) and be used to populate the MAP Id field where required (i.e. where no valid MAP Id data item is received from the Shipper within existing RGMA flows). </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rsidRPr="0076501F" w:rsidR="0076501F" w:rsidP="0076501F" w:rsidRDefault="000E530C" w14:paraId="0D286888" w14:textId="1BCA430E">
                  <w:pPr>
                    <w:spacing w:after="0" w:line="240" w:lineRule="auto"/>
                    <w:jc w:val="center"/>
                    <w:rPr>
                      <w:rStyle w:val="Hyperlink"/>
                      <w:rFonts w:eastAsia="Times New Roman" w:asciiTheme="minorHAnsi" w:hAnsiTheme="minorHAnsi" w:cstheme="minorHAnsi"/>
                      <w:sz w:val="18"/>
                      <w:szCs w:val="18"/>
                    </w:rPr>
                  </w:pPr>
                  <w:hyperlink w:history="1" r:id="rId17">
                    <w:r w:rsidRPr="0076501F" w:rsidR="0076501F">
                      <w:rPr>
                        <w:rStyle w:val="Hyperlink"/>
                        <w:rFonts w:asciiTheme="minorHAnsi" w:hAnsiTheme="minorHAnsi" w:cstheme="minorHAnsi"/>
                        <w:sz w:val="18"/>
                      </w:rPr>
                      <w:t>https://www.xoserve.com/change/change-proposals/xrn-4780-inclusion-of-meter-asset-provider-identity-map-id-in-the-uk-link-system-css-consequential-change/</w:t>
                    </w:r>
                  </w:hyperlink>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rsidRPr="0076501F" w:rsidR="0076501F" w:rsidP="0076501F" w:rsidRDefault="0076501F" w14:paraId="623EF395" w14:textId="397B32C6">
                  <w:pPr>
                    <w:spacing w:after="0" w:line="240" w:lineRule="auto"/>
                    <w:jc w:val="center"/>
                    <w:rPr>
                      <w:rStyle w:val="Hyperlink"/>
                      <w:rFonts w:eastAsia="Times New Roman" w:asciiTheme="minorHAnsi" w:hAnsiTheme="minorHAnsi" w:cstheme="minorHAnsi"/>
                      <w:sz w:val="18"/>
                      <w:szCs w:val="18"/>
                    </w:rPr>
                  </w:pPr>
                  <w:r w:rsidRPr="0076501F">
                    <w:rPr>
                      <w:rFonts w:asciiTheme="minorHAnsi" w:hAnsiTheme="minorHAnsi" w:cstheme="minorHAnsi"/>
                      <w:color w:val="000000"/>
                      <w:sz w:val="18"/>
                    </w:rPr>
                    <w:t>Shipper</w:t>
                  </w:r>
                </w:p>
              </w:tc>
            </w:tr>
            <w:tr w:rsidRPr="00C25F07" w:rsidR="00286EEF" w:rsidTr="0076501F" w14:paraId="3D77AD99" w14:textId="77777777">
              <w:trPr>
                <w:trHeight w:val="2000"/>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rsidRPr="0076501F" w:rsidR="00286EEF" w:rsidP="0076501F" w:rsidRDefault="00286EEF" w14:paraId="49040124" w14:textId="56E6F4B1">
                  <w:pPr>
                    <w:spacing w:after="0" w:line="240" w:lineRule="auto"/>
                    <w:jc w:val="center"/>
                    <w:rPr>
                      <w:rFonts w:asciiTheme="minorHAnsi" w:hAnsiTheme="minorHAnsi" w:cstheme="minorHAnsi"/>
                      <w:color w:val="000000"/>
                      <w:sz w:val="18"/>
                    </w:rPr>
                  </w:pPr>
                  <w:r>
                    <w:rPr>
                      <w:rFonts w:asciiTheme="minorHAnsi" w:hAnsiTheme="minorHAnsi" w:cstheme="minorHAnsi"/>
                      <w:color w:val="000000"/>
                      <w:sz w:val="18"/>
                    </w:rPr>
                    <w:t>4992a</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286EEF" w:rsidR="00286EEF" w:rsidP="0076501F" w:rsidRDefault="00286EEF" w14:paraId="39AC90AE" w14:textId="7157C9AC">
                  <w:pPr>
                    <w:spacing w:after="0" w:line="240" w:lineRule="auto"/>
                    <w:rPr>
                      <w:rFonts w:asciiTheme="minorHAnsi" w:hAnsiTheme="minorHAnsi" w:cstheme="minorHAnsi"/>
                      <w:color w:val="000000"/>
                      <w:sz w:val="18"/>
                    </w:rPr>
                  </w:pPr>
                  <w:r w:rsidRPr="00286EEF">
                    <w:rPr>
                      <w:rFonts w:asciiTheme="minorHAnsi" w:hAnsiTheme="minorHAnsi" w:cstheme="minorHAnsi"/>
                      <w:color w:val="000000"/>
                      <w:sz w:val="18"/>
                    </w:rPr>
                    <w:t>XRN4992a - MOD 0687 - Creation of New Charge to Recover Last Resort Supply Payments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76501F" w:rsidR="00286EEF" w:rsidP="0076501F" w:rsidRDefault="00286EEF" w14:paraId="2C372B71" w14:textId="030A27AD">
                  <w:pPr>
                    <w:spacing w:after="0" w:line="240" w:lineRule="auto"/>
                    <w:rPr>
                      <w:rFonts w:asciiTheme="minorHAnsi" w:hAnsiTheme="minorHAnsi" w:cstheme="minorHAnsi"/>
                      <w:color w:val="000000"/>
                      <w:sz w:val="18"/>
                    </w:rPr>
                  </w:pPr>
                  <w:r>
                    <w:rPr>
                      <w:rFonts w:asciiTheme="minorHAnsi" w:hAnsiTheme="minorHAnsi" w:cstheme="minorHAnsi"/>
                      <w:color w:val="000000"/>
                      <w:sz w:val="18"/>
                    </w:rPr>
                    <w:t>Regulatory</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rsidRPr="0076501F" w:rsidR="00286EEF" w:rsidP="0076501F" w:rsidRDefault="00286EEF" w14:paraId="5B8A6BC9" w14:textId="23EEFD5A">
                  <w:pPr>
                    <w:spacing w:after="0" w:line="240" w:lineRule="auto"/>
                    <w:rPr>
                      <w:rFonts w:asciiTheme="minorHAnsi" w:hAnsiTheme="minorHAnsi" w:cstheme="minorHAnsi"/>
                      <w:color w:val="000000"/>
                      <w:sz w:val="18"/>
                    </w:rPr>
                  </w:pPr>
                  <w:r w:rsidRPr="00286EEF">
                    <w:rPr>
                      <w:rFonts w:asciiTheme="minorHAnsi" w:hAnsiTheme="minorHAnsi" w:cstheme="minorHAnsi"/>
                      <w:color w:val="000000"/>
                      <w:sz w:val="18"/>
                    </w:rPr>
                    <w:t>This change has been raised to provide clarity on how any costs incurred by the Gas Distribution Networks (GDNs) as part of a Last Resort Supply Payment(LRSP) arising from a Supplier of Last Resort(</w:t>
                  </w:r>
                  <w:proofErr w:type="spellStart"/>
                  <w:r w:rsidRPr="00286EEF">
                    <w:rPr>
                      <w:rFonts w:asciiTheme="minorHAnsi" w:hAnsiTheme="minorHAnsi" w:cstheme="minorHAnsi"/>
                      <w:color w:val="000000"/>
                      <w:sz w:val="18"/>
                    </w:rPr>
                    <w:t>SoLR</w:t>
                  </w:r>
                  <w:proofErr w:type="spellEnd"/>
                  <w:r w:rsidRPr="00286EEF">
                    <w:rPr>
                      <w:rFonts w:asciiTheme="minorHAnsi" w:hAnsiTheme="minorHAnsi" w:cstheme="minorHAnsi"/>
                      <w:color w:val="000000"/>
                      <w:sz w:val="18"/>
                    </w:rPr>
                    <w:t>) event are recovered from Shippers in a fairer and clearer manner. </w:t>
                  </w:r>
                  <w:r w:rsidRPr="00286EEF">
                    <w:rPr>
                      <w:rFonts w:asciiTheme="minorHAnsi" w:hAnsiTheme="minorHAnsi" w:cstheme="minorHAnsi"/>
                      <w:sz w:val="18"/>
                    </w:rPr>
                    <w:t>​</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rsidR="00286EEF" w:rsidP="0076501F" w:rsidRDefault="00286EEF" w14:paraId="6855E0C6" w14:textId="03B8FF9E">
                  <w:pPr>
                    <w:spacing w:after="0" w:line="240" w:lineRule="auto"/>
                    <w:jc w:val="center"/>
                    <w:rPr>
                      <w:rStyle w:val="Hyperlink"/>
                      <w:rFonts w:asciiTheme="minorHAnsi" w:hAnsiTheme="minorHAnsi" w:cstheme="minorHAnsi"/>
                      <w:sz w:val="18"/>
                    </w:rPr>
                  </w:pPr>
                  <w:hyperlink w:history="1" r:id="rId18">
                    <w:r w:rsidRPr="00286EEF">
                      <w:rPr>
                        <w:rStyle w:val="Hyperlink"/>
                        <w:sz w:val="18"/>
                      </w:rPr>
                      <w:t>XRN 4992 | Xoserve</w:t>
                    </w:r>
                  </w:hyperlink>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rsidR="00286EEF" w:rsidP="0076501F" w:rsidRDefault="00286EEF" w14:paraId="2CD98E9E" w14:textId="77777777">
                  <w:pPr>
                    <w:spacing w:after="0" w:line="240" w:lineRule="auto"/>
                    <w:jc w:val="center"/>
                    <w:rPr>
                      <w:rFonts w:asciiTheme="minorHAnsi" w:hAnsiTheme="minorHAnsi" w:cstheme="minorHAnsi"/>
                      <w:color w:val="000000"/>
                      <w:sz w:val="18"/>
                    </w:rPr>
                  </w:pPr>
                  <w:r>
                    <w:rPr>
                      <w:rFonts w:asciiTheme="minorHAnsi" w:hAnsiTheme="minorHAnsi" w:cstheme="minorHAnsi"/>
                      <w:color w:val="000000"/>
                      <w:sz w:val="18"/>
                    </w:rPr>
                    <w:t>Shipper</w:t>
                  </w:r>
                </w:p>
                <w:p w:rsidRPr="0076501F" w:rsidR="00286EEF" w:rsidP="0076501F" w:rsidRDefault="00286EEF" w14:paraId="419CF534" w14:textId="538FFC61">
                  <w:pPr>
                    <w:spacing w:after="0" w:line="240" w:lineRule="auto"/>
                    <w:jc w:val="center"/>
                    <w:rPr>
                      <w:rFonts w:asciiTheme="minorHAnsi" w:hAnsiTheme="minorHAnsi" w:cstheme="minorHAnsi"/>
                      <w:color w:val="000000"/>
                      <w:sz w:val="18"/>
                    </w:rPr>
                  </w:pPr>
                  <w:r>
                    <w:rPr>
                      <w:rFonts w:asciiTheme="minorHAnsi" w:hAnsiTheme="minorHAnsi" w:cstheme="minorHAnsi"/>
                      <w:color w:val="000000"/>
                      <w:sz w:val="18"/>
                    </w:rPr>
                    <w:t>Distribution Networks</w:t>
                  </w:r>
                </w:p>
              </w:tc>
            </w:tr>
            <w:tr w:rsidRPr="00C25F07" w:rsidR="00286EEF" w:rsidTr="0076501F" w14:paraId="41CBC326" w14:textId="77777777">
              <w:trPr>
                <w:trHeight w:val="2000"/>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rsidRPr="0076501F" w:rsidR="00286EEF" w:rsidP="0076501F" w:rsidRDefault="00286EEF" w14:paraId="6E1FB7F2" w14:textId="42443E8A">
                  <w:pPr>
                    <w:spacing w:after="0" w:line="240" w:lineRule="auto"/>
                    <w:jc w:val="center"/>
                    <w:rPr>
                      <w:rFonts w:asciiTheme="minorHAnsi" w:hAnsiTheme="minorHAnsi" w:cstheme="minorHAnsi"/>
                      <w:color w:val="000000"/>
                      <w:sz w:val="18"/>
                    </w:rPr>
                  </w:pPr>
                  <w:r>
                    <w:rPr>
                      <w:rFonts w:asciiTheme="minorHAnsi" w:hAnsiTheme="minorHAnsi" w:cstheme="minorHAnsi"/>
                      <w:color w:val="000000"/>
                      <w:sz w:val="18"/>
                    </w:rPr>
                    <w:t>5188b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76501F" w:rsidR="00286EEF" w:rsidP="0076501F" w:rsidRDefault="00286EEF" w14:paraId="51E0BF1E" w14:textId="41EBC86B">
                  <w:pPr>
                    <w:spacing w:after="0" w:line="240" w:lineRule="auto"/>
                    <w:rPr>
                      <w:rFonts w:asciiTheme="minorHAnsi" w:hAnsiTheme="minorHAnsi" w:cstheme="minorHAnsi"/>
                      <w:color w:val="000000"/>
                      <w:sz w:val="18"/>
                    </w:rPr>
                  </w:pPr>
                  <w:r w:rsidRPr="00286EEF">
                    <w:rPr>
                      <w:sz w:val="18"/>
                    </w:rPr>
                    <w:t>I</w:t>
                  </w:r>
                  <w:r w:rsidRPr="00286EEF">
                    <w:rPr>
                      <w:sz w:val="18"/>
                    </w:rPr>
                    <w:t>nterim Data Loads of MAP Id into UK Link</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76501F" w:rsidR="00286EEF" w:rsidP="0076501F" w:rsidRDefault="00286EEF" w14:paraId="3610B3A5" w14:textId="19B4C253">
                  <w:pPr>
                    <w:spacing w:after="0" w:line="240" w:lineRule="auto"/>
                    <w:rPr>
                      <w:rFonts w:asciiTheme="minorHAnsi" w:hAnsiTheme="minorHAnsi" w:cstheme="minorHAnsi"/>
                      <w:color w:val="000000"/>
                      <w:sz w:val="18"/>
                    </w:rPr>
                  </w:pPr>
                  <w:r>
                    <w:rPr>
                      <w:rFonts w:asciiTheme="minorHAnsi" w:hAnsiTheme="minorHAnsi" w:cstheme="minorHAnsi"/>
                      <w:color w:val="000000"/>
                      <w:sz w:val="18"/>
                    </w:rPr>
                    <w:t>Non-regulatory</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rsidRPr="00286EEF" w:rsidR="00286EEF" w:rsidP="0076501F" w:rsidRDefault="00286EEF" w14:paraId="39C8A14D" w14:textId="31E8B13C">
                  <w:pPr>
                    <w:spacing w:after="0" w:line="240" w:lineRule="auto"/>
                    <w:rPr>
                      <w:rFonts w:asciiTheme="minorHAnsi" w:hAnsiTheme="minorHAnsi" w:cstheme="minorHAnsi"/>
                      <w:color w:val="000000"/>
                      <w:sz w:val="18"/>
                    </w:rPr>
                  </w:pPr>
                  <w:r w:rsidRPr="00286EEF">
                    <w:rPr>
                      <w:sz w:val="18"/>
                    </w:rPr>
                    <w:t>Additional data loads of MAP Id into CDSP systems is required as an interim measure to ensure the integrity of the data item until the enduring solution is in place to maintain this data item (as part of XRN4780-C).</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rsidR="00286EEF" w:rsidP="0076501F" w:rsidRDefault="00286EEF" w14:paraId="60E0D113" w14:textId="63AC7EFF">
                  <w:pPr>
                    <w:spacing w:after="0" w:line="240" w:lineRule="auto"/>
                    <w:jc w:val="center"/>
                    <w:rPr>
                      <w:rStyle w:val="Hyperlink"/>
                      <w:rFonts w:asciiTheme="minorHAnsi" w:hAnsiTheme="minorHAnsi" w:cstheme="minorHAnsi"/>
                      <w:sz w:val="18"/>
                    </w:rPr>
                  </w:pPr>
                  <w:hyperlink w:history="1" r:id="rId19">
                    <w:r w:rsidRPr="00286EEF">
                      <w:rPr>
                        <w:rStyle w:val="Hyperlink"/>
                        <w:sz w:val="18"/>
                      </w:rPr>
                      <w:t>xrn5188-interim-data-loads-of-map-id-into-uk-link-cp.pdf (xoserve.com)</w:t>
                    </w:r>
                  </w:hyperlink>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rsidRPr="0076501F" w:rsidR="00286EEF" w:rsidP="0076501F" w:rsidRDefault="00286EEF" w14:paraId="2BC1B865" w14:textId="31F4D09F">
                  <w:pPr>
                    <w:spacing w:after="0" w:line="240" w:lineRule="auto"/>
                    <w:jc w:val="center"/>
                    <w:rPr>
                      <w:rFonts w:asciiTheme="minorHAnsi" w:hAnsiTheme="minorHAnsi" w:cstheme="minorHAnsi"/>
                      <w:color w:val="000000"/>
                      <w:sz w:val="18"/>
                    </w:rPr>
                  </w:pPr>
                  <w:r>
                    <w:rPr>
                      <w:rFonts w:asciiTheme="minorHAnsi" w:hAnsiTheme="minorHAnsi" w:cstheme="minorHAnsi"/>
                      <w:color w:val="000000"/>
                      <w:sz w:val="18"/>
                    </w:rPr>
                    <w:t>Shipper</w:t>
                  </w:r>
                </w:p>
              </w:tc>
            </w:tr>
          </w:tbl>
          <w:p w:rsidRPr="00907531" w:rsidR="002251F1" w:rsidP="00907531" w:rsidRDefault="002251F1" w14:paraId="05BA6E36" w14:textId="0615580D">
            <w:pPr>
              <w:pStyle w:val="ListParagraph"/>
              <w:spacing w:after="60" w:line="276" w:lineRule="auto"/>
              <w:ind w:left="1080"/>
              <w:rPr>
                <w:b/>
                <w:szCs w:val="20"/>
              </w:rPr>
            </w:pPr>
            <w:r>
              <w:rPr>
                <w:b/>
                <w:szCs w:val="20"/>
              </w:rPr>
              <w:t xml:space="preserve">  </w:t>
            </w:r>
          </w:p>
        </w:tc>
      </w:tr>
      <w:tr w:rsidRPr="002B2E87" w:rsidR="002B2E87" w:rsidTr="13E168D9" w14:paraId="356D084F" w14:textId="77777777">
        <w:trPr>
          <w:trHeight w:val="85"/>
        </w:trPr>
        <w:tc>
          <w:tcPr>
            <w:tcW w:w="5000" w:type="pct"/>
            <w:gridSpan w:val="2"/>
            <w:tcBorders>
              <w:bottom w:val="single" w:color="auto" w:sz="4" w:space="0"/>
            </w:tcBorders>
            <w:shd w:val="clear" w:color="auto" w:fill="3E5AA8" w:themeFill="accent1"/>
            <w:tcMar/>
            <w:vAlign w:val="center"/>
          </w:tcPr>
          <w:p w:rsidRPr="002B2E87" w:rsidR="002B2E87" w:rsidP="002B2E87" w:rsidRDefault="002B2E87" w14:paraId="3B25D51A" w14:textId="77777777">
            <w:pPr>
              <w:jc w:val="center"/>
              <w:rPr>
                <w:rFonts w:eastAsia="Times New Roman" w:cs="Arial"/>
                <w:b/>
                <w:color w:val="FF0000"/>
              </w:rPr>
            </w:pPr>
            <w:r w:rsidRPr="002B2E87">
              <w:rPr>
                <w:rFonts w:eastAsia="Times New Roman" w:cs="Arial"/>
                <w:b/>
                <w:color w:val="FFFFFF"/>
                <w:sz w:val="20"/>
              </w:rPr>
              <w:lastRenderedPageBreak/>
              <w:t>Section 2: Out of Scope</w:t>
            </w:r>
          </w:p>
        </w:tc>
      </w:tr>
      <w:tr w:rsidRPr="002B2E87" w:rsidR="002B2E87" w:rsidTr="13E168D9" w14:paraId="04CB6E2F" w14:textId="77777777">
        <w:tc>
          <w:tcPr>
            <w:tcW w:w="5000" w:type="pct"/>
            <w:gridSpan w:val="2"/>
            <w:tcBorders>
              <w:bottom w:val="single" w:color="auto" w:sz="4" w:space="0"/>
            </w:tcBorders>
            <w:shd w:val="clear" w:color="auto" w:fill="FFFFFF" w:themeFill="background1"/>
            <w:tcMar/>
          </w:tcPr>
          <w:p w:rsidRPr="00E37B03" w:rsidR="00BA0DBB" w:rsidP="00BA0DBB" w:rsidRDefault="00BA0DBB" w14:paraId="40934191" w14:textId="77777777">
            <w:pPr>
              <w:pStyle w:val="ListParagraph"/>
              <w:numPr>
                <w:ilvl w:val="0"/>
                <w:numId w:val="2"/>
              </w:numPr>
              <w:spacing w:after="0" w:line="240" w:lineRule="auto"/>
              <w:rPr>
                <w:rFonts w:cs="Arial"/>
                <w:szCs w:val="20"/>
              </w:rPr>
            </w:pPr>
            <w:r w:rsidRPr="00E37B03">
              <w:rPr>
                <w:rFonts w:cs="Arial"/>
                <w:szCs w:val="20"/>
              </w:rPr>
              <w:t>Any additional changes</w:t>
            </w:r>
          </w:p>
          <w:p w:rsidRPr="00E37B03" w:rsidR="00BA0DBB" w:rsidP="00BA0DBB" w:rsidRDefault="00BA0DBB" w14:paraId="6C473F99" w14:textId="1A7CD690">
            <w:pPr>
              <w:pStyle w:val="ListParagraph"/>
              <w:numPr>
                <w:ilvl w:val="0"/>
                <w:numId w:val="2"/>
              </w:numPr>
              <w:spacing w:after="0" w:line="240" w:lineRule="auto"/>
              <w:rPr>
                <w:rFonts w:cs="Arial"/>
                <w:szCs w:val="20"/>
              </w:rPr>
            </w:pPr>
            <w:r w:rsidRPr="00E37B03">
              <w:rPr>
                <w:rFonts w:cs="Arial"/>
                <w:szCs w:val="20"/>
              </w:rPr>
              <w:t xml:space="preserve">Market Trials - unless requested by customers </w:t>
            </w:r>
          </w:p>
          <w:p w:rsidR="00BA0DBB" w:rsidP="00BA0DBB" w:rsidRDefault="00BA0DBB" w14:paraId="3DEAE2BF" w14:textId="77777777">
            <w:pPr>
              <w:pStyle w:val="ListParagraph"/>
              <w:spacing w:after="0" w:line="240" w:lineRule="auto"/>
              <w:rPr>
                <w:rFonts w:cs="Arial"/>
              </w:rPr>
            </w:pPr>
            <w:r w:rsidRPr="00E37B03">
              <w:rPr>
                <w:rFonts w:cs="Arial"/>
                <w:szCs w:val="20"/>
              </w:rPr>
              <w:t>Changes to Data Discovery Platform</w:t>
            </w:r>
            <w:r w:rsidRPr="00636B0A">
              <w:rPr>
                <w:rFonts w:cs="Arial"/>
              </w:rPr>
              <w:t xml:space="preserve"> </w:t>
            </w:r>
          </w:p>
          <w:p w:rsidRPr="00BA0DBB" w:rsidR="00D92BA2" w:rsidP="00BA0DBB" w:rsidRDefault="00D92BA2" w14:paraId="32E48B94" w14:textId="0E250985">
            <w:pPr>
              <w:pStyle w:val="ListParagraph"/>
              <w:spacing w:after="0" w:line="240" w:lineRule="auto"/>
              <w:rPr>
                <w:rFonts w:cs="Arial"/>
              </w:rPr>
            </w:pPr>
          </w:p>
        </w:tc>
      </w:tr>
      <w:tr w:rsidRPr="002B2E87" w:rsidR="002B2E87" w:rsidTr="13E168D9" w14:paraId="62FBD337" w14:textId="77777777">
        <w:tc>
          <w:tcPr>
            <w:tcW w:w="5000" w:type="pct"/>
            <w:gridSpan w:val="2"/>
            <w:shd w:val="clear" w:color="auto" w:fill="3E5AA8" w:themeFill="accent1"/>
            <w:tcMar/>
            <w:vAlign w:val="center"/>
          </w:tcPr>
          <w:p w:rsidRPr="002B2E87" w:rsidR="002B2E87" w:rsidP="002B2E87" w:rsidRDefault="002B2E87" w14:paraId="0B4EA425" w14:textId="77777777">
            <w:pPr>
              <w:jc w:val="center"/>
              <w:rPr>
                <w:rFonts w:eastAsia="Times New Roman" w:cs="Arial"/>
                <w:b/>
                <w:szCs w:val="16"/>
              </w:rPr>
            </w:pPr>
            <w:r w:rsidRPr="002B2E87">
              <w:rPr>
                <w:rFonts w:eastAsia="Times New Roman" w:cs="Arial"/>
                <w:b/>
                <w:color w:val="FFFFFF"/>
                <w:sz w:val="20"/>
                <w:szCs w:val="16"/>
              </w:rPr>
              <w:t>Section 3: Funding required to deliver the change</w:t>
            </w:r>
          </w:p>
        </w:tc>
      </w:tr>
      <w:tr w:rsidRPr="002B2E87" w:rsidR="002B2E87" w:rsidTr="13E168D9" w14:paraId="6FD24823" w14:textId="77777777">
        <w:tc>
          <w:tcPr>
            <w:tcW w:w="5000" w:type="pct"/>
            <w:gridSpan w:val="2"/>
            <w:shd w:val="clear" w:color="auto" w:fill="auto"/>
            <w:tcMar/>
          </w:tcPr>
          <w:p w:rsidR="00A22702" w:rsidP="00607F85" w:rsidRDefault="00A22702" w14:paraId="027E8238" w14:textId="77777777">
            <w:pPr>
              <w:rPr>
                <w:noProof/>
              </w:rPr>
            </w:pPr>
          </w:p>
          <w:p w:rsidRPr="00E37B03" w:rsidR="000D252F" w:rsidP="000D252F" w:rsidRDefault="000D252F" w14:paraId="242C1446" w14:textId="77777777">
            <w:pPr>
              <w:rPr>
                <w:rFonts w:eastAsia="Times New Roman" w:cs="Arial"/>
                <w:sz w:val="20"/>
                <w:szCs w:val="20"/>
              </w:rPr>
            </w:pPr>
            <w:r w:rsidRPr="00E37B03">
              <w:rPr>
                <w:rFonts w:eastAsia="Times New Roman" w:cs="Arial"/>
                <w:sz w:val="20"/>
                <w:szCs w:val="20"/>
              </w:rPr>
              <w:t>The following section outlines the proposed costs for XRN5289, including the previously agreed EQR for Design. Costs highlighted in amber are for approval.</w:t>
            </w:r>
          </w:p>
          <w:p w:rsidR="000D252F" w:rsidP="000D252F" w:rsidRDefault="000D252F" w14:paraId="4A1286E3" w14:textId="54F4BCD5">
            <w:pPr>
              <w:rPr>
                <w:rFonts w:eastAsia="Times New Roman" w:cs="Arial"/>
                <w:b/>
                <w:sz w:val="18"/>
                <w:szCs w:val="18"/>
              </w:rPr>
            </w:pPr>
          </w:p>
          <w:p w:rsidR="00062E9C" w:rsidP="000D252F" w:rsidRDefault="00062E9C" w14:paraId="4BFD168A" w14:textId="5572DDB0">
            <w:pPr>
              <w:rPr>
                <w:rFonts w:eastAsia="Times New Roman" w:cs="Arial"/>
                <w:sz w:val="20"/>
                <w:szCs w:val="18"/>
              </w:rPr>
            </w:pPr>
            <w:r w:rsidRPr="00D92BA2">
              <w:rPr>
                <w:rFonts w:eastAsia="Times New Roman" w:cs="Arial"/>
                <w:sz w:val="20"/>
                <w:szCs w:val="18"/>
              </w:rPr>
              <w:t>XRN4780C costs will be covered by the CSSC programme and not under this BER</w:t>
            </w:r>
            <w:r w:rsidRPr="00D92BA2" w:rsidR="00146DE4">
              <w:rPr>
                <w:rFonts w:eastAsia="Times New Roman" w:cs="Arial"/>
                <w:sz w:val="20"/>
                <w:szCs w:val="18"/>
              </w:rPr>
              <w:t>.</w:t>
            </w:r>
          </w:p>
          <w:p w:rsidR="00286EEF" w:rsidP="000D252F" w:rsidRDefault="00286EEF" w14:paraId="32AF925D" w14:textId="77777777">
            <w:pPr>
              <w:rPr>
                <w:rFonts w:eastAsia="Times New Roman" w:cs="Arial"/>
                <w:sz w:val="20"/>
                <w:szCs w:val="18"/>
              </w:rPr>
            </w:pPr>
          </w:p>
          <w:p w:rsidR="00286EEF" w:rsidP="45D7EDE9" w:rsidRDefault="00286EEF" w14:paraId="664B20E9" w14:textId="2A53FDE1">
            <w:pPr>
              <w:rPr>
                <w:rFonts w:eastAsia="Times New Roman" w:cs="Arial"/>
                <w:sz w:val="20"/>
                <w:szCs w:val="20"/>
              </w:rPr>
            </w:pPr>
            <w:r w:rsidRPr="45D7EDE9" w:rsidR="00286EEF">
              <w:rPr>
                <w:rFonts w:eastAsia="Times New Roman" w:cs="Arial"/>
                <w:sz w:val="20"/>
                <w:szCs w:val="20"/>
              </w:rPr>
              <w:t xml:space="preserve">XRN4992a and XRN5188b costs are to be covered by MTB not </w:t>
            </w:r>
            <w:r w:rsidRPr="45D7EDE9" w:rsidR="00286EEF">
              <w:rPr>
                <w:rFonts w:eastAsia="Times New Roman" w:cs="Arial"/>
                <w:sz w:val="20"/>
                <w:szCs w:val="20"/>
              </w:rPr>
              <w:t>under</w:t>
            </w:r>
            <w:r w:rsidRPr="45D7EDE9" w:rsidR="00286EEF">
              <w:rPr>
                <w:rFonts w:eastAsia="Times New Roman" w:cs="Arial"/>
                <w:sz w:val="20"/>
                <w:szCs w:val="20"/>
              </w:rPr>
              <w:t xml:space="preserve"> this BE</w:t>
            </w:r>
          </w:p>
          <w:p w:rsidR="00286EEF" w:rsidP="000D252F" w:rsidRDefault="00286EEF" w14:paraId="73E1CBCD" w14:textId="77777777">
            <w:pPr>
              <w:rPr>
                <w:rFonts w:eastAsia="Times New Roman" w:cs="Arial"/>
                <w:b/>
                <w:sz w:val="18"/>
                <w:szCs w:val="18"/>
              </w:rPr>
            </w:pPr>
          </w:p>
          <w:p w:rsidRPr="002C58D6" w:rsidR="00D92BA2" w:rsidP="000D252F" w:rsidRDefault="00D92BA2" w14:paraId="135DBCEA" w14:textId="77777777">
            <w:pPr>
              <w:rPr>
                <w:rFonts w:eastAsia="Times New Roman" w:cs="Arial"/>
                <w:b/>
                <w:sz w:val="18"/>
                <w:szCs w:val="18"/>
              </w:rPr>
            </w:pPr>
          </w:p>
          <w:p w:rsidR="000D252F" w:rsidP="1D2FE75F" w:rsidRDefault="000D252F" w14:paraId="43CD9AEA" w14:textId="385473EE">
            <w:pPr>
              <w:rPr>
                <w:rFonts w:cs="Arial"/>
                <w:b/>
                <w:bCs/>
                <w:sz w:val="18"/>
                <w:szCs w:val="18"/>
                <w:u w:val="single"/>
              </w:rPr>
            </w:pPr>
            <w:r w:rsidRPr="1D2FE75F">
              <w:rPr>
                <w:rFonts w:cs="Arial"/>
                <w:b/>
                <w:bCs/>
                <w:sz w:val="18"/>
                <w:szCs w:val="18"/>
                <w:u w:val="single"/>
              </w:rPr>
              <w:lastRenderedPageBreak/>
              <w:t xml:space="preserve">BER Costs </w:t>
            </w:r>
          </w:p>
          <w:p w:rsidRPr="002C58D6" w:rsidR="00286EEF" w:rsidP="1D2FE75F" w:rsidRDefault="00286EEF" w14:paraId="764879BA" w14:textId="77777777">
            <w:pPr>
              <w:rPr>
                <w:rFonts w:cs="Arial"/>
                <w:b/>
                <w:bCs/>
                <w:sz w:val="18"/>
                <w:szCs w:val="18"/>
                <w:u w:val="single"/>
              </w:rPr>
            </w:pPr>
            <w:bookmarkStart w:name="_GoBack" w:id="0"/>
            <w:bookmarkEnd w:id="0"/>
          </w:p>
          <w:p w:rsidR="000E530C" w:rsidP="038344A4" w:rsidRDefault="000E530C" w14:paraId="129D17CC" w14:textId="41EB405E">
            <w:pPr>
              <w:pStyle w:val="Normal"/>
              <w:rPr>
                <w:rFonts w:ascii="Arial" w:hAnsi="Arial" w:eastAsia="" w:cs=""/>
              </w:rPr>
            </w:pPr>
            <w:r w:rsidR="373F6E64">
              <w:drawing>
                <wp:inline wp14:editId="65F41620" wp14:anchorId="6731A2EE">
                  <wp:extent cx="6178196" cy="1042571"/>
                  <wp:effectExtent l="0" t="0" r="0" b="0"/>
                  <wp:docPr id="1555606783" name="" title=""/>
                  <wp:cNvGraphicFramePr>
                    <a:graphicFrameLocks noChangeAspect="1"/>
                  </wp:cNvGraphicFramePr>
                  <a:graphic>
                    <a:graphicData uri="http://schemas.openxmlformats.org/drawingml/2006/picture">
                      <pic:pic>
                        <pic:nvPicPr>
                          <pic:cNvPr id="0" name=""/>
                          <pic:cNvPicPr/>
                        </pic:nvPicPr>
                        <pic:blipFill>
                          <a:blip r:embed="Rc15e11a155ab43d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178196" cy="1042571"/>
                          </a:xfrm>
                          <a:prstGeom prst="rect">
                            <a:avLst/>
                          </a:prstGeom>
                        </pic:spPr>
                      </pic:pic>
                    </a:graphicData>
                  </a:graphic>
                </wp:inline>
              </w:drawing>
            </w:r>
          </w:p>
          <w:p w:rsidR="000E530C" w:rsidP="00607F85" w:rsidRDefault="000E530C" w14:paraId="39ACDFC2" w14:textId="77777777">
            <w:pPr>
              <w:rPr>
                <w:rFonts w:cs="Arial"/>
                <w:b/>
                <w:bCs/>
                <w:sz w:val="18"/>
                <w:szCs w:val="18"/>
                <w:u w:val="single"/>
              </w:rPr>
            </w:pPr>
          </w:p>
          <w:p w:rsidR="000E530C" w:rsidP="00607F85" w:rsidRDefault="000E530C" w14:paraId="790DD262" w14:textId="77777777">
            <w:pPr>
              <w:rPr>
                <w:rFonts w:cs="Arial"/>
                <w:b/>
                <w:bCs/>
                <w:sz w:val="18"/>
                <w:szCs w:val="18"/>
                <w:u w:val="single"/>
              </w:rPr>
            </w:pPr>
          </w:p>
          <w:p w:rsidR="000E530C" w:rsidP="00607F85" w:rsidRDefault="00C760B3" w14:paraId="26F845D4" w14:textId="224CFE3A">
            <w:pPr>
              <w:rPr>
                <w:rFonts w:cs="Arial"/>
                <w:b/>
                <w:bCs/>
                <w:sz w:val="18"/>
                <w:szCs w:val="18"/>
                <w:u w:val="single"/>
              </w:rPr>
            </w:pPr>
            <w:r w:rsidRPr="39712EE9">
              <w:rPr>
                <w:rFonts w:cs="Arial"/>
                <w:b/>
                <w:bCs/>
                <w:sz w:val="18"/>
                <w:szCs w:val="18"/>
                <w:u w:val="single"/>
              </w:rPr>
              <w:t>K</w:t>
            </w:r>
            <w:r w:rsidRPr="39712EE9" w:rsidR="00982681">
              <w:rPr>
                <w:rFonts w:cs="Arial"/>
                <w:b/>
                <w:bCs/>
                <w:sz w:val="18"/>
                <w:szCs w:val="18"/>
                <w:u w:val="single"/>
              </w:rPr>
              <w:t>ey</w:t>
            </w:r>
          </w:p>
          <w:p w:rsidR="000E530C" w:rsidP="00607F85" w:rsidRDefault="000E530C" w14:paraId="7EC1BE06" w14:textId="77777777">
            <w:pPr>
              <w:rPr>
                <w:noProof/>
              </w:rPr>
            </w:pPr>
          </w:p>
          <w:p w:rsidRPr="00982681" w:rsidR="00407373" w:rsidP="00607F85" w:rsidRDefault="00223716" w14:paraId="2F5BCCF3" w14:textId="2FA6A442">
            <w:pPr>
              <w:rPr>
                <w:rFonts w:cs="Arial"/>
                <w:b/>
                <w:sz w:val="18"/>
                <w:szCs w:val="18"/>
                <w:u w:val="single"/>
              </w:rPr>
            </w:pPr>
            <w:r>
              <w:rPr>
                <w:noProof/>
              </w:rPr>
              <w:drawing>
                <wp:inline distT="0" distB="0" distL="0" distR="0" wp14:anchorId="2C84B995" wp14:editId="163E7521">
                  <wp:extent cx="6165214" cy="2835275"/>
                  <wp:effectExtent l="0" t="0" r="698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1">
                            <a:extLst>
                              <a:ext uri="{28A0092B-C50C-407E-A947-70E740481C1C}">
                                <a14:useLocalDpi xmlns:a14="http://schemas.microsoft.com/office/drawing/2010/main" val="0"/>
                              </a:ext>
                            </a:extLst>
                          </a:blip>
                          <a:stretch>
                            <a:fillRect/>
                          </a:stretch>
                        </pic:blipFill>
                        <pic:spPr>
                          <a:xfrm>
                            <a:off x="0" y="0"/>
                            <a:ext cx="6165214" cy="2835275"/>
                          </a:xfrm>
                          <a:prstGeom prst="rect">
                            <a:avLst/>
                          </a:prstGeom>
                        </pic:spPr>
                      </pic:pic>
                    </a:graphicData>
                  </a:graphic>
                </wp:inline>
              </w:drawing>
            </w:r>
          </w:p>
        </w:tc>
      </w:tr>
      <w:tr w:rsidRPr="002B2E87" w:rsidR="002B2E87" w:rsidTr="13E168D9" w14:paraId="6755CD90" w14:textId="77777777">
        <w:tc>
          <w:tcPr>
            <w:tcW w:w="5000" w:type="pct"/>
            <w:gridSpan w:val="2"/>
            <w:shd w:val="clear" w:color="auto" w:fill="3E5AA8" w:themeFill="accent1"/>
            <w:tcMar/>
            <w:vAlign w:val="center"/>
          </w:tcPr>
          <w:p w:rsidRPr="002B2E87" w:rsidR="002B2E87" w:rsidP="002B2E87" w:rsidRDefault="002B2E87" w14:paraId="712659F4" w14:textId="5E9B840D">
            <w:pPr>
              <w:jc w:val="center"/>
              <w:rPr>
                <w:rFonts w:eastAsia="Times New Roman" w:cs="Arial"/>
                <w:b/>
                <w:szCs w:val="16"/>
              </w:rPr>
            </w:pPr>
            <w:r w:rsidRPr="002B2E87">
              <w:rPr>
                <w:rFonts w:eastAsia="Times New Roman" w:cs="Arial"/>
                <w:b/>
                <w:color w:val="FFFFFF"/>
                <w:sz w:val="20"/>
                <w:szCs w:val="16"/>
              </w:rPr>
              <w:lastRenderedPageBreak/>
              <w:t>Section 4: Estimated impact of the service change on service charges</w:t>
            </w:r>
          </w:p>
        </w:tc>
      </w:tr>
      <w:tr w:rsidRPr="002B2E87" w:rsidR="002B2E87" w:rsidTr="13E168D9" w14:paraId="35E72947" w14:textId="77777777">
        <w:tc>
          <w:tcPr>
            <w:tcW w:w="5000" w:type="pct"/>
            <w:gridSpan w:val="2"/>
            <w:shd w:val="clear" w:color="auto" w:fill="auto"/>
            <w:tcMar/>
          </w:tcPr>
          <w:p w:rsidR="002B2E87" w:rsidP="002B2E87" w:rsidRDefault="002B2E87" w14:paraId="61BC0B1E" w14:textId="1387619E">
            <w:pPr>
              <w:contextualSpacing/>
              <w:rPr>
                <w:rFonts w:eastAsia="Times New Roman" w:cs="Arial"/>
                <w:sz w:val="20"/>
              </w:rPr>
            </w:pPr>
          </w:p>
          <w:p w:rsidR="002B04DD" w:rsidP="002B2E87" w:rsidRDefault="002B04DD" w14:paraId="2AD0AA15" w14:textId="26867577">
            <w:pPr>
              <w:contextualSpacing/>
              <w:rPr>
                <w:rFonts w:eastAsia="Times New Roman" w:cs="Arial"/>
                <w:b/>
                <w:sz w:val="20"/>
                <w:u w:val="single"/>
              </w:rPr>
            </w:pPr>
            <w:r>
              <w:rPr>
                <w:rFonts w:eastAsia="Times New Roman" w:cs="Arial"/>
                <w:b/>
                <w:sz w:val="20"/>
                <w:u w:val="single"/>
              </w:rPr>
              <w:t>Impacts to Ongoing Costs</w:t>
            </w:r>
          </w:p>
          <w:p w:rsidR="003E04A9" w:rsidP="002B2E87" w:rsidRDefault="003E04A9" w14:paraId="0F550BA8" w14:textId="21F58E26">
            <w:pPr>
              <w:contextualSpacing/>
              <w:rPr>
                <w:rFonts w:eastAsia="Times New Roman" w:cs="Arial"/>
                <w:b/>
                <w:sz w:val="20"/>
                <w:u w:val="single"/>
              </w:rPr>
            </w:pPr>
          </w:p>
          <w:tbl>
            <w:tblPr>
              <w:tblStyle w:val="TableGrid1"/>
              <w:tblpPr w:leftFromText="180" w:rightFromText="180" w:vertAnchor="text" w:horzAnchor="margin" w:tblpY="-116"/>
              <w:tblOverlap w:val="never"/>
              <w:tblW w:w="9360" w:type="dxa"/>
              <w:tblLayout w:type="fixed"/>
              <w:tblLook w:val="04A0" w:firstRow="1" w:lastRow="0" w:firstColumn="1" w:lastColumn="0" w:noHBand="0" w:noVBand="1"/>
            </w:tblPr>
            <w:tblGrid>
              <w:gridCol w:w="960"/>
              <w:gridCol w:w="2835"/>
              <w:gridCol w:w="2765"/>
              <w:gridCol w:w="2800"/>
            </w:tblGrid>
            <w:tr w:rsidRPr="00E45748" w:rsidR="002B04DD" w:rsidTr="6EEFDFBD" w14:paraId="53A61A4E" w14:textId="77777777">
              <w:trPr>
                <w:trHeight w:val="520"/>
              </w:trPr>
              <w:tc>
                <w:tcPr>
                  <w:tcW w:w="960" w:type="dxa"/>
                  <w:hideMark/>
                </w:tcPr>
                <w:p w:rsidRPr="00E45748" w:rsidR="002B04DD" w:rsidP="002B04DD" w:rsidRDefault="002B04DD" w14:paraId="10A86043" w14:textId="69C436B7">
                  <w:pPr>
                    <w:jc w:val="center"/>
                    <w:rPr>
                      <w:rFonts w:eastAsia="Times New Roman" w:cs="Arial"/>
                      <w:b/>
                      <w:bCs/>
                      <w:color w:val="000000"/>
                      <w:sz w:val="20"/>
                      <w:szCs w:val="20"/>
                    </w:rPr>
                  </w:pPr>
                  <w:r>
                    <w:rPr>
                      <w:rFonts w:cs="Arial"/>
                      <w:b/>
                      <w:bCs/>
                      <w:color w:val="000000"/>
                      <w:sz w:val="20"/>
                      <w:szCs w:val="20"/>
                    </w:rPr>
                    <w:t>XRN</w:t>
                  </w:r>
                </w:p>
              </w:tc>
              <w:tc>
                <w:tcPr>
                  <w:tcW w:w="2835" w:type="dxa"/>
                  <w:hideMark/>
                </w:tcPr>
                <w:p w:rsidRPr="00E45748" w:rsidR="002B04DD" w:rsidP="002B04DD" w:rsidRDefault="002B04DD" w14:paraId="26819E6B" w14:textId="77777777">
                  <w:pPr>
                    <w:jc w:val="center"/>
                    <w:rPr>
                      <w:rFonts w:eastAsia="Times New Roman" w:cs="Arial"/>
                      <w:b/>
                      <w:bCs/>
                      <w:color w:val="000000"/>
                      <w:sz w:val="20"/>
                      <w:szCs w:val="20"/>
                    </w:rPr>
                  </w:pPr>
                  <w:r>
                    <w:rPr>
                      <w:rFonts w:cs="Arial"/>
                      <w:b/>
                      <w:bCs/>
                      <w:color w:val="000000"/>
                      <w:sz w:val="20"/>
                      <w:szCs w:val="20"/>
                    </w:rPr>
                    <w:t>Xoserve Service Area</w:t>
                  </w:r>
                </w:p>
              </w:tc>
              <w:tc>
                <w:tcPr>
                  <w:tcW w:w="2765" w:type="dxa"/>
                  <w:hideMark/>
                </w:tcPr>
                <w:p w:rsidRPr="00E45748" w:rsidR="002B04DD" w:rsidP="002B04DD" w:rsidRDefault="002B04DD" w14:paraId="55A72B90" w14:textId="77777777">
                  <w:pPr>
                    <w:jc w:val="center"/>
                    <w:rPr>
                      <w:rFonts w:eastAsia="Times New Roman" w:cs="Arial"/>
                      <w:b/>
                      <w:bCs/>
                      <w:color w:val="000000"/>
                      <w:sz w:val="20"/>
                      <w:szCs w:val="20"/>
                    </w:rPr>
                  </w:pPr>
                  <w:r>
                    <w:rPr>
                      <w:rFonts w:cs="Arial"/>
                      <w:b/>
                      <w:bCs/>
                      <w:color w:val="000000"/>
                      <w:sz w:val="20"/>
                      <w:szCs w:val="20"/>
                    </w:rPr>
                    <w:t>Impact</w:t>
                  </w:r>
                </w:p>
              </w:tc>
              <w:tc>
                <w:tcPr>
                  <w:tcW w:w="2800" w:type="dxa"/>
                  <w:hideMark/>
                </w:tcPr>
                <w:p w:rsidRPr="00E45748" w:rsidR="002B04DD" w:rsidP="002B04DD" w:rsidRDefault="002B04DD" w14:paraId="093F121A" w14:textId="77777777">
                  <w:pPr>
                    <w:jc w:val="center"/>
                    <w:rPr>
                      <w:rFonts w:eastAsia="Times New Roman" w:cs="Arial"/>
                      <w:b/>
                      <w:bCs/>
                      <w:color w:val="000000"/>
                      <w:sz w:val="20"/>
                      <w:szCs w:val="20"/>
                    </w:rPr>
                  </w:pPr>
                  <w:r>
                    <w:rPr>
                      <w:rFonts w:cs="Arial"/>
                      <w:b/>
                      <w:bCs/>
                      <w:color w:val="000000"/>
                      <w:sz w:val="20"/>
                      <w:szCs w:val="20"/>
                    </w:rPr>
                    <w:t>(+/-) Projected Change in Annual Cost</w:t>
                  </w:r>
                </w:p>
              </w:tc>
            </w:tr>
            <w:tr w:rsidRPr="00E45748" w:rsidR="001E398E" w:rsidTr="001E398E" w14:paraId="72478B3F" w14:textId="77777777">
              <w:trPr>
                <w:trHeight w:val="690"/>
              </w:trPr>
              <w:tc>
                <w:tcPr>
                  <w:tcW w:w="960" w:type="dxa"/>
                  <w:vAlign w:val="center"/>
                  <w:hideMark/>
                </w:tcPr>
                <w:p w:rsidRPr="00E45748" w:rsidR="001E398E" w:rsidP="001E398E" w:rsidRDefault="001E398E" w14:paraId="264BF848" w14:textId="77777777">
                  <w:pPr>
                    <w:jc w:val="right"/>
                    <w:rPr>
                      <w:rFonts w:eastAsia="Times New Roman" w:cs="Arial"/>
                      <w:color w:val="000000"/>
                      <w:sz w:val="18"/>
                      <w:szCs w:val="18"/>
                    </w:rPr>
                  </w:pPr>
                  <w:r>
                    <w:rPr>
                      <w:rFonts w:cs="Arial"/>
                      <w:color w:val="000000"/>
                      <w:sz w:val="18"/>
                      <w:szCs w:val="18"/>
                    </w:rPr>
                    <w:t>4941</w:t>
                  </w:r>
                </w:p>
              </w:tc>
              <w:tc>
                <w:tcPr>
                  <w:tcW w:w="2835" w:type="dxa"/>
                  <w:vAlign w:val="center"/>
                  <w:hideMark/>
                </w:tcPr>
                <w:p w:rsidR="00CD3B81" w:rsidP="001E398E" w:rsidRDefault="001E398E" w14:paraId="2501D4A7" w14:textId="77777777">
                  <w:pPr>
                    <w:rPr>
                      <w:rFonts w:cs="Arial"/>
                      <w:color w:val="000000"/>
                      <w:sz w:val="18"/>
                      <w:szCs w:val="18"/>
                    </w:rPr>
                  </w:pPr>
                  <w:r>
                    <w:rPr>
                      <w:rFonts w:cs="Arial"/>
                      <w:color w:val="000000"/>
                      <w:sz w:val="18"/>
                      <w:szCs w:val="18"/>
                    </w:rPr>
                    <w:t xml:space="preserve">Service area 1: Manage </w:t>
                  </w:r>
                  <w:r w:rsidR="00DD55C4">
                    <w:rPr>
                      <w:rFonts w:cs="Arial"/>
                      <w:color w:val="000000"/>
                      <w:sz w:val="18"/>
                      <w:szCs w:val="18"/>
                    </w:rPr>
                    <w:t>Shipper Transfers</w:t>
                  </w:r>
                </w:p>
                <w:p w:rsidRPr="00DD55C4" w:rsidR="001E398E" w:rsidP="001E398E" w:rsidRDefault="001E398E" w14:paraId="4B80A2BE" w14:textId="2595A045">
                  <w:pPr>
                    <w:rPr>
                      <w:rFonts w:cs="Arial"/>
                      <w:color w:val="000000"/>
                      <w:sz w:val="18"/>
                      <w:szCs w:val="18"/>
                    </w:rPr>
                  </w:pPr>
                  <w:r>
                    <w:rPr>
                      <w:rFonts w:cs="Arial"/>
                      <w:color w:val="000000"/>
                      <w:sz w:val="18"/>
                      <w:szCs w:val="18"/>
                    </w:rPr>
                    <w:t>DS-CS SA1 – 56</w:t>
                  </w:r>
                </w:p>
              </w:tc>
              <w:tc>
                <w:tcPr>
                  <w:tcW w:w="2765" w:type="dxa"/>
                  <w:vAlign w:val="center"/>
                  <w:hideMark/>
                </w:tcPr>
                <w:p w:rsidRPr="00E45748" w:rsidR="001E398E" w:rsidP="001E398E" w:rsidRDefault="001E398E" w14:paraId="20F042E5" w14:textId="77777777">
                  <w:pPr>
                    <w:jc w:val="center"/>
                    <w:rPr>
                      <w:rFonts w:eastAsia="Times New Roman" w:cs="Arial"/>
                      <w:color w:val="000000"/>
                      <w:sz w:val="18"/>
                      <w:szCs w:val="18"/>
                    </w:rPr>
                  </w:pPr>
                  <w:r>
                    <w:rPr>
                      <w:rFonts w:cs="Arial"/>
                      <w:color w:val="000000"/>
                      <w:sz w:val="18"/>
                      <w:szCs w:val="18"/>
                    </w:rPr>
                    <w:t>Technical Operations additional Monitoring</w:t>
                  </w:r>
                </w:p>
              </w:tc>
              <w:tc>
                <w:tcPr>
                  <w:tcW w:w="2800" w:type="dxa"/>
                  <w:hideMark/>
                </w:tcPr>
                <w:p w:rsidRPr="001E398E" w:rsidR="001E398E" w:rsidP="001E398E" w:rsidRDefault="001E398E" w14:paraId="3C4305F0" w14:textId="6EF56840">
                  <w:pPr>
                    <w:jc w:val="right"/>
                    <w:rPr>
                      <w:rFonts w:eastAsia="Times New Roman" w:cs="Arial"/>
                      <w:color w:val="000000"/>
                      <w:sz w:val="18"/>
                      <w:szCs w:val="18"/>
                    </w:rPr>
                  </w:pPr>
                  <w:r w:rsidRPr="001E398E">
                    <w:rPr>
                      <w:rFonts w:cs="Arial"/>
                      <w:color w:val="000000"/>
                      <w:sz w:val="18"/>
                    </w:rPr>
                    <w:t>£5,101.20</w:t>
                  </w:r>
                </w:p>
              </w:tc>
            </w:tr>
            <w:tr w:rsidRPr="00E45748" w:rsidR="00DD55C4" w:rsidTr="00946478" w14:paraId="39954669" w14:textId="77777777">
              <w:trPr>
                <w:trHeight w:val="290"/>
              </w:trPr>
              <w:tc>
                <w:tcPr>
                  <w:tcW w:w="960" w:type="dxa"/>
                  <w:vAlign w:val="center"/>
                  <w:hideMark/>
                </w:tcPr>
                <w:p w:rsidRPr="00E45748" w:rsidR="00DD55C4" w:rsidP="00DD55C4" w:rsidRDefault="00DD55C4" w14:paraId="3DB5DF88" w14:textId="77777777">
                  <w:pPr>
                    <w:jc w:val="right"/>
                    <w:rPr>
                      <w:rFonts w:eastAsia="Times New Roman" w:cs="Arial"/>
                      <w:color w:val="000000"/>
                      <w:sz w:val="18"/>
                      <w:szCs w:val="18"/>
                    </w:rPr>
                  </w:pPr>
                  <w:r>
                    <w:rPr>
                      <w:rFonts w:cs="Arial"/>
                      <w:color w:val="000000"/>
                      <w:sz w:val="18"/>
                      <w:szCs w:val="18"/>
                    </w:rPr>
                    <w:t>5007</w:t>
                  </w:r>
                </w:p>
              </w:tc>
              <w:tc>
                <w:tcPr>
                  <w:tcW w:w="2835" w:type="dxa"/>
                  <w:vAlign w:val="center"/>
                  <w:hideMark/>
                </w:tcPr>
                <w:p w:rsidRPr="00DD55C4" w:rsidR="00DD55C4" w:rsidP="00DD55C4" w:rsidRDefault="00DD55C4" w14:paraId="054D30C3" w14:textId="7151CD2B">
                  <w:pPr>
                    <w:rPr>
                      <w:rFonts w:cs="Arial"/>
                      <w:color w:val="000000"/>
                      <w:sz w:val="18"/>
                      <w:szCs w:val="18"/>
                    </w:rPr>
                  </w:pPr>
                  <w:r w:rsidRPr="004038F0">
                    <w:rPr>
                      <w:rFonts w:cs="Arial"/>
                      <w:color w:val="000000"/>
                      <w:sz w:val="18"/>
                      <w:szCs w:val="18"/>
                    </w:rPr>
                    <w:t xml:space="preserve">Service Area 4 - Meter Read/Asset processing  </w:t>
                  </w:r>
                </w:p>
              </w:tc>
              <w:tc>
                <w:tcPr>
                  <w:tcW w:w="2765" w:type="dxa"/>
                  <w:hideMark/>
                </w:tcPr>
                <w:p w:rsidRPr="00E45748" w:rsidR="00DD55C4" w:rsidP="00DD55C4" w:rsidRDefault="00DD55C4" w14:paraId="7D545FD5" w14:textId="77777777">
                  <w:pPr>
                    <w:jc w:val="center"/>
                    <w:rPr>
                      <w:rFonts w:eastAsia="Times New Roman" w:cs="Arial"/>
                      <w:color w:val="000000"/>
                      <w:sz w:val="18"/>
                      <w:szCs w:val="18"/>
                    </w:rPr>
                  </w:pPr>
                  <w:r w:rsidRPr="007E4EA6">
                    <w:rPr>
                      <w:rFonts w:cs="Arial"/>
                      <w:color w:val="000000"/>
                      <w:sz w:val="18"/>
                      <w:szCs w:val="18"/>
                    </w:rPr>
                    <w:t>Technical Operations additional Monitoring</w:t>
                  </w:r>
                </w:p>
              </w:tc>
              <w:tc>
                <w:tcPr>
                  <w:tcW w:w="2800" w:type="dxa"/>
                  <w:hideMark/>
                </w:tcPr>
                <w:p w:rsidRPr="001E398E" w:rsidR="00DD55C4" w:rsidP="00DD55C4" w:rsidRDefault="00DD55C4" w14:paraId="28ED7B05" w14:textId="2F288E6D">
                  <w:pPr>
                    <w:jc w:val="right"/>
                    <w:rPr>
                      <w:rFonts w:eastAsia="Times New Roman" w:cs="Arial"/>
                      <w:color w:val="000000"/>
                      <w:sz w:val="18"/>
                      <w:szCs w:val="18"/>
                    </w:rPr>
                  </w:pPr>
                  <w:r w:rsidRPr="001E398E">
                    <w:rPr>
                      <w:rFonts w:cs="Arial"/>
                      <w:color w:val="000000"/>
                      <w:sz w:val="18"/>
                    </w:rPr>
                    <w:t>£1,700.40</w:t>
                  </w:r>
                </w:p>
              </w:tc>
            </w:tr>
            <w:tr w:rsidRPr="00E45748" w:rsidR="00DD55C4" w:rsidTr="001E398E" w14:paraId="5C1FC16B" w14:textId="77777777">
              <w:trPr>
                <w:trHeight w:val="290"/>
              </w:trPr>
              <w:tc>
                <w:tcPr>
                  <w:tcW w:w="960" w:type="dxa"/>
                  <w:vAlign w:val="center"/>
                  <w:hideMark/>
                </w:tcPr>
                <w:p w:rsidRPr="00E45748" w:rsidR="00DD55C4" w:rsidP="00DD55C4" w:rsidRDefault="00DD55C4" w14:paraId="2EBAEA96" w14:textId="77777777">
                  <w:pPr>
                    <w:jc w:val="right"/>
                    <w:rPr>
                      <w:rFonts w:eastAsia="Times New Roman" w:cs="Arial"/>
                      <w:color w:val="000000"/>
                      <w:sz w:val="18"/>
                      <w:szCs w:val="18"/>
                    </w:rPr>
                  </w:pPr>
                  <w:r>
                    <w:rPr>
                      <w:rFonts w:cs="Arial"/>
                      <w:color w:val="000000"/>
                      <w:sz w:val="18"/>
                      <w:szCs w:val="18"/>
                    </w:rPr>
                    <w:t>5072</w:t>
                  </w:r>
                </w:p>
              </w:tc>
              <w:tc>
                <w:tcPr>
                  <w:tcW w:w="2835" w:type="dxa"/>
                  <w:vAlign w:val="center"/>
                  <w:hideMark/>
                </w:tcPr>
                <w:p w:rsidRPr="00DD55C4" w:rsidR="00DD55C4" w:rsidP="00DD55C4" w:rsidRDefault="00DD55C4" w14:paraId="53C6380F" w14:textId="3E8B6DD8">
                  <w:pPr>
                    <w:rPr>
                      <w:rFonts w:cs="Arial"/>
                      <w:color w:val="000000"/>
                      <w:sz w:val="18"/>
                      <w:szCs w:val="18"/>
                    </w:rPr>
                  </w:pPr>
                  <w:r w:rsidRPr="004038F0">
                    <w:rPr>
                      <w:rFonts w:cs="Arial"/>
                      <w:color w:val="000000"/>
                      <w:sz w:val="18"/>
                      <w:szCs w:val="18"/>
                    </w:rPr>
                    <w:t xml:space="preserve">Service Area 4 - Meter Read/Asset processing  </w:t>
                  </w:r>
                </w:p>
              </w:tc>
              <w:tc>
                <w:tcPr>
                  <w:tcW w:w="2765" w:type="dxa"/>
                  <w:hideMark/>
                </w:tcPr>
                <w:p w:rsidRPr="00E45748" w:rsidR="00DD55C4" w:rsidP="00DD55C4" w:rsidRDefault="00DD55C4" w14:paraId="766180CC" w14:textId="77777777">
                  <w:pPr>
                    <w:jc w:val="center"/>
                    <w:rPr>
                      <w:rFonts w:eastAsia="Times New Roman" w:cs="Arial"/>
                      <w:color w:val="000000"/>
                      <w:sz w:val="18"/>
                      <w:szCs w:val="18"/>
                    </w:rPr>
                  </w:pPr>
                  <w:r w:rsidRPr="007E4EA6">
                    <w:rPr>
                      <w:rFonts w:cs="Arial"/>
                      <w:color w:val="000000"/>
                      <w:sz w:val="18"/>
                      <w:szCs w:val="18"/>
                    </w:rPr>
                    <w:t>Technical Operations additional Monitoring</w:t>
                  </w:r>
                </w:p>
              </w:tc>
              <w:tc>
                <w:tcPr>
                  <w:tcW w:w="2800" w:type="dxa"/>
                  <w:hideMark/>
                </w:tcPr>
                <w:p w:rsidRPr="001E398E" w:rsidR="00DD55C4" w:rsidP="00DD55C4" w:rsidRDefault="00DD55C4" w14:paraId="1596FACA" w14:textId="31C41DDB">
                  <w:pPr>
                    <w:jc w:val="right"/>
                    <w:rPr>
                      <w:rFonts w:eastAsia="Times New Roman" w:cs="Arial"/>
                      <w:color w:val="000000"/>
                      <w:sz w:val="18"/>
                      <w:szCs w:val="18"/>
                    </w:rPr>
                  </w:pPr>
                  <w:r w:rsidRPr="001E398E">
                    <w:rPr>
                      <w:rFonts w:cs="Arial"/>
                      <w:color w:val="000000"/>
                      <w:sz w:val="18"/>
                    </w:rPr>
                    <w:t>£10,202.40</w:t>
                  </w:r>
                </w:p>
              </w:tc>
            </w:tr>
            <w:tr w:rsidRPr="00E45748" w:rsidR="00DD55C4" w:rsidTr="001E398E" w14:paraId="1AF77B78" w14:textId="77777777">
              <w:trPr>
                <w:trHeight w:val="290"/>
              </w:trPr>
              <w:tc>
                <w:tcPr>
                  <w:tcW w:w="960" w:type="dxa"/>
                  <w:vAlign w:val="center"/>
                </w:tcPr>
                <w:p w:rsidR="00DD55C4" w:rsidP="00DD55C4" w:rsidRDefault="00DD55C4" w14:paraId="494BFBE3" w14:textId="77777777">
                  <w:pPr>
                    <w:jc w:val="right"/>
                    <w:rPr>
                      <w:rFonts w:cs="Arial"/>
                      <w:color w:val="000000"/>
                      <w:sz w:val="18"/>
                      <w:szCs w:val="18"/>
                    </w:rPr>
                  </w:pPr>
                  <w:r>
                    <w:rPr>
                      <w:rFonts w:cs="Arial"/>
                      <w:color w:val="000000"/>
                      <w:sz w:val="18"/>
                      <w:szCs w:val="18"/>
                    </w:rPr>
                    <w:t>5142</w:t>
                  </w:r>
                </w:p>
              </w:tc>
              <w:tc>
                <w:tcPr>
                  <w:tcW w:w="2835" w:type="dxa"/>
                  <w:vAlign w:val="bottom"/>
                </w:tcPr>
                <w:p w:rsidR="00DD55C4" w:rsidP="00DD55C4" w:rsidRDefault="00DD55C4" w14:paraId="030B2164" w14:textId="76D7AE74">
                  <w:pPr>
                    <w:rPr>
                      <w:rFonts w:cs="Arial"/>
                      <w:color w:val="000000"/>
                      <w:sz w:val="18"/>
                      <w:szCs w:val="18"/>
                    </w:rPr>
                  </w:pPr>
                  <w:r w:rsidRPr="00DD55C4">
                    <w:rPr>
                      <w:rFonts w:cs="Arial"/>
                      <w:color w:val="000000"/>
                      <w:sz w:val="18"/>
                      <w:szCs w:val="18"/>
                    </w:rPr>
                    <w:t> TBC</w:t>
                  </w:r>
                </w:p>
              </w:tc>
              <w:tc>
                <w:tcPr>
                  <w:tcW w:w="2765" w:type="dxa"/>
                </w:tcPr>
                <w:p w:rsidR="00DD55C4" w:rsidP="00DD55C4" w:rsidRDefault="00DD55C4" w14:paraId="5D0C9859" w14:textId="77777777">
                  <w:pPr>
                    <w:jc w:val="center"/>
                    <w:rPr>
                      <w:rFonts w:cs="Arial"/>
                      <w:color w:val="000000"/>
                      <w:sz w:val="18"/>
                      <w:szCs w:val="18"/>
                    </w:rPr>
                  </w:pPr>
                  <w:r w:rsidRPr="007E4EA6">
                    <w:rPr>
                      <w:rFonts w:cs="Arial"/>
                      <w:color w:val="000000"/>
                      <w:sz w:val="18"/>
                      <w:szCs w:val="18"/>
                    </w:rPr>
                    <w:t>Technical Operations additional Monitoring</w:t>
                  </w:r>
                </w:p>
              </w:tc>
              <w:tc>
                <w:tcPr>
                  <w:tcW w:w="2800" w:type="dxa"/>
                </w:tcPr>
                <w:p w:rsidRPr="001E398E" w:rsidR="00DD55C4" w:rsidP="00DD55C4" w:rsidRDefault="00DD55C4" w14:paraId="473D6FD1" w14:textId="3DBBC9CB">
                  <w:pPr>
                    <w:jc w:val="right"/>
                    <w:rPr>
                      <w:rFonts w:cs="Arial"/>
                      <w:color w:val="000000"/>
                      <w:sz w:val="18"/>
                      <w:szCs w:val="18"/>
                    </w:rPr>
                  </w:pPr>
                  <w:r w:rsidRPr="001E398E">
                    <w:rPr>
                      <w:rFonts w:cs="Arial"/>
                      <w:color w:val="000000"/>
                      <w:sz w:val="18"/>
                    </w:rPr>
                    <w:t>£1,700.40</w:t>
                  </w:r>
                </w:p>
              </w:tc>
            </w:tr>
            <w:tr w:rsidRPr="00E45748" w:rsidR="00DD55C4" w:rsidTr="001E398E" w14:paraId="1138C094" w14:textId="77777777">
              <w:trPr>
                <w:trHeight w:val="290"/>
              </w:trPr>
              <w:tc>
                <w:tcPr>
                  <w:tcW w:w="960" w:type="dxa"/>
                  <w:vAlign w:val="center"/>
                </w:tcPr>
                <w:p w:rsidR="00DD55C4" w:rsidP="00DD55C4" w:rsidRDefault="00DD55C4" w14:paraId="23487C91" w14:textId="77777777">
                  <w:pPr>
                    <w:jc w:val="right"/>
                    <w:rPr>
                      <w:rFonts w:cs="Arial"/>
                      <w:color w:val="000000"/>
                      <w:sz w:val="18"/>
                      <w:szCs w:val="18"/>
                    </w:rPr>
                  </w:pPr>
                  <w:r>
                    <w:rPr>
                      <w:rFonts w:cs="Arial"/>
                      <w:color w:val="000000"/>
                      <w:sz w:val="18"/>
                      <w:szCs w:val="18"/>
                    </w:rPr>
                    <w:t>5180</w:t>
                  </w:r>
                </w:p>
              </w:tc>
              <w:tc>
                <w:tcPr>
                  <w:tcW w:w="2835" w:type="dxa"/>
                  <w:vAlign w:val="center"/>
                </w:tcPr>
                <w:p w:rsidR="00DD55C4" w:rsidP="00DD55C4" w:rsidRDefault="00DD55C4" w14:paraId="2EDF9594" w14:textId="3900138A">
                  <w:pPr>
                    <w:rPr>
                      <w:rFonts w:cs="Arial"/>
                      <w:color w:val="000000"/>
                      <w:sz w:val="18"/>
                      <w:szCs w:val="18"/>
                    </w:rPr>
                  </w:pPr>
                  <w:r w:rsidRPr="004038F0">
                    <w:rPr>
                      <w:rFonts w:cs="Arial"/>
                      <w:color w:val="000000"/>
                      <w:sz w:val="18"/>
                      <w:szCs w:val="18"/>
                    </w:rPr>
                    <w:t xml:space="preserve">Service Area 4 - Meter Read/Asset processing  </w:t>
                  </w:r>
                </w:p>
              </w:tc>
              <w:tc>
                <w:tcPr>
                  <w:tcW w:w="2765" w:type="dxa"/>
                </w:tcPr>
                <w:p w:rsidR="00DD55C4" w:rsidP="00DD55C4" w:rsidRDefault="00DD55C4" w14:paraId="527A0C81" w14:textId="77777777">
                  <w:pPr>
                    <w:jc w:val="center"/>
                    <w:rPr>
                      <w:rFonts w:cs="Arial"/>
                      <w:color w:val="000000"/>
                      <w:sz w:val="18"/>
                      <w:szCs w:val="18"/>
                    </w:rPr>
                  </w:pPr>
                  <w:r w:rsidRPr="007E4EA6">
                    <w:rPr>
                      <w:rFonts w:cs="Arial"/>
                      <w:color w:val="000000"/>
                      <w:sz w:val="18"/>
                      <w:szCs w:val="18"/>
                    </w:rPr>
                    <w:t>Technical Operations additional Monitoring</w:t>
                  </w:r>
                </w:p>
              </w:tc>
              <w:tc>
                <w:tcPr>
                  <w:tcW w:w="2800" w:type="dxa"/>
                </w:tcPr>
                <w:p w:rsidRPr="001E398E" w:rsidR="00DD55C4" w:rsidP="00DD55C4" w:rsidRDefault="00DD55C4" w14:paraId="2F3EA47B" w14:textId="778D9E11">
                  <w:pPr>
                    <w:jc w:val="right"/>
                    <w:rPr>
                      <w:rFonts w:cs="Arial"/>
                      <w:color w:val="000000"/>
                      <w:sz w:val="18"/>
                      <w:szCs w:val="18"/>
                    </w:rPr>
                  </w:pPr>
                  <w:r w:rsidRPr="001E398E">
                    <w:rPr>
                      <w:rFonts w:cs="Arial"/>
                      <w:color w:val="000000"/>
                      <w:sz w:val="18"/>
                    </w:rPr>
                    <w:t>£5,101.20</w:t>
                  </w:r>
                </w:p>
              </w:tc>
            </w:tr>
            <w:tr w:rsidRPr="00E45748" w:rsidR="00DD55C4" w:rsidTr="003F338D" w14:paraId="2DAB426E" w14:textId="77777777">
              <w:trPr>
                <w:trHeight w:val="290"/>
              </w:trPr>
              <w:tc>
                <w:tcPr>
                  <w:tcW w:w="6560" w:type="dxa"/>
                  <w:gridSpan w:val="3"/>
                  <w:vAlign w:val="center"/>
                </w:tcPr>
                <w:p w:rsidRPr="007E4EA6" w:rsidR="00DD55C4" w:rsidP="00DD55C4" w:rsidRDefault="00DD55C4" w14:paraId="392A9E8B" w14:textId="33D1F412">
                  <w:pPr>
                    <w:jc w:val="right"/>
                    <w:rPr>
                      <w:rFonts w:cs="Arial"/>
                      <w:color w:val="000000"/>
                      <w:sz w:val="18"/>
                      <w:szCs w:val="18"/>
                    </w:rPr>
                  </w:pPr>
                  <w:r>
                    <w:rPr>
                      <w:rFonts w:cs="Arial"/>
                      <w:color w:val="000000"/>
                      <w:sz w:val="18"/>
                      <w:szCs w:val="18"/>
                    </w:rPr>
                    <w:t>Total</w:t>
                  </w:r>
                </w:p>
              </w:tc>
              <w:tc>
                <w:tcPr>
                  <w:tcW w:w="2800" w:type="dxa"/>
                  <w:vAlign w:val="center"/>
                </w:tcPr>
                <w:p w:rsidRPr="6EEFDFBD" w:rsidR="00DD55C4" w:rsidP="00DD55C4" w:rsidRDefault="00DD55C4" w14:paraId="3310FC49" w14:textId="65A49400">
                  <w:pPr>
                    <w:jc w:val="right"/>
                    <w:rPr>
                      <w:rFonts w:cs="Arial"/>
                      <w:color w:val="000000" w:themeColor="text1"/>
                      <w:sz w:val="18"/>
                      <w:szCs w:val="18"/>
                    </w:rPr>
                  </w:pPr>
                  <w:r>
                    <w:rPr>
                      <w:rFonts w:cs="Arial"/>
                      <w:color w:val="000000" w:themeColor="text1"/>
                      <w:sz w:val="18"/>
                      <w:szCs w:val="18"/>
                    </w:rPr>
                    <w:t>£23,805</w:t>
                  </w:r>
                </w:p>
              </w:tc>
            </w:tr>
          </w:tbl>
          <w:p w:rsidRPr="002B2E87" w:rsidR="001E6419" w:rsidP="002B2E87" w:rsidRDefault="001E6419" w14:paraId="6F8E01C7" w14:textId="132BA8D1">
            <w:pPr>
              <w:contextualSpacing/>
              <w:rPr>
                <w:rFonts w:eastAsia="Times New Roman" w:cs="Arial"/>
                <w:b/>
                <w:szCs w:val="16"/>
              </w:rPr>
            </w:pPr>
          </w:p>
        </w:tc>
      </w:tr>
      <w:tr w:rsidRPr="002B2E87" w:rsidR="002B2E87" w:rsidTr="13E168D9" w14:paraId="005645AB" w14:textId="77777777">
        <w:tc>
          <w:tcPr>
            <w:tcW w:w="5000" w:type="pct"/>
            <w:gridSpan w:val="2"/>
            <w:shd w:val="clear" w:color="auto" w:fill="3E5AA8" w:themeFill="accent1"/>
            <w:tcMar/>
            <w:vAlign w:val="center"/>
          </w:tcPr>
          <w:p w:rsidRPr="002B2E87" w:rsidR="002B2E87" w:rsidP="002B2E87" w:rsidRDefault="002B2E87" w14:paraId="0027578C" w14:textId="77777777">
            <w:pPr>
              <w:jc w:val="center"/>
              <w:rPr>
                <w:rFonts w:eastAsia="Times New Roman" w:cs="Arial"/>
                <w:b/>
                <w:color w:val="FFFFFF"/>
                <w:szCs w:val="16"/>
              </w:rPr>
            </w:pPr>
            <w:r w:rsidRPr="002B2E87">
              <w:rPr>
                <w:rFonts w:eastAsia="Times New Roman" w:cs="Arial"/>
                <w:b/>
                <w:color w:val="FFFFFF"/>
                <w:sz w:val="20"/>
                <w:szCs w:val="16"/>
              </w:rPr>
              <w:t>Section 5: Project plan for delivery of the change</w:t>
            </w:r>
          </w:p>
        </w:tc>
      </w:tr>
      <w:tr w:rsidRPr="002B2E87" w:rsidR="002B2E87" w:rsidTr="13E168D9" w14:paraId="17686922" w14:textId="77777777">
        <w:tc>
          <w:tcPr>
            <w:tcW w:w="5000" w:type="pct"/>
            <w:gridSpan w:val="2"/>
            <w:shd w:val="clear" w:color="auto" w:fill="auto"/>
            <w:tcMar/>
          </w:tcPr>
          <w:p w:rsidR="00B64E4A" w:rsidP="004F226A" w:rsidRDefault="00D07B73" w14:paraId="4BF0156F" w14:textId="03CE6095">
            <w:pPr>
              <w:rPr>
                <w:rFonts w:eastAsia="Times New Roman" w:cs="Arial"/>
                <w:b/>
                <w:sz w:val="20"/>
                <w:szCs w:val="16"/>
              </w:rPr>
            </w:pPr>
            <w:r>
              <w:rPr>
                <w:noProof/>
              </w:rPr>
              <w:drawing>
                <wp:inline distT="0" distB="0" distL="0" distR="0" wp14:anchorId="1F5BF6D1" wp14:editId="309FD465">
                  <wp:extent cx="6165215" cy="1771650"/>
                  <wp:effectExtent l="0" t="0" r="6985" b="0"/>
                  <wp:docPr id="3" name="Picture 2">
                    <a:extLst xmlns:a="http://schemas.openxmlformats.org/drawingml/2006/main">
                      <a:ext uri="{FF2B5EF4-FFF2-40B4-BE49-F238E27FC236}">
                        <a16:creationId xmlns:a16="http://schemas.microsoft.com/office/drawing/2014/main" id="{88DC03C2-DCBF-4FD3-981F-9FFA949662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8DC03C2-DCBF-4FD3-981F-9FFA949662FA}"/>
                              </a:ext>
                            </a:extLst>
                          </pic:cNvPr>
                          <pic:cNvPicPr>
                            <a:picLocks noChangeAspect="1"/>
                          </pic:cNvPicPr>
                        </pic:nvPicPr>
                        <pic:blipFill>
                          <a:blip r:embed="rId22"/>
                          <a:stretch>
                            <a:fillRect/>
                          </a:stretch>
                        </pic:blipFill>
                        <pic:spPr>
                          <a:xfrm>
                            <a:off x="0" y="0"/>
                            <a:ext cx="6165215" cy="1771650"/>
                          </a:xfrm>
                          <a:prstGeom prst="rect">
                            <a:avLst/>
                          </a:prstGeom>
                        </pic:spPr>
                      </pic:pic>
                    </a:graphicData>
                  </a:graphic>
                </wp:inline>
              </w:drawing>
            </w:r>
          </w:p>
          <w:p w:rsidR="0041328B" w:rsidP="001F7F6F" w:rsidRDefault="0041328B" w14:paraId="458FA963" w14:textId="514BD9A4">
            <w:pPr>
              <w:rPr>
                <w:rFonts w:eastAsia="Times New Roman" w:cs="Arial"/>
                <w:b/>
                <w:sz w:val="20"/>
                <w:szCs w:val="16"/>
              </w:rPr>
            </w:pPr>
          </w:p>
          <w:tbl>
            <w:tblPr>
              <w:tblW w:w="7792" w:type="dxa"/>
              <w:tblLayout w:type="fixed"/>
              <w:tblLook w:val="04A0" w:firstRow="1" w:lastRow="0" w:firstColumn="1" w:lastColumn="0" w:noHBand="0" w:noVBand="1"/>
            </w:tblPr>
            <w:tblGrid>
              <w:gridCol w:w="950"/>
              <w:gridCol w:w="1861"/>
              <w:gridCol w:w="236"/>
              <w:gridCol w:w="949"/>
              <w:gridCol w:w="949"/>
              <w:gridCol w:w="949"/>
              <w:gridCol w:w="949"/>
              <w:gridCol w:w="949"/>
            </w:tblGrid>
            <w:tr w:rsidRPr="006B5219" w:rsidR="006B5219" w:rsidTr="00D07B73" w14:paraId="7ACA9699" w14:textId="77777777">
              <w:trPr>
                <w:trHeight w:val="300"/>
              </w:trPr>
              <w:tc>
                <w:tcPr>
                  <w:tcW w:w="950" w:type="dxa"/>
                  <w:tcBorders>
                    <w:top w:val="nil"/>
                    <w:left w:val="nil"/>
                    <w:bottom w:val="nil"/>
                    <w:right w:val="nil"/>
                  </w:tcBorders>
                  <w:shd w:val="clear" w:color="auto" w:fill="00B050"/>
                  <w:noWrap/>
                  <w:vAlign w:val="bottom"/>
                </w:tcPr>
                <w:p w:rsidRPr="006B5219" w:rsidR="006B5219" w:rsidP="006B5219" w:rsidRDefault="006B5219" w14:paraId="2AC8130F" w14:textId="4DCF6DDD">
                  <w:pPr>
                    <w:spacing w:after="0" w:line="240" w:lineRule="auto"/>
                    <w:rPr>
                      <w:rFonts w:ascii="Calibri" w:hAnsi="Calibri" w:eastAsia="Times New Roman" w:cs="Calibri"/>
                      <w:color w:val="000000"/>
                    </w:rPr>
                  </w:pPr>
                </w:p>
              </w:tc>
              <w:tc>
                <w:tcPr>
                  <w:tcW w:w="1861" w:type="dxa"/>
                  <w:tcBorders>
                    <w:top w:val="nil"/>
                    <w:left w:val="nil"/>
                    <w:bottom w:val="nil"/>
                    <w:right w:val="nil"/>
                  </w:tcBorders>
                  <w:shd w:val="clear" w:color="auto" w:fill="auto"/>
                  <w:noWrap/>
                  <w:vAlign w:val="bottom"/>
                </w:tcPr>
                <w:p w:rsidRPr="006B5219" w:rsidR="006B5219" w:rsidP="006B5219" w:rsidRDefault="00D07B73" w14:paraId="5890024F" w14:textId="43693618">
                  <w:pPr>
                    <w:spacing w:after="0" w:line="240" w:lineRule="auto"/>
                    <w:rPr>
                      <w:rFonts w:ascii="Calibri" w:hAnsi="Calibri" w:eastAsia="Times New Roman" w:cs="Calibri"/>
                      <w:color w:val="000000"/>
                    </w:rPr>
                  </w:pPr>
                  <w:r>
                    <w:rPr>
                      <w:rFonts w:ascii="Calibri" w:hAnsi="Calibri" w:eastAsia="Times New Roman" w:cs="Calibri"/>
                      <w:color w:val="000000"/>
                    </w:rPr>
                    <w:t>On Track</w:t>
                  </w:r>
                </w:p>
              </w:tc>
              <w:tc>
                <w:tcPr>
                  <w:tcW w:w="236" w:type="dxa"/>
                  <w:tcBorders>
                    <w:top w:val="nil"/>
                    <w:left w:val="nil"/>
                    <w:bottom w:val="nil"/>
                    <w:right w:val="nil"/>
                  </w:tcBorders>
                  <w:shd w:val="clear" w:color="auto" w:fill="auto"/>
                  <w:noWrap/>
                  <w:vAlign w:val="bottom"/>
                </w:tcPr>
                <w:p w:rsidRPr="006B5219" w:rsidR="006B5219" w:rsidP="006B5219" w:rsidRDefault="006B5219" w14:paraId="27B58511" w14:textId="77777777">
                  <w:pPr>
                    <w:spacing w:after="0" w:line="240" w:lineRule="auto"/>
                    <w:rPr>
                      <w:rFonts w:ascii="Calibri" w:hAnsi="Calibri" w:eastAsia="Times New Roman" w:cs="Calibri"/>
                      <w:color w:val="000000"/>
                    </w:rPr>
                  </w:pPr>
                </w:p>
              </w:tc>
              <w:tc>
                <w:tcPr>
                  <w:tcW w:w="949" w:type="dxa"/>
                  <w:tcBorders>
                    <w:top w:val="nil"/>
                    <w:left w:val="nil"/>
                    <w:bottom w:val="nil"/>
                    <w:right w:val="nil"/>
                  </w:tcBorders>
                  <w:shd w:val="clear" w:color="auto" w:fill="auto"/>
                  <w:noWrap/>
                  <w:vAlign w:val="bottom"/>
                </w:tcPr>
                <w:p w:rsidRPr="006B5219" w:rsidR="006B5219" w:rsidP="006B5219" w:rsidRDefault="006B5219" w14:paraId="79BE9405" w14:textId="77777777">
                  <w:pPr>
                    <w:spacing w:after="0" w:line="240" w:lineRule="auto"/>
                    <w:rPr>
                      <w:rFonts w:ascii="Times New Roman" w:hAnsi="Times New Roman" w:eastAsia="Times New Roman" w:cs="Times New Roman"/>
                      <w:sz w:val="20"/>
                      <w:szCs w:val="20"/>
                    </w:rPr>
                  </w:pPr>
                </w:p>
              </w:tc>
              <w:tc>
                <w:tcPr>
                  <w:tcW w:w="949" w:type="dxa"/>
                  <w:tcBorders>
                    <w:top w:val="nil"/>
                    <w:left w:val="nil"/>
                    <w:bottom w:val="nil"/>
                    <w:right w:val="nil"/>
                  </w:tcBorders>
                  <w:shd w:val="clear" w:color="auto" w:fill="auto"/>
                  <w:noWrap/>
                  <w:vAlign w:val="bottom"/>
                </w:tcPr>
                <w:p w:rsidRPr="006B5219" w:rsidR="006B5219" w:rsidP="006B5219" w:rsidRDefault="006B5219" w14:paraId="1F418286" w14:textId="77777777">
                  <w:pPr>
                    <w:spacing w:after="0" w:line="240" w:lineRule="auto"/>
                    <w:rPr>
                      <w:rFonts w:ascii="Times New Roman" w:hAnsi="Times New Roman" w:eastAsia="Times New Roman" w:cs="Times New Roman"/>
                      <w:sz w:val="20"/>
                      <w:szCs w:val="20"/>
                    </w:rPr>
                  </w:pPr>
                </w:p>
              </w:tc>
              <w:tc>
                <w:tcPr>
                  <w:tcW w:w="949" w:type="dxa"/>
                  <w:tcBorders>
                    <w:top w:val="nil"/>
                    <w:left w:val="nil"/>
                    <w:bottom w:val="nil"/>
                    <w:right w:val="nil"/>
                  </w:tcBorders>
                  <w:shd w:val="clear" w:color="auto" w:fill="auto"/>
                  <w:noWrap/>
                  <w:vAlign w:val="bottom"/>
                </w:tcPr>
                <w:p w:rsidRPr="006B5219" w:rsidR="006B5219" w:rsidP="006B5219" w:rsidRDefault="006B5219" w14:paraId="2F390827" w14:textId="77777777">
                  <w:pPr>
                    <w:spacing w:after="0" w:line="240" w:lineRule="auto"/>
                    <w:rPr>
                      <w:rFonts w:ascii="Times New Roman" w:hAnsi="Times New Roman" w:eastAsia="Times New Roman" w:cs="Times New Roman"/>
                      <w:sz w:val="20"/>
                      <w:szCs w:val="20"/>
                    </w:rPr>
                  </w:pPr>
                </w:p>
              </w:tc>
              <w:tc>
                <w:tcPr>
                  <w:tcW w:w="949" w:type="dxa"/>
                  <w:tcBorders>
                    <w:top w:val="nil"/>
                    <w:left w:val="nil"/>
                    <w:bottom w:val="nil"/>
                    <w:right w:val="nil"/>
                  </w:tcBorders>
                  <w:shd w:val="clear" w:color="auto" w:fill="auto"/>
                  <w:noWrap/>
                  <w:vAlign w:val="bottom"/>
                </w:tcPr>
                <w:p w:rsidRPr="006B5219" w:rsidR="006B5219" w:rsidP="006B5219" w:rsidRDefault="006B5219" w14:paraId="39FA7FDC" w14:textId="77777777">
                  <w:pPr>
                    <w:spacing w:after="0" w:line="240" w:lineRule="auto"/>
                    <w:rPr>
                      <w:rFonts w:ascii="Times New Roman" w:hAnsi="Times New Roman" w:eastAsia="Times New Roman" w:cs="Times New Roman"/>
                      <w:sz w:val="20"/>
                      <w:szCs w:val="20"/>
                    </w:rPr>
                  </w:pPr>
                </w:p>
              </w:tc>
              <w:tc>
                <w:tcPr>
                  <w:tcW w:w="949" w:type="dxa"/>
                  <w:tcBorders>
                    <w:top w:val="nil"/>
                    <w:left w:val="nil"/>
                    <w:bottom w:val="nil"/>
                    <w:right w:val="nil"/>
                  </w:tcBorders>
                  <w:shd w:val="clear" w:color="auto" w:fill="auto"/>
                  <w:noWrap/>
                  <w:vAlign w:val="bottom"/>
                </w:tcPr>
                <w:p w:rsidRPr="006B5219" w:rsidR="006B5219" w:rsidP="006B5219" w:rsidRDefault="006B5219" w14:paraId="5A07DD88" w14:textId="77777777">
                  <w:pPr>
                    <w:spacing w:after="0" w:line="240" w:lineRule="auto"/>
                    <w:rPr>
                      <w:rFonts w:ascii="Times New Roman" w:hAnsi="Times New Roman" w:eastAsia="Times New Roman" w:cs="Times New Roman"/>
                      <w:sz w:val="20"/>
                      <w:szCs w:val="20"/>
                    </w:rPr>
                  </w:pPr>
                </w:p>
              </w:tc>
            </w:tr>
            <w:tr w:rsidRPr="006B5219" w:rsidR="006B5219" w:rsidTr="00D07B73" w14:paraId="0F6BAA62" w14:textId="77777777">
              <w:trPr>
                <w:trHeight w:val="300"/>
              </w:trPr>
              <w:tc>
                <w:tcPr>
                  <w:tcW w:w="950" w:type="dxa"/>
                  <w:tcBorders>
                    <w:top w:val="nil"/>
                    <w:left w:val="nil"/>
                    <w:bottom w:val="nil"/>
                    <w:right w:val="nil"/>
                  </w:tcBorders>
                  <w:shd w:val="clear" w:color="auto" w:fill="auto"/>
                  <w:noWrap/>
                  <w:vAlign w:val="bottom"/>
                </w:tcPr>
                <w:p w:rsidRPr="006B5219" w:rsidR="006B5219" w:rsidP="006B5219" w:rsidRDefault="006B5219" w14:paraId="490076E0" w14:textId="29B69805">
                  <w:pPr>
                    <w:spacing w:after="0" w:line="240" w:lineRule="auto"/>
                    <w:rPr>
                      <w:rFonts w:ascii="Calibri" w:hAnsi="Calibri" w:eastAsia="Times New Roman" w:cs="Calibri"/>
                      <w:color w:val="000000"/>
                    </w:rPr>
                  </w:pPr>
                </w:p>
              </w:tc>
              <w:tc>
                <w:tcPr>
                  <w:tcW w:w="6842" w:type="dxa"/>
                  <w:gridSpan w:val="7"/>
                  <w:tcBorders>
                    <w:top w:val="nil"/>
                    <w:left w:val="nil"/>
                    <w:bottom w:val="nil"/>
                    <w:right w:val="nil"/>
                  </w:tcBorders>
                  <w:shd w:val="clear" w:color="auto" w:fill="auto"/>
                  <w:noWrap/>
                  <w:vAlign w:val="bottom"/>
                </w:tcPr>
                <w:p w:rsidRPr="006B5219" w:rsidR="006B5219" w:rsidP="006B5219" w:rsidRDefault="006B5219" w14:paraId="31DD3CA1" w14:textId="3EF68926">
                  <w:pPr>
                    <w:spacing w:after="0" w:line="240" w:lineRule="auto"/>
                    <w:rPr>
                      <w:rFonts w:ascii="Calibri" w:hAnsi="Calibri" w:eastAsia="Times New Roman" w:cs="Calibri"/>
                      <w:color w:val="000000"/>
                    </w:rPr>
                  </w:pPr>
                </w:p>
              </w:tc>
            </w:tr>
          </w:tbl>
          <w:p w:rsidRPr="002B2E87" w:rsidR="001531E7" w:rsidP="001F7F6F" w:rsidRDefault="001531E7" w14:paraId="08BB6042" w14:textId="6A54EFBB">
            <w:pPr>
              <w:rPr>
                <w:rFonts w:eastAsia="Times New Roman" w:cs="Arial"/>
                <w:b/>
                <w:sz w:val="20"/>
                <w:szCs w:val="16"/>
              </w:rPr>
            </w:pPr>
          </w:p>
        </w:tc>
      </w:tr>
      <w:tr w:rsidRPr="002B2E87" w:rsidR="002B2E87" w:rsidTr="13E168D9" w14:paraId="61F67236" w14:textId="77777777">
        <w:tc>
          <w:tcPr>
            <w:tcW w:w="5000" w:type="pct"/>
            <w:gridSpan w:val="2"/>
            <w:shd w:val="clear" w:color="auto" w:fill="3E5AA8" w:themeFill="accent1"/>
            <w:tcMar/>
            <w:vAlign w:val="center"/>
          </w:tcPr>
          <w:p w:rsidRPr="002B2E87" w:rsidR="002B2E87" w:rsidP="002B2E87" w:rsidRDefault="002B2E87" w14:paraId="1B95EECA" w14:textId="77777777">
            <w:pPr>
              <w:jc w:val="center"/>
              <w:rPr>
                <w:rFonts w:eastAsia="Times New Roman" w:cs="Arial"/>
                <w:b/>
                <w:color w:val="FF0000"/>
                <w:szCs w:val="16"/>
              </w:rPr>
            </w:pPr>
            <w:r w:rsidRPr="002B2E87">
              <w:rPr>
                <w:rFonts w:eastAsia="Times New Roman" w:cs="Arial"/>
                <w:b/>
                <w:color w:val="FFFFFF"/>
                <w:sz w:val="20"/>
                <w:szCs w:val="16"/>
              </w:rPr>
              <w:t>Section 6: Additional information relevant to the proposed service change</w:t>
            </w:r>
          </w:p>
        </w:tc>
      </w:tr>
      <w:tr w:rsidRPr="002B2E87" w:rsidR="002B2E87" w:rsidTr="13E168D9" w14:paraId="324B2E3C" w14:textId="77777777">
        <w:tc>
          <w:tcPr>
            <w:tcW w:w="5000" w:type="pct"/>
            <w:gridSpan w:val="2"/>
            <w:shd w:val="clear" w:color="auto" w:fill="auto"/>
            <w:tcMar/>
          </w:tcPr>
          <w:p w:rsidR="00810C5C" w:rsidP="00C07933" w:rsidRDefault="00810C5C" w14:paraId="5DBC3657" w14:textId="6DA91DDC">
            <w:pPr>
              <w:rPr>
                <w:rFonts w:cs="Arial"/>
                <w:b/>
                <w:i/>
                <w:sz w:val="20"/>
                <w:szCs w:val="20"/>
              </w:rPr>
            </w:pPr>
          </w:p>
          <w:p w:rsidR="002B04DD" w:rsidP="00C07933" w:rsidRDefault="0009754E" w14:paraId="2F162FB3" w14:textId="3D308023">
            <w:pPr>
              <w:rPr>
                <w:rFonts w:cs="Arial"/>
                <w:b/>
                <w:sz w:val="20"/>
                <w:szCs w:val="20"/>
              </w:rPr>
            </w:pPr>
            <w:r>
              <w:rPr>
                <w:rFonts w:cs="Arial"/>
                <w:b/>
                <w:sz w:val="20"/>
                <w:szCs w:val="20"/>
              </w:rPr>
              <w:t>Risk Margin</w:t>
            </w:r>
          </w:p>
          <w:p w:rsidR="00810C5C" w:rsidP="00C07933" w:rsidRDefault="00810C5C" w14:paraId="2399500B" w14:textId="12AD4A20">
            <w:pPr>
              <w:rPr>
                <w:rFonts w:cs="Arial"/>
                <w:sz w:val="18"/>
                <w:szCs w:val="18"/>
              </w:rPr>
            </w:pPr>
          </w:p>
          <w:tbl>
            <w:tblPr>
              <w:tblW w:w="9544" w:type="dxa"/>
              <w:tblLayout w:type="fixed"/>
              <w:tblLook w:val="04A0" w:firstRow="1" w:lastRow="0" w:firstColumn="1" w:lastColumn="0" w:noHBand="0" w:noVBand="1"/>
            </w:tblPr>
            <w:tblGrid>
              <w:gridCol w:w="960"/>
              <w:gridCol w:w="2064"/>
              <w:gridCol w:w="6520"/>
            </w:tblGrid>
            <w:tr w:rsidRPr="0009754E" w:rsidR="0036721C" w:rsidTr="6EEFDFBD" w14:paraId="305B7992" w14:textId="77777777">
              <w:trPr>
                <w:trHeight w:val="300"/>
              </w:trPr>
              <w:tc>
                <w:tcPr>
                  <w:tcW w:w="960" w:type="dxa"/>
                  <w:tcBorders>
                    <w:top w:val="single" w:color="auto" w:sz="8" w:space="0"/>
                    <w:left w:val="single" w:color="auto" w:sz="8" w:space="0"/>
                    <w:bottom w:val="single" w:color="auto" w:sz="8" w:space="0"/>
                    <w:right w:val="single" w:color="auto" w:sz="8" w:space="0"/>
                  </w:tcBorders>
                  <w:shd w:val="clear" w:color="auto" w:fill="44546A"/>
                  <w:noWrap/>
                  <w:vAlign w:val="center"/>
                  <w:hideMark/>
                </w:tcPr>
                <w:p w:rsidRPr="0009754E" w:rsidR="0036721C" w:rsidP="0009754E" w:rsidRDefault="0036721C" w14:paraId="466D1D21" w14:textId="77777777">
                  <w:pPr>
                    <w:spacing w:after="0" w:line="240" w:lineRule="auto"/>
                    <w:jc w:val="center"/>
                    <w:rPr>
                      <w:rFonts w:ascii="Calibri" w:hAnsi="Calibri" w:eastAsia="Times New Roman" w:cs="Calibri"/>
                      <w:b/>
                      <w:bCs/>
                      <w:color w:val="FFFFFF"/>
                      <w:sz w:val="14"/>
                      <w:szCs w:val="14"/>
                    </w:rPr>
                  </w:pPr>
                  <w:r w:rsidRPr="0009754E">
                    <w:rPr>
                      <w:rFonts w:ascii="Calibri" w:hAnsi="Calibri" w:eastAsia="Times New Roman" w:cs="Calibri"/>
                      <w:b/>
                      <w:bCs/>
                      <w:color w:val="FFFFFF"/>
                      <w:sz w:val="14"/>
                      <w:szCs w:val="14"/>
                    </w:rPr>
                    <w:t>XRN Ref</w:t>
                  </w:r>
                </w:p>
              </w:tc>
              <w:tc>
                <w:tcPr>
                  <w:tcW w:w="2064" w:type="dxa"/>
                  <w:tcBorders>
                    <w:top w:val="single" w:color="auto" w:sz="8" w:space="0"/>
                    <w:left w:val="nil"/>
                    <w:bottom w:val="single" w:color="auto" w:sz="8" w:space="0"/>
                    <w:right w:val="single" w:color="auto" w:sz="8" w:space="0"/>
                  </w:tcBorders>
                  <w:shd w:val="clear" w:color="auto" w:fill="44546A"/>
                  <w:noWrap/>
                  <w:vAlign w:val="center"/>
                  <w:hideMark/>
                </w:tcPr>
                <w:p w:rsidRPr="0009754E" w:rsidR="0036721C" w:rsidP="0009754E" w:rsidRDefault="0036721C" w14:paraId="630347CA" w14:textId="77777777">
                  <w:pPr>
                    <w:spacing w:after="0" w:line="240" w:lineRule="auto"/>
                    <w:jc w:val="center"/>
                    <w:rPr>
                      <w:rFonts w:ascii="Calibri" w:hAnsi="Calibri" w:eastAsia="Times New Roman" w:cs="Calibri"/>
                      <w:b/>
                      <w:bCs/>
                      <w:color w:val="FFFFFF"/>
                      <w:sz w:val="14"/>
                      <w:szCs w:val="14"/>
                    </w:rPr>
                  </w:pPr>
                  <w:r w:rsidRPr="0009754E">
                    <w:rPr>
                      <w:rFonts w:ascii="Calibri" w:hAnsi="Calibri" w:eastAsia="Times New Roman" w:cs="Calibri"/>
                      <w:b/>
                      <w:bCs/>
                      <w:color w:val="FFFFFF"/>
                      <w:sz w:val="14"/>
                      <w:szCs w:val="14"/>
                    </w:rPr>
                    <w:t>Risk Margin</w:t>
                  </w:r>
                </w:p>
              </w:tc>
              <w:tc>
                <w:tcPr>
                  <w:tcW w:w="6520" w:type="dxa"/>
                  <w:tcBorders>
                    <w:top w:val="single" w:color="auto" w:sz="8" w:space="0"/>
                    <w:left w:val="nil"/>
                    <w:bottom w:val="single" w:color="auto" w:sz="8" w:space="0"/>
                    <w:right w:val="single" w:color="auto" w:sz="8" w:space="0"/>
                  </w:tcBorders>
                  <w:shd w:val="clear" w:color="auto" w:fill="44546A"/>
                  <w:noWrap/>
                  <w:vAlign w:val="center"/>
                  <w:hideMark/>
                </w:tcPr>
                <w:p w:rsidRPr="0009754E" w:rsidR="0036721C" w:rsidP="0009754E" w:rsidRDefault="0036721C" w14:paraId="0FE5F132" w14:textId="77777777">
                  <w:pPr>
                    <w:spacing w:after="0" w:line="240" w:lineRule="auto"/>
                    <w:jc w:val="center"/>
                    <w:rPr>
                      <w:rFonts w:ascii="Calibri" w:hAnsi="Calibri" w:eastAsia="Times New Roman" w:cs="Calibri"/>
                      <w:b/>
                      <w:bCs/>
                      <w:color w:val="FFFFFF"/>
                      <w:sz w:val="14"/>
                      <w:szCs w:val="14"/>
                    </w:rPr>
                  </w:pPr>
                  <w:r w:rsidRPr="0009754E">
                    <w:rPr>
                      <w:rFonts w:ascii="Calibri" w:hAnsi="Calibri" w:eastAsia="Times New Roman" w:cs="Calibri"/>
                      <w:b/>
                      <w:bCs/>
                      <w:color w:val="FFFFFF"/>
                      <w:sz w:val="14"/>
                      <w:szCs w:val="14"/>
                    </w:rPr>
                    <w:t>Description</w:t>
                  </w:r>
                </w:p>
              </w:tc>
            </w:tr>
            <w:tr w:rsidRPr="0009754E" w:rsidR="0036721C" w:rsidTr="6EEFDFBD" w14:paraId="2FE615A1" w14:textId="77777777">
              <w:trPr>
                <w:trHeight w:val="300"/>
              </w:trPr>
              <w:tc>
                <w:tcPr>
                  <w:tcW w:w="960" w:type="dxa"/>
                  <w:tcBorders>
                    <w:top w:val="nil"/>
                    <w:left w:val="single" w:color="auto" w:sz="8" w:space="0"/>
                    <w:bottom w:val="single" w:color="auto" w:sz="8" w:space="0"/>
                    <w:right w:val="single" w:color="auto" w:sz="8" w:space="0"/>
                  </w:tcBorders>
                  <w:shd w:val="clear" w:color="auto" w:fill="auto"/>
                  <w:noWrap/>
                  <w:vAlign w:val="center"/>
                  <w:hideMark/>
                </w:tcPr>
                <w:p w:rsidRPr="0009754E" w:rsidR="0036721C" w:rsidP="0036721C" w:rsidRDefault="0036721C" w14:paraId="4053B3A0" w14:textId="199DABEA">
                  <w:pPr>
                    <w:spacing w:after="0" w:line="240" w:lineRule="auto"/>
                    <w:jc w:val="center"/>
                    <w:rPr>
                      <w:rFonts w:ascii="Calibri" w:hAnsi="Calibri" w:eastAsia="Times New Roman" w:cs="Calibri"/>
                      <w:color w:val="000000"/>
                      <w:sz w:val="14"/>
                      <w:szCs w:val="14"/>
                    </w:rPr>
                  </w:pPr>
                  <w:r>
                    <w:rPr>
                      <w:rFonts w:ascii="Calibri" w:hAnsi="Calibri" w:cs="Calibri"/>
                      <w:color w:val="000000"/>
                      <w:sz w:val="14"/>
                      <w:szCs w:val="14"/>
                    </w:rPr>
                    <w:t>All changes</w:t>
                  </w:r>
                </w:p>
              </w:tc>
              <w:tc>
                <w:tcPr>
                  <w:tcW w:w="2064" w:type="dxa"/>
                  <w:tcBorders>
                    <w:top w:val="nil"/>
                    <w:left w:val="nil"/>
                    <w:bottom w:val="single" w:color="auto" w:sz="8" w:space="0"/>
                    <w:right w:val="single" w:color="auto" w:sz="8" w:space="0"/>
                  </w:tcBorders>
                  <w:shd w:val="clear" w:color="auto" w:fill="auto"/>
                  <w:noWrap/>
                  <w:vAlign w:val="center"/>
                  <w:hideMark/>
                </w:tcPr>
                <w:p w:rsidRPr="0009754E" w:rsidR="0036721C" w:rsidP="0036721C" w:rsidRDefault="0036721C" w14:paraId="661ED5F1" w14:textId="2D8A477A">
                  <w:pPr>
                    <w:spacing w:after="0" w:line="240" w:lineRule="auto"/>
                    <w:jc w:val="center"/>
                    <w:rPr>
                      <w:rFonts w:ascii="Calibri" w:hAnsi="Calibri" w:eastAsia="Times New Roman" w:cs="Calibri"/>
                      <w:color w:val="000000"/>
                      <w:sz w:val="14"/>
                      <w:szCs w:val="14"/>
                    </w:rPr>
                  </w:pPr>
                  <w:r>
                    <w:rPr>
                      <w:rFonts w:ascii="Calibri" w:hAnsi="Calibri" w:cs="Calibri"/>
                      <w:color w:val="000000"/>
                      <w:sz w:val="14"/>
                      <w:szCs w:val="14"/>
                    </w:rPr>
                    <w:t>£75,000</w:t>
                  </w:r>
                </w:p>
              </w:tc>
              <w:tc>
                <w:tcPr>
                  <w:tcW w:w="6520" w:type="dxa"/>
                  <w:tcBorders>
                    <w:top w:val="nil"/>
                    <w:left w:val="nil"/>
                    <w:bottom w:val="single" w:color="auto" w:sz="8" w:space="0"/>
                    <w:right w:val="single" w:color="auto" w:sz="8" w:space="0"/>
                  </w:tcBorders>
                  <w:shd w:val="clear" w:color="auto" w:fill="auto"/>
                  <w:noWrap/>
                  <w:vAlign w:val="center"/>
                  <w:hideMark/>
                </w:tcPr>
                <w:p w:rsidRPr="0009754E" w:rsidR="0036721C" w:rsidP="0036721C" w:rsidRDefault="0036721C" w14:paraId="48027011" w14:textId="629C6FE5">
                  <w:pPr>
                    <w:spacing w:after="0" w:line="240" w:lineRule="auto"/>
                    <w:jc w:val="center"/>
                    <w:rPr>
                      <w:rFonts w:ascii="Calibri" w:hAnsi="Calibri" w:eastAsia="Times New Roman" w:cs="Calibri"/>
                      <w:color w:val="000000"/>
                      <w:sz w:val="14"/>
                      <w:szCs w:val="14"/>
                    </w:rPr>
                  </w:pPr>
                  <w:r>
                    <w:rPr>
                      <w:rFonts w:ascii="Calibri" w:hAnsi="Calibri" w:cs="Calibri"/>
                      <w:color w:val="000000"/>
                      <w:sz w:val="14"/>
                      <w:szCs w:val="14"/>
                    </w:rPr>
                    <w:t>Change to requirements - timebound to end of PIS</w:t>
                  </w:r>
                </w:p>
              </w:tc>
            </w:tr>
            <w:tr w:rsidRPr="0009754E" w:rsidR="0036721C" w:rsidTr="6EEFDFBD" w14:paraId="5A5B43BB" w14:textId="77777777">
              <w:trPr>
                <w:trHeight w:val="300"/>
              </w:trPr>
              <w:tc>
                <w:tcPr>
                  <w:tcW w:w="960" w:type="dxa"/>
                  <w:tcBorders>
                    <w:top w:val="nil"/>
                    <w:left w:val="single" w:color="auto" w:sz="8" w:space="0"/>
                    <w:bottom w:val="single" w:color="auto" w:sz="8" w:space="0"/>
                    <w:right w:val="single" w:color="auto" w:sz="8" w:space="0"/>
                  </w:tcBorders>
                  <w:shd w:val="clear" w:color="auto" w:fill="auto"/>
                  <w:noWrap/>
                  <w:vAlign w:val="center"/>
                  <w:hideMark/>
                </w:tcPr>
                <w:p w:rsidRPr="0009754E" w:rsidR="0036721C" w:rsidP="0036721C" w:rsidRDefault="0036721C" w14:paraId="28D88CF1" w14:textId="3C3292B6">
                  <w:pPr>
                    <w:spacing w:after="0" w:line="240" w:lineRule="auto"/>
                    <w:jc w:val="center"/>
                    <w:rPr>
                      <w:rFonts w:ascii="Calibri" w:hAnsi="Calibri" w:eastAsia="Times New Roman" w:cs="Calibri"/>
                      <w:color w:val="000000"/>
                      <w:sz w:val="14"/>
                      <w:szCs w:val="14"/>
                    </w:rPr>
                  </w:pPr>
                  <w:r>
                    <w:rPr>
                      <w:rFonts w:ascii="Calibri" w:hAnsi="Calibri" w:cs="Calibri"/>
                      <w:color w:val="000000"/>
                      <w:sz w:val="14"/>
                      <w:szCs w:val="14"/>
                    </w:rPr>
                    <w:t>All changes</w:t>
                  </w:r>
                </w:p>
              </w:tc>
              <w:tc>
                <w:tcPr>
                  <w:tcW w:w="2064" w:type="dxa"/>
                  <w:tcBorders>
                    <w:top w:val="nil"/>
                    <w:left w:val="nil"/>
                    <w:bottom w:val="single" w:color="auto" w:sz="8" w:space="0"/>
                    <w:right w:val="single" w:color="auto" w:sz="8" w:space="0"/>
                  </w:tcBorders>
                  <w:shd w:val="clear" w:color="auto" w:fill="auto"/>
                  <w:noWrap/>
                  <w:vAlign w:val="center"/>
                  <w:hideMark/>
                </w:tcPr>
                <w:p w:rsidRPr="0009754E" w:rsidR="0036721C" w:rsidP="0036721C" w:rsidRDefault="0036721C" w14:paraId="16A3D005" w14:textId="72764959">
                  <w:pPr>
                    <w:spacing w:after="0" w:line="240" w:lineRule="auto"/>
                    <w:jc w:val="center"/>
                    <w:rPr>
                      <w:rFonts w:ascii="Calibri" w:hAnsi="Calibri" w:eastAsia="Times New Roman" w:cs="Calibri"/>
                      <w:color w:val="000000"/>
                      <w:sz w:val="14"/>
                      <w:szCs w:val="14"/>
                    </w:rPr>
                  </w:pPr>
                  <w:r>
                    <w:rPr>
                      <w:rFonts w:ascii="Calibri" w:hAnsi="Calibri" w:cs="Calibri"/>
                      <w:color w:val="000000"/>
                      <w:sz w:val="14"/>
                      <w:szCs w:val="14"/>
                    </w:rPr>
                    <w:t>£45,000</w:t>
                  </w:r>
                </w:p>
              </w:tc>
              <w:tc>
                <w:tcPr>
                  <w:tcW w:w="6520" w:type="dxa"/>
                  <w:tcBorders>
                    <w:top w:val="nil"/>
                    <w:left w:val="nil"/>
                    <w:bottom w:val="single" w:color="auto" w:sz="8" w:space="0"/>
                    <w:right w:val="single" w:color="auto" w:sz="8" w:space="0"/>
                  </w:tcBorders>
                  <w:shd w:val="clear" w:color="auto" w:fill="auto"/>
                  <w:noWrap/>
                  <w:vAlign w:val="center"/>
                  <w:hideMark/>
                </w:tcPr>
                <w:p w:rsidRPr="0009754E" w:rsidR="0036721C" w:rsidP="0036721C" w:rsidRDefault="0036721C" w14:paraId="25701AD2" w14:textId="06186A12">
                  <w:pPr>
                    <w:spacing w:after="0" w:line="240" w:lineRule="auto"/>
                    <w:jc w:val="center"/>
                    <w:rPr>
                      <w:rFonts w:ascii="Calibri" w:hAnsi="Calibri" w:eastAsia="Times New Roman" w:cs="Calibri"/>
                      <w:color w:val="000000"/>
                      <w:sz w:val="14"/>
                      <w:szCs w:val="14"/>
                    </w:rPr>
                  </w:pPr>
                  <w:r>
                    <w:rPr>
                      <w:rFonts w:ascii="Calibri" w:hAnsi="Calibri" w:cs="Calibri"/>
                      <w:color w:val="000000"/>
                      <w:sz w:val="14"/>
                      <w:szCs w:val="14"/>
                    </w:rPr>
                    <w:t>Extension to testing timelines due to upstream delays or defects - timebound to end of testing</w:t>
                  </w:r>
                </w:p>
              </w:tc>
            </w:tr>
            <w:tr w:rsidRPr="0009754E" w:rsidR="0036721C" w:rsidTr="6EEFDFBD" w14:paraId="42D64593" w14:textId="77777777">
              <w:trPr>
                <w:trHeight w:val="300"/>
              </w:trPr>
              <w:tc>
                <w:tcPr>
                  <w:tcW w:w="960" w:type="dxa"/>
                  <w:tcBorders>
                    <w:top w:val="nil"/>
                    <w:left w:val="single" w:color="auto" w:sz="8" w:space="0"/>
                    <w:bottom w:val="single" w:color="auto" w:sz="4" w:space="0"/>
                    <w:right w:val="single" w:color="auto" w:sz="8" w:space="0"/>
                  </w:tcBorders>
                  <w:shd w:val="clear" w:color="auto" w:fill="auto"/>
                  <w:noWrap/>
                  <w:vAlign w:val="center"/>
                  <w:hideMark/>
                </w:tcPr>
                <w:p w:rsidRPr="0009754E" w:rsidR="0036721C" w:rsidP="0036721C" w:rsidRDefault="0036721C" w14:paraId="7A4255CA" w14:textId="20DA34BC">
                  <w:pPr>
                    <w:spacing w:after="0" w:line="240" w:lineRule="auto"/>
                    <w:jc w:val="center"/>
                    <w:rPr>
                      <w:rFonts w:ascii="Calibri" w:hAnsi="Calibri" w:eastAsia="Times New Roman" w:cs="Calibri"/>
                      <w:color w:val="000000"/>
                      <w:sz w:val="14"/>
                      <w:szCs w:val="14"/>
                    </w:rPr>
                  </w:pPr>
                  <w:r>
                    <w:rPr>
                      <w:rFonts w:ascii="Calibri" w:hAnsi="Calibri" w:cs="Calibri"/>
                      <w:color w:val="000000"/>
                      <w:sz w:val="14"/>
                      <w:szCs w:val="14"/>
                    </w:rPr>
                    <w:t>4941/5007/5072/5142</w:t>
                  </w:r>
                </w:p>
              </w:tc>
              <w:tc>
                <w:tcPr>
                  <w:tcW w:w="2064" w:type="dxa"/>
                  <w:tcBorders>
                    <w:top w:val="nil"/>
                    <w:left w:val="nil"/>
                    <w:bottom w:val="single" w:color="auto" w:sz="4" w:space="0"/>
                    <w:right w:val="single" w:color="auto" w:sz="8" w:space="0"/>
                  </w:tcBorders>
                  <w:shd w:val="clear" w:color="auto" w:fill="auto"/>
                  <w:noWrap/>
                  <w:vAlign w:val="center"/>
                  <w:hideMark/>
                </w:tcPr>
                <w:p w:rsidRPr="0009754E" w:rsidR="0036721C" w:rsidP="0036721C" w:rsidRDefault="0036721C" w14:paraId="5DE2260F" w14:textId="3E1E6333">
                  <w:pPr>
                    <w:spacing w:after="0" w:line="240" w:lineRule="auto"/>
                    <w:jc w:val="center"/>
                    <w:rPr>
                      <w:rFonts w:ascii="Calibri" w:hAnsi="Calibri" w:eastAsia="Times New Roman" w:cs="Calibri"/>
                      <w:color w:val="000000"/>
                      <w:sz w:val="14"/>
                      <w:szCs w:val="14"/>
                    </w:rPr>
                  </w:pPr>
                  <w:r>
                    <w:rPr>
                      <w:rFonts w:ascii="Calibri" w:hAnsi="Calibri" w:cs="Calibri"/>
                      <w:color w:val="000000"/>
                      <w:sz w:val="14"/>
                      <w:szCs w:val="14"/>
                    </w:rPr>
                    <w:t>£50,000</w:t>
                  </w:r>
                </w:p>
              </w:tc>
              <w:tc>
                <w:tcPr>
                  <w:tcW w:w="6520" w:type="dxa"/>
                  <w:tcBorders>
                    <w:top w:val="nil"/>
                    <w:left w:val="nil"/>
                    <w:bottom w:val="single" w:color="auto" w:sz="4" w:space="0"/>
                    <w:right w:val="single" w:color="auto" w:sz="8" w:space="0"/>
                  </w:tcBorders>
                  <w:shd w:val="clear" w:color="auto" w:fill="auto"/>
                  <w:noWrap/>
                  <w:vAlign w:val="center"/>
                  <w:hideMark/>
                </w:tcPr>
                <w:p w:rsidRPr="0009754E" w:rsidR="0036721C" w:rsidP="0036721C" w:rsidRDefault="0036721C" w14:paraId="47DAFB12" w14:textId="0DEE6BED">
                  <w:pPr>
                    <w:spacing w:after="0" w:line="240" w:lineRule="auto"/>
                    <w:jc w:val="center"/>
                    <w:rPr>
                      <w:rFonts w:ascii="Calibri" w:hAnsi="Calibri" w:eastAsia="Times New Roman" w:cs="Calibri"/>
                      <w:color w:val="000000"/>
                      <w:sz w:val="14"/>
                      <w:szCs w:val="14"/>
                    </w:rPr>
                  </w:pPr>
                  <w:r>
                    <w:rPr>
                      <w:rFonts w:ascii="Calibri" w:hAnsi="Calibri" w:cs="Calibri"/>
                      <w:color w:val="000000"/>
                      <w:sz w:val="14"/>
                      <w:szCs w:val="14"/>
                    </w:rPr>
                    <w:t>Data Cleanse activities may take longer than planned due to production availability and currently unknown volumes - timebound from Implementation to end of PIS</w:t>
                  </w:r>
                </w:p>
              </w:tc>
            </w:tr>
            <w:tr w:rsidRPr="0009754E" w:rsidR="0036721C" w:rsidTr="00EE2BF2" w14:paraId="721E6DE4" w14:textId="77777777">
              <w:trPr>
                <w:trHeight w:val="300"/>
              </w:trPr>
              <w:tc>
                <w:tcPr>
                  <w:tcW w:w="960" w:type="dxa"/>
                  <w:tcBorders>
                    <w:top w:val="single" w:color="auto" w:sz="4" w:space="0"/>
                    <w:left w:val="single" w:color="auto" w:sz="8" w:space="0"/>
                    <w:bottom w:val="single" w:color="auto" w:sz="4" w:space="0"/>
                    <w:right w:val="single" w:color="auto" w:sz="8" w:space="0"/>
                  </w:tcBorders>
                  <w:shd w:val="clear" w:color="auto" w:fill="auto"/>
                  <w:noWrap/>
                  <w:vAlign w:val="center"/>
                </w:tcPr>
                <w:p w:rsidRPr="0009754E" w:rsidR="0036721C" w:rsidP="0036721C" w:rsidRDefault="0036721C" w14:paraId="3591945D" w14:textId="0EAF2C4E">
                  <w:pPr>
                    <w:spacing w:after="0" w:line="240" w:lineRule="auto"/>
                    <w:jc w:val="center"/>
                    <w:rPr>
                      <w:rFonts w:ascii="Calibri" w:hAnsi="Calibri" w:eastAsia="Times New Roman" w:cs="Calibri"/>
                      <w:color w:val="000000"/>
                      <w:sz w:val="14"/>
                      <w:szCs w:val="14"/>
                    </w:rPr>
                  </w:pPr>
                  <w:r>
                    <w:rPr>
                      <w:rFonts w:ascii="Calibri" w:hAnsi="Calibri" w:cs="Calibri"/>
                      <w:color w:val="000000"/>
                      <w:sz w:val="14"/>
                      <w:szCs w:val="14"/>
                    </w:rPr>
                    <w:t>All changes</w:t>
                  </w:r>
                </w:p>
              </w:tc>
              <w:tc>
                <w:tcPr>
                  <w:tcW w:w="2064" w:type="dxa"/>
                  <w:tcBorders>
                    <w:top w:val="single" w:color="auto" w:sz="4" w:space="0"/>
                    <w:left w:val="nil"/>
                    <w:bottom w:val="single" w:color="auto" w:sz="4" w:space="0"/>
                    <w:right w:val="single" w:color="auto" w:sz="8" w:space="0"/>
                  </w:tcBorders>
                  <w:shd w:val="clear" w:color="auto" w:fill="auto"/>
                  <w:noWrap/>
                  <w:vAlign w:val="center"/>
                </w:tcPr>
                <w:p w:rsidRPr="0009754E" w:rsidR="0036721C" w:rsidP="0036721C" w:rsidRDefault="0036721C" w14:paraId="2CF578CC" w14:textId="71437191">
                  <w:pPr>
                    <w:spacing w:after="0" w:line="240" w:lineRule="auto"/>
                    <w:jc w:val="center"/>
                    <w:rPr>
                      <w:rFonts w:ascii="Calibri" w:hAnsi="Calibri" w:eastAsia="Times New Roman" w:cs="Calibri"/>
                      <w:color w:val="000000"/>
                      <w:sz w:val="14"/>
                      <w:szCs w:val="14"/>
                    </w:rPr>
                  </w:pPr>
                  <w:r>
                    <w:rPr>
                      <w:rFonts w:ascii="Calibri" w:hAnsi="Calibri" w:cs="Calibri"/>
                      <w:color w:val="000000"/>
                      <w:sz w:val="14"/>
                      <w:szCs w:val="14"/>
                    </w:rPr>
                    <w:t>£5,000</w:t>
                  </w:r>
                </w:p>
              </w:tc>
              <w:tc>
                <w:tcPr>
                  <w:tcW w:w="6520" w:type="dxa"/>
                  <w:tcBorders>
                    <w:top w:val="single" w:color="auto" w:sz="4" w:space="0"/>
                    <w:left w:val="nil"/>
                    <w:bottom w:val="single" w:color="auto" w:sz="4" w:space="0"/>
                    <w:right w:val="single" w:color="auto" w:sz="8" w:space="0"/>
                  </w:tcBorders>
                  <w:shd w:val="clear" w:color="auto" w:fill="auto"/>
                  <w:noWrap/>
                  <w:vAlign w:val="center"/>
                </w:tcPr>
                <w:p w:rsidRPr="0009754E" w:rsidR="0036721C" w:rsidP="6EEFDFBD" w:rsidRDefault="59D051A9" w14:paraId="6027E8BF" w14:textId="3F5617AD">
                  <w:pPr>
                    <w:spacing w:after="0" w:line="240" w:lineRule="auto"/>
                    <w:jc w:val="center"/>
                    <w:rPr>
                      <w:rFonts w:ascii="Calibri" w:hAnsi="Calibri" w:eastAsia="Times New Roman" w:cs="Calibri"/>
                      <w:color w:val="000000"/>
                      <w:sz w:val="14"/>
                      <w:szCs w:val="14"/>
                    </w:rPr>
                  </w:pPr>
                  <w:r w:rsidRPr="6EEFDFBD">
                    <w:rPr>
                      <w:rFonts w:ascii="Calibri" w:hAnsi="Calibri"/>
                      <w:color w:val="000000" w:themeColor="text1"/>
                      <w:sz w:val="14"/>
                      <w:szCs w:val="14"/>
                    </w:rPr>
                    <w:t>MTB Costs could increase or decrease as we go through the release and more understanding of the MTB work post implementation is available</w:t>
                  </w:r>
                  <w:r w:rsidRPr="6EEFDFBD" w:rsidR="1CAEF634">
                    <w:rPr>
                      <w:rFonts w:ascii="Calibri" w:hAnsi="Calibri"/>
                      <w:color w:val="000000" w:themeColor="text1"/>
                      <w:sz w:val="14"/>
                      <w:szCs w:val="14"/>
                    </w:rPr>
                    <w:t xml:space="preserve"> - timeboun</w:t>
                  </w:r>
                  <w:r w:rsidRPr="6EEFDFBD" w:rsidR="1CAEF634">
                    <w:rPr>
                      <w:rFonts w:ascii="Calibri" w:hAnsi="Calibri" w:cs="Calibri"/>
                      <w:color w:val="000000" w:themeColor="text1"/>
                      <w:sz w:val="14"/>
                      <w:szCs w:val="14"/>
                    </w:rPr>
                    <w:t>d from implementation to end of PIS</w:t>
                  </w:r>
                </w:p>
              </w:tc>
            </w:tr>
            <w:tr w:rsidRPr="0009754E" w:rsidR="005F19A3" w:rsidTr="009A4A87" w14:paraId="55A8484F" w14:textId="77777777">
              <w:trPr>
                <w:trHeight w:val="300"/>
              </w:trPr>
              <w:tc>
                <w:tcPr>
                  <w:tcW w:w="960" w:type="dxa"/>
                  <w:tcBorders>
                    <w:top w:val="single" w:color="auto" w:sz="4" w:space="0"/>
                    <w:left w:val="single" w:color="auto" w:sz="8" w:space="0"/>
                    <w:bottom w:val="single" w:color="auto" w:sz="8" w:space="0"/>
                    <w:right w:val="single" w:color="auto" w:sz="8" w:space="0"/>
                  </w:tcBorders>
                  <w:shd w:val="clear" w:color="auto" w:fill="auto"/>
                  <w:noWrap/>
                </w:tcPr>
                <w:p w:rsidR="005F19A3" w:rsidP="005F19A3" w:rsidRDefault="005F19A3" w14:paraId="31C8488F" w14:textId="52DF91AF">
                  <w:pPr>
                    <w:spacing w:after="0" w:line="240" w:lineRule="auto"/>
                    <w:jc w:val="center"/>
                    <w:rPr>
                      <w:rFonts w:ascii="Calibri" w:hAnsi="Calibri" w:cs="Calibri"/>
                      <w:color w:val="000000"/>
                      <w:sz w:val="14"/>
                      <w:szCs w:val="14"/>
                    </w:rPr>
                  </w:pPr>
                  <w:r w:rsidRPr="005F19A3">
                    <w:rPr>
                      <w:rFonts w:ascii="Calibri" w:hAnsi="Calibri" w:cs="Calibri"/>
                      <w:color w:val="000000"/>
                      <w:sz w:val="14"/>
                      <w:szCs w:val="14"/>
                    </w:rPr>
                    <w:t>All changes</w:t>
                  </w:r>
                </w:p>
              </w:tc>
              <w:tc>
                <w:tcPr>
                  <w:tcW w:w="2064" w:type="dxa"/>
                  <w:tcBorders>
                    <w:top w:val="single" w:color="auto" w:sz="4" w:space="0"/>
                    <w:left w:val="nil"/>
                    <w:bottom w:val="single" w:color="auto" w:sz="8" w:space="0"/>
                    <w:right w:val="single" w:color="auto" w:sz="8" w:space="0"/>
                  </w:tcBorders>
                  <w:shd w:val="clear" w:color="auto" w:fill="auto"/>
                  <w:noWrap/>
                </w:tcPr>
                <w:p w:rsidR="005F19A3" w:rsidP="005F19A3" w:rsidRDefault="005F19A3" w14:paraId="6B945F74" w14:textId="65E4CECC">
                  <w:pPr>
                    <w:spacing w:after="0" w:line="240" w:lineRule="auto"/>
                    <w:jc w:val="center"/>
                    <w:rPr>
                      <w:rFonts w:ascii="Calibri" w:hAnsi="Calibri" w:cs="Calibri"/>
                      <w:color w:val="000000"/>
                      <w:sz w:val="14"/>
                      <w:szCs w:val="14"/>
                    </w:rPr>
                  </w:pPr>
                  <w:r w:rsidRPr="005F19A3">
                    <w:rPr>
                      <w:rFonts w:ascii="Calibri" w:hAnsi="Calibri" w:cs="Calibri"/>
                      <w:color w:val="000000"/>
                      <w:sz w:val="14"/>
                      <w:szCs w:val="14"/>
                    </w:rPr>
                    <w:t>£5,000</w:t>
                  </w:r>
                </w:p>
              </w:tc>
              <w:tc>
                <w:tcPr>
                  <w:tcW w:w="6520" w:type="dxa"/>
                  <w:tcBorders>
                    <w:top w:val="single" w:color="auto" w:sz="4" w:space="0"/>
                    <w:left w:val="nil"/>
                    <w:bottom w:val="single" w:color="auto" w:sz="8" w:space="0"/>
                    <w:right w:val="single" w:color="auto" w:sz="8" w:space="0"/>
                  </w:tcBorders>
                  <w:shd w:val="clear" w:color="auto" w:fill="auto"/>
                  <w:noWrap/>
                </w:tcPr>
                <w:p w:rsidRPr="005F19A3" w:rsidR="005F19A3" w:rsidP="005F19A3" w:rsidRDefault="005F19A3" w14:paraId="361EC640" w14:textId="15DE5B5A">
                  <w:pPr>
                    <w:spacing w:after="0" w:line="240" w:lineRule="auto"/>
                    <w:jc w:val="center"/>
                    <w:rPr>
                      <w:rFonts w:ascii="Calibri" w:hAnsi="Calibri" w:cs="Calibri"/>
                      <w:color w:val="000000"/>
                      <w:sz w:val="14"/>
                      <w:szCs w:val="14"/>
                    </w:rPr>
                  </w:pPr>
                  <w:r w:rsidRPr="005F19A3">
                    <w:rPr>
                      <w:rFonts w:ascii="Calibri" w:hAnsi="Calibri" w:cs="Calibri"/>
                      <w:color w:val="000000"/>
                      <w:sz w:val="14"/>
                      <w:szCs w:val="14"/>
                    </w:rPr>
                    <w:t>There is a risk that additional CPU and or storage required as a result of RT and PT testing which could lead to degradation of the BAU service - timebound from testing to PIS</w:t>
                  </w:r>
                </w:p>
              </w:tc>
            </w:tr>
          </w:tbl>
          <w:p w:rsidR="002B2E87" w:rsidP="0009754E" w:rsidRDefault="002B2E87" w14:paraId="49982AA7" w14:textId="77777777">
            <w:pPr>
              <w:pStyle w:val="NGTHeading3"/>
              <w:numPr>
                <w:ilvl w:val="0"/>
                <w:numId w:val="0"/>
              </w:numPr>
              <w:spacing w:line="240" w:lineRule="auto"/>
              <w:ind w:left="720"/>
              <w:rPr>
                <w:szCs w:val="20"/>
                <w:lang w:val="en-US"/>
              </w:rPr>
            </w:pPr>
          </w:p>
          <w:p w:rsidRPr="00D24E05" w:rsidR="0009754E" w:rsidP="0009754E" w:rsidRDefault="0009754E" w14:paraId="05EEB966" w14:textId="3B9B22F0">
            <w:pPr>
              <w:pStyle w:val="NGTHeading3"/>
              <w:numPr>
                <w:ilvl w:val="0"/>
                <w:numId w:val="0"/>
              </w:numPr>
              <w:spacing w:line="240" w:lineRule="auto"/>
              <w:ind w:left="720"/>
              <w:rPr>
                <w:szCs w:val="20"/>
                <w:lang w:val="en-US"/>
              </w:rPr>
            </w:pPr>
          </w:p>
        </w:tc>
      </w:tr>
    </w:tbl>
    <w:p w:rsidRPr="002B2E87" w:rsidR="002B2E87" w:rsidP="002B2E87" w:rsidRDefault="002B2E87" w14:paraId="093985C6" w14:textId="77777777">
      <w:pPr>
        <w:rPr>
          <w:rFonts w:eastAsia="Arial" w:cs="Arial"/>
          <w:b/>
        </w:rPr>
      </w:pPr>
    </w:p>
    <w:p w:rsidRPr="00B41E08" w:rsidR="00D24E05" w:rsidP="00B41E08" w:rsidRDefault="002B2E87" w14:paraId="0268A5E2" w14:textId="623F31DE">
      <w:pPr>
        <w:rPr>
          <w:rFonts w:eastAsia="Arial" w:cs="Arial"/>
          <w:b/>
        </w:rPr>
      </w:pPr>
      <w:r w:rsidRPr="002B2E87">
        <w:rPr>
          <w:rFonts w:eastAsia="Arial" w:cs="Arial"/>
          <w:b/>
        </w:rPr>
        <w:t xml:space="preserve">Please send completed form to: </w:t>
      </w:r>
      <w:hyperlink w:history="1" r:id="rId23">
        <w:r w:rsidRPr="002B2E87">
          <w:rPr>
            <w:rFonts w:eastAsia="Arial" w:cs="Arial"/>
            <w:b/>
            <w:color w:val="D2232A"/>
            <w:u w:val="single"/>
          </w:rPr>
          <w:t>box.xoserve.portfoliooffice@xoserve.com</w:t>
        </w:r>
      </w:hyperlink>
    </w:p>
    <w:p w:rsidR="00F45E78" w:rsidP="002B2E87" w:rsidRDefault="00F45E78" w14:paraId="067C933B" w14:textId="77777777">
      <w:pPr>
        <w:pStyle w:val="NoSpacing"/>
        <w:rPr>
          <w:rFonts w:eastAsia="Arial"/>
        </w:rPr>
      </w:pPr>
    </w:p>
    <w:p w:rsidR="00BF66FB" w:rsidP="002B2E87" w:rsidRDefault="00BF66FB" w14:paraId="312BB892" w14:textId="77777777">
      <w:pPr>
        <w:pStyle w:val="NoSpacing"/>
        <w:rPr>
          <w:rFonts w:eastAsia="Arial"/>
        </w:rPr>
      </w:pPr>
    </w:p>
    <w:p w:rsidRPr="002B2E87" w:rsidR="002B2E87" w:rsidP="002B2E87" w:rsidRDefault="002B2E87" w14:paraId="3251AA56" w14:textId="77777777">
      <w:pPr>
        <w:rPr>
          <w:rFonts w:eastAsia="Arial" w:cs="Times New Roman"/>
          <w:b/>
          <w:sz w:val="20"/>
          <w:szCs w:val="20"/>
        </w:rPr>
      </w:pPr>
      <w:r w:rsidRPr="002B2E87">
        <w:rPr>
          <w:rFonts w:eastAsia="Arial" w:cs="Times New Roman"/>
          <w:b/>
          <w:sz w:val="20"/>
          <w:szCs w:val="20"/>
        </w:rPr>
        <w:t>Document Version History</w:t>
      </w:r>
    </w:p>
    <w:tbl>
      <w:tblPr>
        <w:tblStyle w:val="TableGrid1"/>
        <w:tblW w:w="5522" w:type="pct"/>
        <w:tblInd w:w="-459" w:type="dxa"/>
        <w:tblLook w:val="04A0" w:firstRow="1" w:lastRow="0" w:firstColumn="1" w:lastColumn="0" w:noHBand="0" w:noVBand="1"/>
      </w:tblPr>
      <w:tblGrid>
        <w:gridCol w:w="1768"/>
        <w:gridCol w:w="1636"/>
        <w:gridCol w:w="1217"/>
        <w:gridCol w:w="1492"/>
        <w:gridCol w:w="3844"/>
      </w:tblGrid>
      <w:tr w:rsidRPr="002B2E87" w:rsidR="002B2E87" w:rsidTr="32EF9798" w14:paraId="05C01B9A" w14:textId="77777777">
        <w:trPr>
          <w:trHeight w:val="611"/>
        </w:trPr>
        <w:tc>
          <w:tcPr>
            <w:tcW w:w="902" w:type="pct"/>
            <w:shd w:val="clear" w:color="auto" w:fill="D6DCF0" w:themeFill="accent1" w:themeFillTint="33"/>
            <w:vAlign w:val="center"/>
          </w:tcPr>
          <w:p w:rsidRPr="002B2E87" w:rsidR="002B2E87" w:rsidP="002B2E87" w:rsidRDefault="002B2E87" w14:paraId="0200727F" w14:textId="77777777">
            <w:pPr>
              <w:jc w:val="center"/>
              <w:rPr>
                <w:rFonts w:eastAsia="Times New Roman" w:cs="Arial"/>
                <w:b/>
                <w:sz w:val="20"/>
                <w:szCs w:val="20"/>
              </w:rPr>
            </w:pPr>
            <w:r w:rsidRPr="002B2E87">
              <w:rPr>
                <w:rFonts w:eastAsia="Times New Roman" w:cs="Arial"/>
                <w:b/>
                <w:sz w:val="20"/>
                <w:szCs w:val="20"/>
              </w:rPr>
              <w:t>Version</w:t>
            </w:r>
          </w:p>
        </w:tc>
        <w:tc>
          <w:tcPr>
            <w:tcW w:w="835" w:type="pct"/>
            <w:shd w:val="clear" w:color="auto" w:fill="D6DCF0" w:themeFill="accent1" w:themeFillTint="33"/>
            <w:vAlign w:val="center"/>
          </w:tcPr>
          <w:p w:rsidRPr="002B2E87" w:rsidR="002B2E87" w:rsidP="002B2E87" w:rsidRDefault="002B2E87" w14:paraId="66353007" w14:textId="77777777">
            <w:pPr>
              <w:jc w:val="center"/>
              <w:rPr>
                <w:rFonts w:eastAsia="Times New Roman" w:cs="Arial"/>
                <w:b/>
                <w:sz w:val="20"/>
                <w:szCs w:val="20"/>
              </w:rPr>
            </w:pPr>
            <w:r w:rsidRPr="002B2E87">
              <w:rPr>
                <w:rFonts w:eastAsia="Times New Roman" w:cs="Arial"/>
                <w:b/>
                <w:sz w:val="20"/>
                <w:szCs w:val="20"/>
              </w:rPr>
              <w:t>Status</w:t>
            </w:r>
          </w:p>
        </w:tc>
        <w:tc>
          <w:tcPr>
            <w:tcW w:w="556" w:type="pct"/>
            <w:shd w:val="clear" w:color="auto" w:fill="D6DCF0" w:themeFill="accent1" w:themeFillTint="33"/>
            <w:vAlign w:val="center"/>
          </w:tcPr>
          <w:p w:rsidRPr="002B2E87" w:rsidR="002B2E87" w:rsidP="002B2E87" w:rsidRDefault="002B2E87" w14:paraId="218057BC" w14:textId="77777777">
            <w:pPr>
              <w:jc w:val="center"/>
              <w:rPr>
                <w:rFonts w:eastAsia="Times New Roman" w:cs="Arial"/>
                <w:b/>
                <w:sz w:val="20"/>
                <w:szCs w:val="20"/>
              </w:rPr>
            </w:pPr>
            <w:r w:rsidRPr="002B2E87">
              <w:rPr>
                <w:rFonts w:eastAsia="Times New Roman" w:cs="Arial"/>
                <w:b/>
                <w:sz w:val="20"/>
                <w:szCs w:val="20"/>
              </w:rPr>
              <w:t>Date</w:t>
            </w:r>
          </w:p>
        </w:tc>
        <w:tc>
          <w:tcPr>
            <w:tcW w:w="763" w:type="pct"/>
            <w:shd w:val="clear" w:color="auto" w:fill="D6DCF0" w:themeFill="accent1" w:themeFillTint="33"/>
            <w:vAlign w:val="center"/>
          </w:tcPr>
          <w:p w:rsidRPr="002B2E87" w:rsidR="002B2E87" w:rsidP="002B2E87" w:rsidRDefault="002B2E87" w14:paraId="53B293F3" w14:textId="77777777">
            <w:pPr>
              <w:jc w:val="center"/>
              <w:rPr>
                <w:rFonts w:eastAsia="Times New Roman" w:cs="Arial"/>
                <w:b/>
                <w:sz w:val="20"/>
                <w:szCs w:val="20"/>
              </w:rPr>
            </w:pPr>
            <w:r w:rsidRPr="002B2E87">
              <w:rPr>
                <w:rFonts w:eastAsia="Times New Roman" w:cs="Arial"/>
                <w:b/>
                <w:sz w:val="20"/>
                <w:szCs w:val="20"/>
              </w:rPr>
              <w:t>Author(s)</w:t>
            </w:r>
          </w:p>
        </w:tc>
        <w:tc>
          <w:tcPr>
            <w:tcW w:w="1944" w:type="pct"/>
            <w:shd w:val="clear" w:color="auto" w:fill="D6DCF0" w:themeFill="accent1" w:themeFillTint="33"/>
            <w:vAlign w:val="center"/>
          </w:tcPr>
          <w:p w:rsidRPr="002B2E87" w:rsidR="002B2E87" w:rsidP="002B2E87" w:rsidRDefault="002B2E87" w14:paraId="04E2A427" w14:textId="77777777">
            <w:pPr>
              <w:jc w:val="center"/>
              <w:rPr>
                <w:rFonts w:eastAsia="Times New Roman" w:cs="Arial"/>
                <w:b/>
                <w:sz w:val="20"/>
                <w:szCs w:val="20"/>
              </w:rPr>
            </w:pPr>
            <w:r w:rsidRPr="002B2E87">
              <w:rPr>
                <w:rFonts w:eastAsia="Times New Roman" w:cs="Arial"/>
                <w:b/>
                <w:sz w:val="20"/>
                <w:szCs w:val="20"/>
              </w:rPr>
              <w:t>Summary of Changes</w:t>
            </w:r>
          </w:p>
        </w:tc>
      </w:tr>
      <w:tr w:rsidRPr="002B2E87" w:rsidR="002B2E87" w:rsidTr="32EF9798" w14:paraId="4BA4A705" w14:textId="77777777">
        <w:tc>
          <w:tcPr>
            <w:tcW w:w="902" w:type="pct"/>
          </w:tcPr>
          <w:p w:rsidRPr="002B2E87" w:rsidR="002B2E87" w:rsidP="002B2E87" w:rsidRDefault="00C721D4" w14:paraId="35EF9599" w14:textId="1DE9C32F">
            <w:pPr>
              <w:jc w:val="center"/>
              <w:rPr>
                <w:rFonts w:eastAsia="Times New Roman" w:cs="Arial"/>
                <w:sz w:val="20"/>
                <w:szCs w:val="20"/>
              </w:rPr>
            </w:pPr>
            <w:r>
              <w:rPr>
                <w:rFonts w:eastAsia="Times New Roman" w:cs="Arial"/>
                <w:sz w:val="20"/>
                <w:szCs w:val="20"/>
              </w:rPr>
              <w:t>0.1</w:t>
            </w:r>
          </w:p>
        </w:tc>
        <w:tc>
          <w:tcPr>
            <w:tcW w:w="835" w:type="pct"/>
          </w:tcPr>
          <w:p w:rsidRPr="002B2E87" w:rsidR="002B2E87" w:rsidP="002B2E87" w:rsidRDefault="0032604C" w14:paraId="434AE054" w14:textId="3D89FC6F">
            <w:pPr>
              <w:jc w:val="center"/>
              <w:rPr>
                <w:rFonts w:eastAsia="Times New Roman" w:cs="Arial"/>
                <w:sz w:val="20"/>
                <w:szCs w:val="20"/>
              </w:rPr>
            </w:pPr>
            <w:r>
              <w:rPr>
                <w:rFonts w:eastAsia="Times New Roman" w:cs="Arial"/>
                <w:sz w:val="20"/>
                <w:szCs w:val="20"/>
              </w:rPr>
              <w:t xml:space="preserve">Draft </w:t>
            </w:r>
          </w:p>
        </w:tc>
        <w:tc>
          <w:tcPr>
            <w:tcW w:w="556" w:type="pct"/>
          </w:tcPr>
          <w:p w:rsidRPr="002B2E87" w:rsidR="002B2E87" w:rsidP="002B2E87" w:rsidRDefault="00D56421" w14:paraId="2A8CD6E0" w14:textId="02A5A3FA">
            <w:pPr>
              <w:jc w:val="center"/>
              <w:rPr>
                <w:rFonts w:eastAsia="Times New Roman" w:cs="Arial"/>
                <w:sz w:val="20"/>
                <w:szCs w:val="20"/>
              </w:rPr>
            </w:pPr>
            <w:r>
              <w:rPr>
                <w:rFonts w:eastAsia="Times New Roman" w:cs="Arial"/>
                <w:sz w:val="20"/>
                <w:szCs w:val="20"/>
              </w:rPr>
              <w:t>26/04</w:t>
            </w:r>
            <w:r w:rsidR="00014007">
              <w:rPr>
                <w:rFonts w:eastAsia="Times New Roman" w:cs="Arial"/>
                <w:sz w:val="20"/>
                <w:szCs w:val="20"/>
              </w:rPr>
              <w:t>/2021</w:t>
            </w:r>
          </w:p>
        </w:tc>
        <w:tc>
          <w:tcPr>
            <w:tcW w:w="763" w:type="pct"/>
          </w:tcPr>
          <w:p w:rsidRPr="002B2E87" w:rsidR="002B2E87" w:rsidP="002B2E87" w:rsidRDefault="00D56421" w14:paraId="781C197A" w14:textId="4966F929">
            <w:pPr>
              <w:jc w:val="center"/>
              <w:rPr>
                <w:rFonts w:eastAsia="Times New Roman" w:cs="Arial"/>
                <w:sz w:val="20"/>
                <w:szCs w:val="20"/>
              </w:rPr>
            </w:pPr>
            <w:r>
              <w:rPr>
                <w:rFonts w:eastAsia="Times New Roman" w:cs="Arial"/>
                <w:sz w:val="20"/>
                <w:szCs w:val="20"/>
              </w:rPr>
              <w:t>Laura Chambers</w:t>
            </w:r>
          </w:p>
        </w:tc>
        <w:tc>
          <w:tcPr>
            <w:tcW w:w="1944" w:type="pct"/>
          </w:tcPr>
          <w:p w:rsidRPr="002B2E87" w:rsidR="002B2E87" w:rsidP="002B2E87" w:rsidRDefault="0032604C" w14:paraId="690A4FCF" w14:textId="0079CFC6">
            <w:pPr>
              <w:jc w:val="center"/>
              <w:rPr>
                <w:rFonts w:eastAsia="Times New Roman" w:cs="Arial"/>
                <w:sz w:val="20"/>
                <w:szCs w:val="20"/>
              </w:rPr>
            </w:pPr>
            <w:r>
              <w:rPr>
                <w:rFonts w:eastAsia="Times New Roman" w:cs="Arial"/>
                <w:sz w:val="20"/>
                <w:szCs w:val="20"/>
              </w:rPr>
              <w:t>Initial draft</w:t>
            </w:r>
          </w:p>
        </w:tc>
      </w:tr>
      <w:tr w:rsidRPr="002B2E87" w:rsidR="00975BC5" w:rsidTr="32EF9798" w14:paraId="420D8008" w14:textId="77777777">
        <w:tc>
          <w:tcPr>
            <w:tcW w:w="902" w:type="pct"/>
          </w:tcPr>
          <w:p w:rsidR="00975BC5" w:rsidP="002B2E87" w:rsidRDefault="004A35CC" w14:paraId="570905FA" w14:textId="495BC7B1">
            <w:pPr>
              <w:jc w:val="center"/>
              <w:rPr>
                <w:rFonts w:eastAsia="Times New Roman" w:cs="Arial"/>
                <w:sz w:val="20"/>
                <w:szCs w:val="20"/>
              </w:rPr>
            </w:pPr>
            <w:r>
              <w:rPr>
                <w:rFonts w:eastAsia="Times New Roman" w:cs="Arial"/>
                <w:sz w:val="20"/>
                <w:szCs w:val="20"/>
              </w:rPr>
              <w:t>2.0</w:t>
            </w:r>
          </w:p>
        </w:tc>
        <w:tc>
          <w:tcPr>
            <w:tcW w:w="835" w:type="pct"/>
          </w:tcPr>
          <w:p w:rsidR="00975BC5" w:rsidP="002B2E87" w:rsidRDefault="46073681" w14:paraId="10372868" w14:textId="213ED9FD">
            <w:pPr>
              <w:jc w:val="center"/>
              <w:rPr>
                <w:rFonts w:eastAsia="Times New Roman" w:cs="Arial"/>
                <w:sz w:val="20"/>
                <w:szCs w:val="20"/>
              </w:rPr>
            </w:pPr>
            <w:r w:rsidRPr="32EF9798">
              <w:rPr>
                <w:rFonts w:eastAsia="Times New Roman" w:cs="Arial"/>
                <w:sz w:val="20"/>
                <w:szCs w:val="20"/>
              </w:rPr>
              <w:t>Approved</w:t>
            </w:r>
          </w:p>
        </w:tc>
        <w:tc>
          <w:tcPr>
            <w:tcW w:w="556" w:type="pct"/>
          </w:tcPr>
          <w:p w:rsidR="00975BC5" w:rsidP="002B2E87" w:rsidRDefault="729516D5" w14:paraId="2F15D66E" w14:textId="599F45F9">
            <w:pPr>
              <w:jc w:val="center"/>
              <w:rPr>
                <w:rFonts w:eastAsia="Times New Roman" w:cs="Arial"/>
                <w:sz w:val="20"/>
                <w:szCs w:val="20"/>
              </w:rPr>
            </w:pPr>
            <w:r w:rsidRPr="32EF9798">
              <w:rPr>
                <w:rFonts w:eastAsia="Times New Roman" w:cs="Arial"/>
                <w:sz w:val="20"/>
                <w:szCs w:val="20"/>
              </w:rPr>
              <w:t>07</w:t>
            </w:r>
            <w:r w:rsidRPr="32EF9798" w:rsidR="004A35CC">
              <w:rPr>
                <w:rFonts w:eastAsia="Times New Roman" w:cs="Arial"/>
                <w:sz w:val="20"/>
                <w:szCs w:val="20"/>
              </w:rPr>
              <w:t>/</w:t>
            </w:r>
            <w:r w:rsidRPr="32EF9798" w:rsidR="0CE2346A">
              <w:rPr>
                <w:rFonts w:eastAsia="Times New Roman" w:cs="Arial"/>
                <w:sz w:val="20"/>
                <w:szCs w:val="20"/>
              </w:rPr>
              <w:t>07</w:t>
            </w:r>
            <w:r w:rsidRPr="32EF9798" w:rsidR="004A35CC">
              <w:rPr>
                <w:rFonts w:eastAsia="Times New Roman" w:cs="Arial"/>
                <w:sz w:val="20"/>
                <w:szCs w:val="20"/>
              </w:rPr>
              <w:t>/21</w:t>
            </w:r>
          </w:p>
        </w:tc>
        <w:tc>
          <w:tcPr>
            <w:tcW w:w="763" w:type="pct"/>
          </w:tcPr>
          <w:p w:rsidR="00975BC5" w:rsidP="002B2E87" w:rsidRDefault="004A35CC" w14:paraId="73CFF9B9" w14:textId="6EC9B19F">
            <w:pPr>
              <w:jc w:val="center"/>
              <w:rPr>
                <w:rFonts w:eastAsia="Times New Roman" w:cs="Arial"/>
                <w:sz w:val="20"/>
                <w:szCs w:val="20"/>
              </w:rPr>
            </w:pPr>
            <w:r>
              <w:rPr>
                <w:rFonts w:eastAsia="Times New Roman" w:cs="Arial"/>
                <w:sz w:val="20"/>
                <w:szCs w:val="20"/>
              </w:rPr>
              <w:t>Tara Ross</w:t>
            </w:r>
          </w:p>
        </w:tc>
        <w:tc>
          <w:tcPr>
            <w:tcW w:w="1944" w:type="pct"/>
          </w:tcPr>
          <w:p w:rsidR="00975BC5" w:rsidP="002B2E87" w:rsidRDefault="004A35CC" w14:paraId="0CAC1E27" w14:textId="31EE8B37">
            <w:pPr>
              <w:jc w:val="center"/>
              <w:rPr>
                <w:rFonts w:eastAsia="Times New Roman" w:cs="Arial"/>
                <w:sz w:val="20"/>
                <w:szCs w:val="20"/>
              </w:rPr>
            </w:pPr>
            <w:r>
              <w:rPr>
                <w:rFonts w:eastAsia="Times New Roman" w:cs="Arial"/>
                <w:sz w:val="20"/>
                <w:szCs w:val="20"/>
              </w:rPr>
              <w:t>Included XRN4780C in the scope table and the BER at zero cost</w:t>
            </w:r>
          </w:p>
        </w:tc>
      </w:tr>
      <w:tr w:rsidRPr="002B2E87" w:rsidR="008E458F" w:rsidTr="32EF9798" w14:paraId="2C639979" w14:textId="77777777">
        <w:tc>
          <w:tcPr>
            <w:tcW w:w="902" w:type="pct"/>
          </w:tcPr>
          <w:p w:rsidR="008E458F" w:rsidP="002B2E87" w:rsidRDefault="008127DA" w14:paraId="0D1B2E30" w14:textId="1A397EA5">
            <w:pPr>
              <w:jc w:val="center"/>
              <w:rPr>
                <w:rFonts w:eastAsia="Times New Roman" w:cs="Arial"/>
                <w:sz w:val="20"/>
                <w:szCs w:val="20"/>
              </w:rPr>
            </w:pPr>
            <w:r>
              <w:rPr>
                <w:rFonts w:eastAsia="Times New Roman" w:cs="Arial"/>
                <w:sz w:val="20"/>
                <w:szCs w:val="20"/>
              </w:rPr>
              <w:t>3.0</w:t>
            </w:r>
          </w:p>
        </w:tc>
        <w:tc>
          <w:tcPr>
            <w:tcW w:w="835" w:type="pct"/>
          </w:tcPr>
          <w:p w:rsidR="008E458F" w:rsidP="002B2E87" w:rsidRDefault="008127DA" w14:paraId="66C7AF5E" w14:textId="459D2DEE">
            <w:pPr>
              <w:jc w:val="center"/>
              <w:rPr>
                <w:rFonts w:eastAsia="Times New Roman" w:cs="Arial"/>
                <w:sz w:val="20"/>
                <w:szCs w:val="20"/>
              </w:rPr>
            </w:pPr>
            <w:r>
              <w:rPr>
                <w:rFonts w:eastAsia="Times New Roman" w:cs="Arial"/>
                <w:sz w:val="20"/>
                <w:szCs w:val="20"/>
              </w:rPr>
              <w:t>Approved</w:t>
            </w:r>
          </w:p>
        </w:tc>
        <w:tc>
          <w:tcPr>
            <w:tcW w:w="556" w:type="pct"/>
          </w:tcPr>
          <w:p w:rsidR="008E458F" w:rsidP="002B2E87" w:rsidRDefault="008127DA" w14:paraId="159F9160" w14:textId="63C74D43">
            <w:pPr>
              <w:jc w:val="center"/>
              <w:rPr>
                <w:rFonts w:eastAsia="Times New Roman" w:cs="Arial"/>
                <w:sz w:val="20"/>
                <w:szCs w:val="20"/>
              </w:rPr>
            </w:pPr>
            <w:r>
              <w:rPr>
                <w:rFonts w:eastAsia="Times New Roman" w:cs="Arial"/>
                <w:sz w:val="20"/>
                <w:szCs w:val="20"/>
              </w:rPr>
              <w:t>31/01/22</w:t>
            </w:r>
          </w:p>
        </w:tc>
        <w:tc>
          <w:tcPr>
            <w:tcW w:w="763" w:type="pct"/>
          </w:tcPr>
          <w:p w:rsidR="008E458F" w:rsidP="002B2E87" w:rsidRDefault="008127DA" w14:paraId="2598DCC1" w14:textId="740D5EE9">
            <w:pPr>
              <w:jc w:val="center"/>
              <w:rPr>
                <w:rFonts w:eastAsia="Times New Roman" w:cs="Arial"/>
                <w:sz w:val="20"/>
                <w:szCs w:val="20"/>
              </w:rPr>
            </w:pPr>
            <w:r>
              <w:rPr>
                <w:rFonts w:eastAsia="Times New Roman" w:cs="Arial"/>
                <w:sz w:val="20"/>
                <w:szCs w:val="20"/>
              </w:rPr>
              <w:t>Bali Bahia</w:t>
            </w:r>
          </w:p>
        </w:tc>
        <w:tc>
          <w:tcPr>
            <w:tcW w:w="1944" w:type="pct"/>
          </w:tcPr>
          <w:p w:rsidR="008E458F" w:rsidP="002B2E87" w:rsidRDefault="008127DA" w14:paraId="74599986" w14:textId="3408E261">
            <w:pPr>
              <w:jc w:val="center"/>
              <w:rPr>
                <w:rFonts w:eastAsia="Times New Roman" w:cs="Arial"/>
                <w:sz w:val="20"/>
                <w:szCs w:val="20"/>
              </w:rPr>
            </w:pPr>
            <w:r>
              <w:rPr>
                <w:rFonts w:eastAsia="Times New Roman" w:cs="Arial"/>
                <w:sz w:val="20"/>
                <w:szCs w:val="20"/>
              </w:rPr>
              <w:t>Included XRN4992a &amp; XRN5188b in Section 1 scope and section 3 at zero cost</w:t>
            </w:r>
          </w:p>
        </w:tc>
      </w:tr>
      <w:tr w:rsidRPr="002B2E87" w:rsidR="008E458F" w:rsidTr="32EF9798" w14:paraId="4E78B688" w14:textId="77777777">
        <w:tc>
          <w:tcPr>
            <w:tcW w:w="902" w:type="pct"/>
          </w:tcPr>
          <w:p w:rsidR="008E458F" w:rsidP="002B2E87" w:rsidRDefault="008E458F" w14:paraId="0B3FDD7E" w14:textId="7651052A">
            <w:pPr>
              <w:jc w:val="center"/>
              <w:rPr>
                <w:rFonts w:eastAsia="Times New Roman" w:cs="Arial"/>
                <w:sz w:val="20"/>
                <w:szCs w:val="20"/>
              </w:rPr>
            </w:pPr>
          </w:p>
        </w:tc>
        <w:tc>
          <w:tcPr>
            <w:tcW w:w="835" w:type="pct"/>
          </w:tcPr>
          <w:p w:rsidR="008E458F" w:rsidP="002B2E87" w:rsidRDefault="008E458F" w14:paraId="2C20ECC9" w14:textId="0813AFEE">
            <w:pPr>
              <w:jc w:val="center"/>
              <w:rPr>
                <w:rFonts w:eastAsia="Times New Roman" w:cs="Arial"/>
                <w:sz w:val="20"/>
                <w:szCs w:val="20"/>
              </w:rPr>
            </w:pPr>
          </w:p>
        </w:tc>
        <w:tc>
          <w:tcPr>
            <w:tcW w:w="556" w:type="pct"/>
          </w:tcPr>
          <w:p w:rsidR="008E458F" w:rsidP="002B2E87" w:rsidRDefault="008E458F" w14:paraId="0628B5D6" w14:textId="18C992DC">
            <w:pPr>
              <w:jc w:val="center"/>
              <w:rPr>
                <w:rFonts w:eastAsia="Times New Roman" w:cs="Arial"/>
                <w:sz w:val="20"/>
                <w:szCs w:val="20"/>
              </w:rPr>
            </w:pPr>
          </w:p>
        </w:tc>
        <w:tc>
          <w:tcPr>
            <w:tcW w:w="763" w:type="pct"/>
          </w:tcPr>
          <w:p w:rsidR="008E458F" w:rsidP="002B2E87" w:rsidRDefault="008E458F" w14:paraId="62D48BE9" w14:textId="1BBF6670">
            <w:pPr>
              <w:jc w:val="center"/>
              <w:rPr>
                <w:rFonts w:eastAsia="Times New Roman" w:cs="Arial"/>
                <w:sz w:val="20"/>
                <w:szCs w:val="20"/>
              </w:rPr>
            </w:pPr>
          </w:p>
        </w:tc>
        <w:tc>
          <w:tcPr>
            <w:tcW w:w="1944" w:type="pct"/>
          </w:tcPr>
          <w:p w:rsidR="008E458F" w:rsidP="002B2E87" w:rsidRDefault="008E458F" w14:paraId="0F085A31" w14:textId="0FB48783">
            <w:pPr>
              <w:jc w:val="center"/>
              <w:rPr>
                <w:rFonts w:eastAsia="Times New Roman" w:cs="Arial"/>
                <w:sz w:val="20"/>
                <w:szCs w:val="20"/>
              </w:rPr>
            </w:pPr>
          </w:p>
        </w:tc>
      </w:tr>
      <w:tr w:rsidRPr="002B2E87" w:rsidR="00306F47" w:rsidTr="32EF9798" w14:paraId="46761F7A" w14:textId="77777777">
        <w:tc>
          <w:tcPr>
            <w:tcW w:w="902" w:type="pct"/>
          </w:tcPr>
          <w:p w:rsidR="00306F47" w:rsidP="002B2E87" w:rsidRDefault="00306F47" w14:paraId="040B495A" w14:textId="6635D3EE">
            <w:pPr>
              <w:jc w:val="center"/>
              <w:rPr>
                <w:rFonts w:eastAsia="Times New Roman" w:cs="Arial"/>
                <w:sz w:val="20"/>
                <w:szCs w:val="20"/>
              </w:rPr>
            </w:pPr>
          </w:p>
        </w:tc>
        <w:tc>
          <w:tcPr>
            <w:tcW w:w="835" w:type="pct"/>
          </w:tcPr>
          <w:p w:rsidR="00306F47" w:rsidP="002B2E87" w:rsidRDefault="00306F47" w14:paraId="4009A2AA" w14:textId="5CFCB843">
            <w:pPr>
              <w:jc w:val="center"/>
              <w:rPr>
                <w:rFonts w:eastAsia="Times New Roman" w:cs="Arial"/>
                <w:sz w:val="20"/>
                <w:szCs w:val="20"/>
              </w:rPr>
            </w:pPr>
          </w:p>
        </w:tc>
        <w:tc>
          <w:tcPr>
            <w:tcW w:w="556" w:type="pct"/>
          </w:tcPr>
          <w:p w:rsidR="00306F47" w:rsidP="002B2E87" w:rsidRDefault="00306F47" w14:paraId="4CB22A99" w14:textId="324A0709">
            <w:pPr>
              <w:jc w:val="center"/>
              <w:rPr>
                <w:rFonts w:eastAsia="Times New Roman" w:cs="Arial"/>
                <w:sz w:val="20"/>
                <w:szCs w:val="20"/>
              </w:rPr>
            </w:pPr>
          </w:p>
        </w:tc>
        <w:tc>
          <w:tcPr>
            <w:tcW w:w="763" w:type="pct"/>
          </w:tcPr>
          <w:p w:rsidR="00306F47" w:rsidP="002B2E87" w:rsidRDefault="00306F47" w14:paraId="6A191D6D" w14:textId="3E9697CA">
            <w:pPr>
              <w:jc w:val="center"/>
              <w:rPr>
                <w:rFonts w:eastAsia="Times New Roman" w:cs="Arial"/>
                <w:sz w:val="20"/>
                <w:szCs w:val="20"/>
              </w:rPr>
            </w:pPr>
          </w:p>
        </w:tc>
        <w:tc>
          <w:tcPr>
            <w:tcW w:w="1944" w:type="pct"/>
          </w:tcPr>
          <w:p w:rsidR="00306F47" w:rsidP="002B2E87" w:rsidRDefault="00306F47" w14:paraId="608AC360" w14:textId="1D4015F2">
            <w:pPr>
              <w:jc w:val="center"/>
              <w:rPr>
                <w:rFonts w:eastAsia="Times New Roman" w:cs="Arial"/>
                <w:sz w:val="20"/>
                <w:szCs w:val="20"/>
              </w:rPr>
            </w:pPr>
          </w:p>
        </w:tc>
      </w:tr>
    </w:tbl>
    <w:p w:rsidRPr="002B2E87" w:rsidR="002B2E87" w:rsidP="002B2E87" w:rsidRDefault="002B2E87" w14:paraId="06A83719" w14:textId="77777777">
      <w:pPr>
        <w:rPr>
          <w:rFonts w:eastAsia="Arial" w:cs="Times New Roman"/>
          <w:sz w:val="20"/>
          <w:szCs w:val="20"/>
        </w:rPr>
      </w:pPr>
    </w:p>
    <w:p w:rsidRPr="002B2E87" w:rsidR="002B2E87" w:rsidP="002B2E87" w:rsidRDefault="002B2E87" w14:paraId="7E566A1C" w14:textId="77777777">
      <w:pPr>
        <w:rPr>
          <w:rFonts w:eastAsia="Arial" w:cs="Times New Roman"/>
          <w:b/>
          <w:sz w:val="20"/>
          <w:szCs w:val="20"/>
        </w:rPr>
      </w:pPr>
      <w:r w:rsidRPr="002B2E87">
        <w:rPr>
          <w:rFonts w:eastAsia="Arial" w:cs="Times New Roman"/>
          <w:b/>
          <w:sz w:val="20"/>
          <w:szCs w:val="20"/>
        </w:rPr>
        <w:t>Template Version History</w:t>
      </w:r>
    </w:p>
    <w:tbl>
      <w:tblPr>
        <w:tblStyle w:val="TableGrid1"/>
        <w:tblW w:w="5522" w:type="pct"/>
        <w:tblInd w:w="-459" w:type="dxa"/>
        <w:tblLook w:val="04A0" w:firstRow="1" w:lastRow="0" w:firstColumn="1" w:lastColumn="0" w:noHBand="0" w:noVBand="1"/>
      </w:tblPr>
      <w:tblGrid>
        <w:gridCol w:w="1797"/>
        <w:gridCol w:w="1663"/>
        <w:gridCol w:w="1107"/>
        <w:gridCol w:w="1519"/>
        <w:gridCol w:w="3871"/>
      </w:tblGrid>
      <w:tr w:rsidRPr="002B2E87" w:rsidR="002B2E87" w:rsidTr="002B2E87" w14:paraId="7CD8641A" w14:textId="77777777">
        <w:trPr>
          <w:trHeight w:val="611"/>
        </w:trPr>
        <w:tc>
          <w:tcPr>
            <w:tcW w:w="902" w:type="pct"/>
            <w:tcBorders>
              <w:bottom w:val="single" w:color="auto" w:sz="4" w:space="0"/>
            </w:tcBorders>
            <w:shd w:val="clear" w:color="auto" w:fill="D6DCF0" w:themeFill="accent1" w:themeFillTint="33"/>
            <w:vAlign w:val="center"/>
          </w:tcPr>
          <w:p w:rsidRPr="002B2E87" w:rsidR="002B2E87" w:rsidP="002B2E87" w:rsidRDefault="002B2E87" w14:paraId="54319E92" w14:textId="77777777">
            <w:pPr>
              <w:jc w:val="center"/>
              <w:rPr>
                <w:rFonts w:eastAsia="Times New Roman" w:cs="Arial"/>
                <w:b/>
                <w:sz w:val="20"/>
                <w:szCs w:val="20"/>
              </w:rPr>
            </w:pPr>
            <w:r w:rsidRPr="002B2E87">
              <w:rPr>
                <w:rFonts w:eastAsia="Times New Roman" w:cs="Arial"/>
                <w:b/>
                <w:sz w:val="20"/>
                <w:szCs w:val="20"/>
              </w:rPr>
              <w:t>Version</w:t>
            </w:r>
          </w:p>
        </w:tc>
        <w:tc>
          <w:tcPr>
            <w:tcW w:w="835" w:type="pct"/>
            <w:tcBorders>
              <w:bottom w:val="single" w:color="auto" w:sz="4" w:space="0"/>
            </w:tcBorders>
            <w:shd w:val="clear" w:color="auto" w:fill="D6DCF0" w:themeFill="accent1" w:themeFillTint="33"/>
            <w:vAlign w:val="center"/>
          </w:tcPr>
          <w:p w:rsidRPr="002B2E87" w:rsidR="002B2E87" w:rsidP="002B2E87" w:rsidRDefault="002B2E87" w14:paraId="0E9D1E2F" w14:textId="77777777">
            <w:pPr>
              <w:jc w:val="center"/>
              <w:rPr>
                <w:rFonts w:eastAsia="Times New Roman" w:cs="Arial"/>
                <w:b/>
                <w:sz w:val="20"/>
                <w:szCs w:val="20"/>
              </w:rPr>
            </w:pPr>
            <w:r w:rsidRPr="002B2E87">
              <w:rPr>
                <w:rFonts w:eastAsia="Times New Roman" w:cs="Arial"/>
                <w:b/>
                <w:sz w:val="20"/>
                <w:szCs w:val="20"/>
              </w:rPr>
              <w:t>Status</w:t>
            </w:r>
          </w:p>
        </w:tc>
        <w:tc>
          <w:tcPr>
            <w:tcW w:w="556" w:type="pct"/>
            <w:tcBorders>
              <w:bottom w:val="single" w:color="auto" w:sz="4" w:space="0"/>
            </w:tcBorders>
            <w:shd w:val="clear" w:color="auto" w:fill="D6DCF0" w:themeFill="accent1" w:themeFillTint="33"/>
            <w:vAlign w:val="center"/>
          </w:tcPr>
          <w:p w:rsidRPr="002B2E87" w:rsidR="002B2E87" w:rsidP="002B2E87" w:rsidRDefault="002B2E87" w14:paraId="3C9BAE11" w14:textId="77777777">
            <w:pPr>
              <w:jc w:val="center"/>
              <w:rPr>
                <w:rFonts w:eastAsia="Times New Roman" w:cs="Arial"/>
                <w:b/>
                <w:sz w:val="20"/>
                <w:szCs w:val="20"/>
              </w:rPr>
            </w:pPr>
            <w:r w:rsidRPr="002B2E87">
              <w:rPr>
                <w:rFonts w:eastAsia="Times New Roman" w:cs="Arial"/>
                <w:b/>
                <w:sz w:val="20"/>
                <w:szCs w:val="20"/>
              </w:rPr>
              <w:t>Date</w:t>
            </w:r>
          </w:p>
        </w:tc>
        <w:tc>
          <w:tcPr>
            <w:tcW w:w="763" w:type="pct"/>
            <w:tcBorders>
              <w:bottom w:val="single" w:color="auto" w:sz="4" w:space="0"/>
            </w:tcBorders>
            <w:shd w:val="clear" w:color="auto" w:fill="D6DCF0" w:themeFill="accent1" w:themeFillTint="33"/>
            <w:vAlign w:val="center"/>
          </w:tcPr>
          <w:p w:rsidRPr="002B2E87" w:rsidR="002B2E87" w:rsidP="002B2E87" w:rsidRDefault="002B2E87" w14:paraId="3B719679" w14:textId="77777777">
            <w:pPr>
              <w:jc w:val="center"/>
              <w:rPr>
                <w:rFonts w:eastAsia="Times New Roman" w:cs="Arial"/>
                <w:b/>
                <w:sz w:val="20"/>
                <w:szCs w:val="20"/>
              </w:rPr>
            </w:pPr>
            <w:r w:rsidRPr="002B2E87">
              <w:rPr>
                <w:rFonts w:eastAsia="Times New Roman" w:cs="Arial"/>
                <w:b/>
                <w:sz w:val="20"/>
                <w:szCs w:val="20"/>
              </w:rPr>
              <w:t>Author(s)</w:t>
            </w:r>
          </w:p>
        </w:tc>
        <w:tc>
          <w:tcPr>
            <w:tcW w:w="1944" w:type="pct"/>
            <w:tcBorders>
              <w:bottom w:val="single" w:color="auto" w:sz="4" w:space="0"/>
            </w:tcBorders>
            <w:shd w:val="clear" w:color="auto" w:fill="D6DCF0" w:themeFill="accent1" w:themeFillTint="33"/>
            <w:vAlign w:val="center"/>
          </w:tcPr>
          <w:p w:rsidRPr="002B2E87" w:rsidR="002B2E87" w:rsidP="002B2E87" w:rsidRDefault="002B2E87" w14:paraId="0FA660B3" w14:textId="77777777">
            <w:pPr>
              <w:jc w:val="center"/>
              <w:rPr>
                <w:rFonts w:eastAsia="Times New Roman" w:cs="Arial"/>
                <w:b/>
                <w:sz w:val="20"/>
                <w:szCs w:val="20"/>
              </w:rPr>
            </w:pPr>
            <w:r w:rsidRPr="002B2E87">
              <w:rPr>
                <w:rFonts w:eastAsia="Times New Roman" w:cs="Arial"/>
                <w:b/>
                <w:sz w:val="20"/>
                <w:szCs w:val="20"/>
              </w:rPr>
              <w:t>Summary of Changes</w:t>
            </w:r>
          </w:p>
        </w:tc>
      </w:tr>
      <w:tr w:rsidRPr="002B2E87" w:rsidR="002B2E87" w:rsidTr="002B2E87" w14:paraId="67EF6482" w14:textId="77777777">
        <w:trPr>
          <w:trHeight w:val="611"/>
        </w:trPr>
        <w:tc>
          <w:tcPr>
            <w:tcW w:w="902" w:type="pct"/>
            <w:shd w:val="clear" w:color="auto" w:fill="FFFFFF" w:themeFill="background1"/>
            <w:vAlign w:val="center"/>
          </w:tcPr>
          <w:p w:rsidRPr="00E52009" w:rsidR="002B2E87" w:rsidP="002B2E87" w:rsidRDefault="002B2E87" w14:paraId="148538AD" w14:textId="41FB4BB0">
            <w:pPr>
              <w:jc w:val="center"/>
              <w:rPr>
                <w:rFonts w:eastAsia="Times New Roman" w:cs="Arial"/>
                <w:sz w:val="20"/>
                <w:szCs w:val="20"/>
              </w:rPr>
            </w:pPr>
          </w:p>
        </w:tc>
        <w:tc>
          <w:tcPr>
            <w:tcW w:w="835" w:type="pct"/>
            <w:shd w:val="clear" w:color="auto" w:fill="FFFFFF" w:themeFill="background1"/>
            <w:vAlign w:val="center"/>
          </w:tcPr>
          <w:p w:rsidRPr="00E52009" w:rsidR="002B2E87" w:rsidP="002B2E87" w:rsidRDefault="002B2E87" w14:paraId="55DC08CE" w14:textId="68E8B1D6">
            <w:pPr>
              <w:jc w:val="center"/>
              <w:rPr>
                <w:rFonts w:eastAsia="Times New Roman" w:cs="Arial"/>
                <w:sz w:val="20"/>
                <w:szCs w:val="20"/>
              </w:rPr>
            </w:pPr>
          </w:p>
        </w:tc>
        <w:tc>
          <w:tcPr>
            <w:tcW w:w="556" w:type="pct"/>
            <w:shd w:val="clear" w:color="auto" w:fill="FFFFFF" w:themeFill="background1"/>
            <w:vAlign w:val="center"/>
          </w:tcPr>
          <w:p w:rsidRPr="00E52009" w:rsidR="002B2E87" w:rsidP="002B2E87" w:rsidRDefault="002B2E87" w14:paraId="754ABD5F" w14:textId="509E6DD7">
            <w:pPr>
              <w:jc w:val="center"/>
              <w:rPr>
                <w:rFonts w:eastAsia="Times New Roman" w:cs="Arial"/>
                <w:sz w:val="20"/>
                <w:szCs w:val="20"/>
              </w:rPr>
            </w:pPr>
          </w:p>
        </w:tc>
        <w:tc>
          <w:tcPr>
            <w:tcW w:w="763" w:type="pct"/>
            <w:shd w:val="clear" w:color="auto" w:fill="FFFFFF" w:themeFill="background1"/>
            <w:vAlign w:val="center"/>
          </w:tcPr>
          <w:p w:rsidRPr="00E52009" w:rsidR="002B2E87" w:rsidP="002B2E87" w:rsidRDefault="002B2E87" w14:paraId="4F4FCCFD" w14:textId="7DDADEB3">
            <w:pPr>
              <w:jc w:val="center"/>
              <w:rPr>
                <w:rFonts w:eastAsia="Times New Roman" w:cs="Arial"/>
                <w:sz w:val="20"/>
                <w:szCs w:val="20"/>
              </w:rPr>
            </w:pPr>
          </w:p>
        </w:tc>
        <w:tc>
          <w:tcPr>
            <w:tcW w:w="1944" w:type="pct"/>
            <w:shd w:val="clear" w:color="auto" w:fill="FFFFFF" w:themeFill="background1"/>
            <w:vAlign w:val="center"/>
          </w:tcPr>
          <w:p w:rsidRPr="00E52009" w:rsidR="002B2E87" w:rsidP="002B2E87" w:rsidRDefault="002B2E87" w14:paraId="4377D9E8" w14:textId="6E8EF85C">
            <w:pPr>
              <w:rPr>
                <w:rFonts w:eastAsia="Times New Roman" w:cs="Arial"/>
                <w:sz w:val="20"/>
                <w:szCs w:val="20"/>
              </w:rPr>
            </w:pPr>
          </w:p>
        </w:tc>
      </w:tr>
      <w:tr w:rsidRPr="002B2E87" w:rsidR="002B2E87" w:rsidTr="002B2E87" w14:paraId="0B62DCEC" w14:textId="77777777">
        <w:trPr>
          <w:trHeight w:val="611"/>
        </w:trPr>
        <w:tc>
          <w:tcPr>
            <w:tcW w:w="902" w:type="pct"/>
            <w:shd w:val="clear" w:color="auto" w:fill="FFFFFF" w:themeFill="background1"/>
            <w:vAlign w:val="center"/>
          </w:tcPr>
          <w:p w:rsidRPr="002B2E87" w:rsidR="002B2E87" w:rsidP="002B2E87" w:rsidRDefault="002B2E87" w14:paraId="41398EFD" w14:textId="589F6816">
            <w:pPr>
              <w:jc w:val="center"/>
              <w:rPr>
                <w:rFonts w:eastAsia="Times New Roman" w:cs="Arial"/>
                <w:sz w:val="20"/>
              </w:rPr>
            </w:pPr>
          </w:p>
        </w:tc>
        <w:tc>
          <w:tcPr>
            <w:tcW w:w="835" w:type="pct"/>
            <w:shd w:val="clear" w:color="auto" w:fill="FFFFFF" w:themeFill="background1"/>
            <w:vAlign w:val="center"/>
          </w:tcPr>
          <w:p w:rsidRPr="002B2E87" w:rsidR="002B2E87" w:rsidP="002B2E87" w:rsidRDefault="002B2E87" w14:paraId="582F6057" w14:textId="0187FA71">
            <w:pPr>
              <w:jc w:val="center"/>
              <w:rPr>
                <w:rFonts w:eastAsia="Times New Roman" w:cs="Arial"/>
                <w:sz w:val="20"/>
              </w:rPr>
            </w:pPr>
          </w:p>
        </w:tc>
        <w:tc>
          <w:tcPr>
            <w:tcW w:w="556" w:type="pct"/>
            <w:shd w:val="clear" w:color="auto" w:fill="FFFFFF" w:themeFill="background1"/>
            <w:vAlign w:val="center"/>
          </w:tcPr>
          <w:p w:rsidRPr="002B2E87" w:rsidR="002B2E87" w:rsidP="002B2E87" w:rsidRDefault="002B2E87" w14:paraId="2C8FE10B" w14:textId="4C1CA237">
            <w:pPr>
              <w:jc w:val="center"/>
              <w:rPr>
                <w:rFonts w:eastAsia="Times New Roman" w:cs="Arial"/>
                <w:sz w:val="20"/>
              </w:rPr>
            </w:pPr>
          </w:p>
        </w:tc>
        <w:tc>
          <w:tcPr>
            <w:tcW w:w="763" w:type="pct"/>
            <w:shd w:val="clear" w:color="auto" w:fill="FFFFFF" w:themeFill="background1"/>
            <w:vAlign w:val="center"/>
          </w:tcPr>
          <w:p w:rsidRPr="002B2E87" w:rsidR="002B2E87" w:rsidP="002B2E87" w:rsidRDefault="002B2E87" w14:paraId="26B92B01" w14:textId="152874FC">
            <w:pPr>
              <w:jc w:val="center"/>
              <w:rPr>
                <w:rFonts w:eastAsia="Times New Roman" w:cs="Arial"/>
                <w:sz w:val="20"/>
              </w:rPr>
            </w:pPr>
          </w:p>
        </w:tc>
        <w:tc>
          <w:tcPr>
            <w:tcW w:w="1944" w:type="pct"/>
            <w:shd w:val="clear" w:color="auto" w:fill="FFFFFF" w:themeFill="background1"/>
            <w:vAlign w:val="center"/>
          </w:tcPr>
          <w:p w:rsidRPr="002B2E87" w:rsidR="002B2E87" w:rsidP="002B2E87" w:rsidRDefault="002B2E87" w14:paraId="28B38E32" w14:textId="60937CD2">
            <w:pPr>
              <w:rPr>
                <w:rFonts w:eastAsia="Times New Roman" w:cs="Arial"/>
                <w:sz w:val="18"/>
              </w:rPr>
            </w:pPr>
          </w:p>
        </w:tc>
      </w:tr>
    </w:tbl>
    <w:p w:rsidRPr="00D66C7E" w:rsidR="00D66C7E" w:rsidP="00C721D4" w:rsidRDefault="00D66C7E" w14:paraId="3E175A51" w14:textId="0F18E928"/>
    <w:sectPr w:rsidRPr="00D66C7E" w:rsidR="00D66C7E">
      <w:headerReference w:type="default" r:id="rId24"/>
      <w:footerReference w:type="default" r:id="rId25"/>
      <w:pgSz w:w="11906" w:h="16838" w:orient="portrait"/>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0B095E" w16cex:dateUtc="2021-04-28T08:08:00Z"/>
  <w16cex:commentExtensible w16cex:durableId="4335FF51" w16cex:dateUtc="2021-04-28T06:28:00Z"/>
  <w16cex:commentExtensible w16cex:durableId="0B286D08" w16cex:dateUtc="2021-04-28T06:29:00Z"/>
  <w16cex:commentExtensible w16cex:durableId="70E0993C" w16cex:dateUtc="2021-04-28T06:28:00Z"/>
  <w16cex:commentExtensible w16cex:durableId="7EEF619B" w16cex:dateUtc="2021-04-28T06:28:00Z"/>
  <w16cex:commentExtensible w16cex:durableId="022D3E0B" w16cex:dateUtc="2021-04-28T08:09:00Z"/>
  <w16cex:commentExtensible w16cex:durableId="7767501D" w16cex:dateUtc="2021-04-28T06:30:00Z"/>
  <w16cex:commentExtensible w16cex:durableId="467C4D08" w16cex:dateUtc="2021-04-28T08:09:00Z"/>
  <w16cex:commentExtensible w16cex:durableId="2EA8036D" w16cex:dateUtc="2021-04-29T09:31:53.50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867" w:rsidP="00324744" w:rsidRDefault="00821867" w14:paraId="6C733A2E" w14:textId="77777777">
      <w:pPr>
        <w:spacing w:after="0" w:line="240" w:lineRule="auto"/>
      </w:pPr>
      <w:r>
        <w:separator/>
      </w:r>
    </w:p>
  </w:endnote>
  <w:endnote w:type="continuationSeparator" w:id="0">
    <w:p w:rsidR="00821867" w:rsidP="00324744" w:rsidRDefault="00821867" w14:paraId="63D6FD64" w14:textId="77777777">
      <w:pPr>
        <w:spacing w:after="0" w:line="240" w:lineRule="auto"/>
      </w:pPr>
      <w:r>
        <w:continuationSeparator/>
      </w:r>
    </w:p>
  </w:endnote>
  <w:endnote w:type="continuationNotice" w:id="1">
    <w:p w:rsidR="00821867" w:rsidRDefault="00821867" w14:paraId="77B46D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135C0D" w:rsidRDefault="00135C0D" w14:paraId="3E175A75" w14:textId="77777777">
    <w:pPr>
      <w:pStyle w:val="Footer"/>
    </w:pPr>
    <w:r>
      <w:rPr>
        <w:noProof/>
      </w:rPr>
      <mc:AlternateContent>
        <mc:Choice Requires="wps">
          <w:drawing>
            <wp:anchor distT="0" distB="0" distL="114300" distR="114300" simplePos="0" relativeHeight="251658241" behindDoc="0" locked="0" layoutInCell="1" allowOverlap="1" wp14:anchorId="3E175A78" wp14:editId="3E175A79">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17B2D614">
            <v:rect id="Rectangle 2" style="position:absolute;margin-left:-1in;margin-top:29.65pt;width:595.5pt;height:20.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0d1f5 [3208]" stroked="f" strokeweight="2pt" w14:anchorId="40948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867" w:rsidP="00324744" w:rsidRDefault="00821867" w14:paraId="5289CBFD" w14:textId="77777777">
      <w:pPr>
        <w:spacing w:after="0" w:line="240" w:lineRule="auto"/>
      </w:pPr>
      <w:r>
        <w:separator/>
      </w:r>
    </w:p>
  </w:footnote>
  <w:footnote w:type="continuationSeparator" w:id="0">
    <w:p w:rsidR="00821867" w:rsidP="00324744" w:rsidRDefault="00821867" w14:paraId="06CC2CB2" w14:textId="77777777">
      <w:pPr>
        <w:spacing w:after="0" w:line="240" w:lineRule="auto"/>
      </w:pPr>
      <w:r>
        <w:continuationSeparator/>
      </w:r>
    </w:p>
  </w:footnote>
  <w:footnote w:type="continuationNotice" w:id="1">
    <w:p w:rsidR="00821867" w:rsidRDefault="00821867" w14:paraId="3A2DC2F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135C0D" w:rsidRDefault="00135C0D" w14:paraId="3E175A74" w14:textId="77777777">
    <w:pPr>
      <w:pStyle w:val="Header"/>
    </w:pPr>
    <w:r>
      <w:rPr>
        <w:noProof/>
      </w:rPr>
      <mc:AlternateContent>
        <mc:Choice Requires="wps">
          <w:drawing>
            <wp:anchor distT="0" distB="0" distL="114300" distR="114300" simplePos="0" relativeHeight="251658240" behindDoc="0" locked="0" layoutInCell="1" allowOverlap="1" wp14:anchorId="3E175A76" wp14:editId="3E175A77">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116348AD">
            <v:rect id="Rectangle 1" style="position:absolute;margin-left:-1in;margin-top:-38.4pt;width:595.5pt;height:2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3e5aa8 [3204]" stroked="f" strokeweight="2pt" w14:anchorId="57EB3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697"/>
    <w:multiLevelType w:val="hybridMultilevel"/>
    <w:tmpl w:val="083C2F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B172F3"/>
    <w:multiLevelType w:val="hybridMultilevel"/>
    <w:tmpl w:val="242C0C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E22A7A"/>
    <w:multiLevelType w:val="hybridMultilevel"/>
    <w:tmpl w:val="4EAA3C84"/>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97A2E05"/>
    <w:multiLevelType w:val="hybridMultilevel"/>
    <w:tmpl w:val="F61AE970"/>
    <w:lvl w:ilvl="0" w:tplc="C1CA03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FE6F16"/>
    <w:multiLevelType w:val="multilevel"/>
    <w:tmpl w:val="688057E0"/>
    <w:lvl w:ilvl="0">
      <w:start w:val="1"/>
      <w:numFmt w:val="decimal"/>
      <w:pStyle w:val="NGTHeading1"/>
      <w:lvlText w:val="%1."/>
      <w:lvlJc w:val="left"/>
      <w:pPr>
        <w:tabs>
          <w:tab w:val="num" w:pos="567"/>
        </w:tabs>
        <w:ind w:left="567" w:hanging="567"/>
      </w:pPr>
      <w:rPr>
        <w:rFonts w:hint="default" w:ascii="Arial" w:hAnsi="Arial"/>
        <w:b/>
        <w:i w:val="0"/>
        <w:sz w:val="20"/>
      </w:rPr>
    </w:lvl>
    <w:lvl w:ilvl="1">
      <w:start w:val="1"/>
      <w:numFmt w:val="decimal"/>
      <w:pStyle w:val="NGTHeading2"/>
      <w:lvlText w:val="%1.%2"/>
      <w:lvlJc w:val="left"/>
      <w:pPr>
        <w:tabs>
          <w:tab w:val="num" w:pos="567"/>
        </w:tabs>
        <w:ind w:left="567" w:hanging="567"/>
      </w:pPr>
      <w:rPr>
        <w:rFonts w:hint="default" w:ascii="Arial" w:hAnsi="Arial"/>
        <w:b w:val="0"/>
        <w:i w:val="0"/>
        <w:sz w:val="20"/>
      </w:rPr>
    </w:lvl>
    <w:lvl w:ilvl="2">
      <w:start w:val="1"/>
      <w:numFmt w:val="lowerLetter"/>
      <w:pStyle w:val="NGTHeading3"/>
      <w:lvlText w:val="(%3)"/>
      <w:lvlJc w:val="left"/>
      <w:pPr>
        <w:tabs>
          <w:tab w:val="num" w:pos="1134"/>
        </w:tabs>
        <w:ind w:left="1134" w:hanging="567"/>
      </w:pPr>
      <w:rPr>
        <w:rFonts w:hint="default"/>
      </w:rPr>
    </w:lvl>
    <w:lvl w:ilvl="3">
      <w:start w:val="1"/>
      <w:numFmt w:val="lowerRoman"/>
      <w:pStyle w:val="NGTHeading4"/>
      <w:lvlText w:val="(%4)"/>
      <w:lvlJc w:val="left"/>
      <w:pPr>
        <w:tabs>
          <w:tab w:val="num" w:pos="1854"/>
        </w:tabs>
        <w:ind w:left="1701" w:hanging="567"/>
      </w:pPr>
      <w:rPr>
        <w:rFonts w:hint="default"/>
      </w:rPr>
    </w:lvl>
    <w:lvl w:ilvl="4">
      <w:start w:val="1"/>
      <w:numFmt w:val="upperLetter"/>
      <w:pStyle w:val="NGTHeading5"/>
      <w:lvlText w:val="(%5)"/>
      <w:lvlJc w:val="left"/>
      <w:pPr>
        <w:tabs>
          <w:tab w:val="num" w:pos="2268"/>
        </w:tabs>
        <w:ind w:left="2268" w:hanging="567"/>
      </w:pPr>
      <w:rPr>
        <w:rFonts w:hint="default"/>
      </w:rPr>
    </w:lvl>
    <w:lvl w:ilvl="5">
      <w:start w:val="1"/>
      <w:numFmt w:val="decimal"/>
      <w:pStyle w:val="NGTHeading6"/>
      <w:lvlText w:val="(%6)"/>
      <w:lvlJc w:val="left"/>
      <w:pPr>
        <w:tabs>
          <w:tab w:val="num" w:pos="2835"/>
        </w:tabs>
        <w:ind w:left="2835" w:hanging="567"/>
      </w:pPr>
      <w:rPr>
        <w:rFonts w:hint="default"/>
      </w:rPr>
    </w:lvl>
    <w:lvl w:ilvl="6">
      <w:start w:val="1"/>
      <w:numFmt w:val="upperRoman"/>
      <w:pStyle w:val="NGTHeading7"/>
      <w:lvlText w:val="(%7)"/>
      <w:lvlJc w:val="left"/>
      <w:pPr>
        <w:tabs>
          <w:tab w:val="num" w:pos="3555"/>
        </w:tabs>
        <w:ind w:left="3402" w:hanging="567"/>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 w15:restartNumberingAfterBreak="0">
    <w:nsid w:val="179721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3467D7"/>
    <w:multiLevelType w:val="hybridMultilevel"/>
    <w:tmpl w:val="23CEE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4E211D8"/>
    <w:multiLevelType w:val="hybridMultilevel"/>
    <w:tmpl w:val="8530FD7E"/>
    <w:lvl w:ilvl="0" w:tplc="08090001">
      <w:start w:val="1"/>
      <w:numFmt w:val="bullet"/>
      <w:lvlText w:val=""/>
      <w:lvlJc w:val="left"/>
      <w:pPr>
        <w:ind w:left="766" w:hanging="360"/>
      </w:pPr>
      <w:rPr>
        <w:rFonts w:hint="default" w:ascii="Symbol" w:hAnsi="Symbol"/>
      </w:rPr>
    </w:lvl>
    <w:lvl w:ilvl="1" w:tplc="08090003" w:tentative="1">
      <w:start w:val="1"/>
      <w:numFmt w:val="bullet"/>
      <w:lvlText w:val="o"/>
      <w:lvlJc w:val="left"/>
      <w:pPr>
        <w:ind w:left="1486" w:hanging="360"/>
      </w:pPr>
      <w:rPr>
        <w:rFonts w:hint="default" w:ascii="Courier New" w:hAnsi="Courier New" w:cs="Courier New"/>
      </w:rPr>
    </w:lvl>
    <w:lvl w:ilvl="2" w:tplc="08090005" w:tentative="1">
      <w:start w:val="1"/>
      <w:numFmt w:val="bullet"/>
      <w:lvlText w:val=""/>
      <w:lvlJc w:val="left"/>
      <w:pPr>
        <w:ind w:left="2206" w:hanging="360"/>
      </w:pPr>
      <w:rPr>
        <w:rFonts w:hint="default" w:ascii="Wingdings" w:hAnsi="Wingdings"/>
      </w:rPr>
    </w:lvl>
    <w:lvl w:ilvl="3" w:tplc="08090001" w:tentative="1">
      <w:start w:val="1"/>
      <w:numFmt w:val="bullet"/>
      <w:lvlText w:val=""/>
      <w:lvlJc w:val="left"/>
      <w:pPr>
        <w:ind w:left="2926" w:hanging="360"/>
      </w:pPr>
      <w:rPr>
        <w:rFonts w:hint="default" w:ascii="Symbol" w:hAnsi="Symbol"/>
      </w:rPr>
    </w:lvl>
    <w:lvl w:ilvl="4" w:tplc="08090003" w:tentative="1">
      <w:start w:val="1"/>
      <w:numFmt w:val="bullet"/>
      <w:lvlText w:val="o"/>
      <w:lvlJc w:val="left"/>
      <w:pPr>
        <w:ind w:left="3646" w:hanging="360"/>
      </w:pPr>
      <w:rPr>
        <w:rFonts w:hint="default" w:ascii="Courier New" w:hAnsi="Courier New" w:cs="Courier New"/>
      </w:rPr>
    </w:lvl>
    <w:lvl w:ilvl="5" w:tplc="08090005" w:tentative="1">
      <w:start w:val="1"/>
      <w:numFmt w:val="bullet"/>
      <w:lvlText w:val=""/>
      <w:lvlJc w:val="left"/>
      <w:pPr>
        <w:ind w:left="4366" w:hanging="360"/>
      </w:pPr>
      <w:rPr>
        <w:rFonts w:hint="default" w:ascii="Wingdings" w:hAnsi="Wingdings"/>
      </w:rPr>
    </w:lvl>
    <w:lvl w:ilvl="6" w:tplc="08090001" w:tentative="1">
      <w:start w:val="1"/>
      <w:numFmt w:val="bullet"/>
      <w:lvlText w:val=""/>
      <w:lvlJc w:val="left"/>
      <w:pPr>
        <w:ind w:left="5086" w:hanging="360"/>
      </w:pPr>
      <w:rPr>
        <w:rFonts w:hint="default" w:ascii="Symbol" w:hAnsi="Symbol"/>
      </w:rPr>
    </w:lvl>
    <w:lvl w:ilvl="7" w:tplc="08090003" w:tentative="1">
      <w:start w:val="1"/>
      <w:numFmt w:val="bullet"/>
      <w:lvlText w:val="o"/>
      <w:lvlJc w:val="left"/>
      <w:pPr>
        <w:ind w:left="5806" w:hanging="360"/>
      </w:pPr>
      <w:rPr>
        <w:rFonts w:hint="default" w:ascii="Courier New" w:hAnsi="Courier New" w:cs="Courier New"/>
      </w:rPr>
    </w:lvl>
    <w:lvl w:ilvl="8" w:tplc="08090005" w:tentative="1">
      <w:start w:val="1"/>
      <w:numFmt w:val="bullet"/>
      <w:lvlText w:val=""/>
      <w:lvlJc w:val="left"/>
      <w:pPr>
        <w:ind w:left="6526" w:hanging="360"/>
      </w:pPr>
      <w:rPr>
        <w:rFonts w:hint="default" w:ascii="Wingdings" w:hAnsi="Wingdings"/>
      </w:rPr>
    </w:lvl>
  </w:abstractNum>
  <w:abstractNum w:abstractNumId="8" w15:restartNumberingAfterBreak="0">
    <w:nsid w:val="49807874"/>
    <w:multiLevelType w:val="multilevel"/>
    <w:tmpl w:val="0FA81966"/>
    <w:lvl w:ilvl="0">
      <w:start w:val="1"/>
      <w:numFmt w:val="bullet"/>
      <w:lvlText w:val=""/>
      <w:lvlJc w:val="left"/>
      <w:pPr>
        <w:ind w:left="720" w:hanging="360"/>
      </w:pPr>
      <w:rPr>
        <w:rFonts w:hint="default"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4E7F2B4F"/>
    <w:multiLevelType w:val="hybridMultilevel"/>
    <w:tmpl w:val="456A7ADA"/>
    <w:name w:val="Style411"/>
    <w:styleLink w:val="Style411"/>
    <w:lvl w:ilvl="0" w:tplc="5A689952">
      <w:start w:val="1"/>
      <w:numFmt w:val="bullet"/>
      <w:lvlText w:val=""/>
      <w:lvlJc w:val="left"/>
      <w:pPr>
        <w:ind w:left="720" w:hanging="360"/>
      </w:pPr>
      <w:rPr>
        <w:rFonts w:ascii="Symbol" w:hAnsi="Symbol"/>
      </w:rPr>
    </w:lvl>
    <w:lvl w:ilvl="1" w:tplc="8AE04A60">
      <w:start w:val="1"/>
      <w:numFmt w:val="bullet"/>
      <w:lvlText w:val="o"/>
      <w:lvlJc w:val="left"/>
      <w:pPr>
        <w:ind w:left="1440" w:hanging="360"/>
      </w:pPr>
      <w:rPr>
        <w:rFonts w:ascii="Courier New" w:hAnsi="Courier New" w:cs="Courier New"/>
      </w:rPr>
    </w:lvl>
    <w:lvl w:ilvl="2" w:tplc="CD94286A">
      <w:start w:val="1"/>
      <w:numFmt w:val="bullet"/>
      <w:lvlText w:val=""/>
      <w:lvlJc w:val="left"/>
      <w:pPr>
        <w:ind w:left="2160" w:hanging="360"/>
      </w:pPr>
      <w:rPr>
        <w:rFonts w:ascii="Wingdings" w:hAnsi="Wingdings"/>
      </w:rPr>
    </w:lvl>
    <w:lvl w:ilvl="3" w:tplc="BAAE33A8">
      <w:start w:val="1"/>
      <w:numFmt w:val="bullet"/>
      <w:lvlText w:val=""/>
      <w:lvlJc w:val="left"/>
      <w:pPr>
        <w:ind w:left="2880" w:hanging="360"/>
      </w:pPr>
      <w:rPr>
        <w:rFonts w:ascii="Symbol" w:hAnsi="Symbol"/>
      </w:rPr>
    </w:lvl>
    <w:lvl w:ilvl="4" w:tplc="3ED6ECB4">
      <w:start w:val="1"/>
      <w:numFmt w:val="bullet"/>
      <w:lvlText w:val="o"/>
      <w:lvlJc w:val="left"/>
      <w:pPr>
        <w:ind w:left="3600" w:hanging="360"/>
      </w:pPr>
      <w:rPr>
        <w:rFonts w:ascii="Courier New" w:hAnsi="Courier New" w:cs="Courier New"/>
      </w:rPr>
    </w:lvl>
    <w:lvl w:ilvl="5" w:tplc="62945DF2">
      <w:start w:val="1"/>
      <w:numFmt w:val="bullet"/>
      <w:lvlText w:val=""/>
      <w:lvlJc w:val="left"/>
      <w:pPr>
        <w:ind w:left="4320" w:hanging="360"/>
      </w:pPr>
      <w:rPr>
        <w:rFonts w:ascii="Wingdings" w:hAnsi="Wingdings"/>
      </w:rPr>
    </w:lvl>
    <w:lvl w:ilvl="6" w:tplc="7B0E294A">
      <w:start w:val="1"/>
      <w:numFmt w:val="bullet"/>
      <w:lvlText w:val=""/>
      <w:lvlJc w:val="left"/>
      <w:pPr>
        <w:ind w:left="5040" w:hanging="360"/>
      </w:pPr>
      <w:rPr>
        <w:rFonts w:ascii="Symbol" w:hAnsi="Symbol"/>
      </w:rPr>
    </w:lvl>
    <w:lvl w:ilvl="7" w:tplc="419EDC2A">
      <w:start w:val="1"/>
      <w:numFmt w:val="bullet"/>
      <w:lvlText w:val="o"/>
      <w:lvlJc w:val="left"/>
      <w:pPr>
        <w:ind w:left="5760" w:hanging="360"/>
      </w:pPr>
      <w:rPr>
        <w:rFonts w:ascii="Courier New" w:hAnsi="Courier New" w:cs="Courier New"/>
      </w:rPr>
    </w:lvl>
    <w:lvl w:ilvl="8" w:tplc="F078D966">
      <w:start w:val="1"/>
      <w:numFmt w:val="bullet"/>
      <w:lvlText w:val=""/>
      <w:lvlJc w:val="left"/>
      <w:pPr>
        <w:ind w:left="6480" w:hanging="360"/>
      </w:pPr>
      <w:rPr>
        <w:rFonts w:ascii="Wingdings" w:hAnsi="Wingdings"/>
      </w:rPr>
    </w:lvl>
  </w:abstractNum>
  <w:abstractNum w:abstractNumId="10" w15:restartNumberingAfterBreak="0">
    <w:nsid w:val="4F5E1AFB"/>
    <w:multiLevelType w:val="hybridMultilevel"/>
    <w:tmpl w:val="AB0A39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ED1E00"/>
    <w:multiLevelType w:val="hybridMultilevel"/>
    <w:tmpl w:val="8D1848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74A664FD"/>
    <w:multiLevelType w:val="hybridMultilevel"/>
    <w:tmpl w:val="3DBA5FC8"/>
    <w:lvl w:ilvl="0" w:tplc="C3A88E7C">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53078BE"/>
    <w:multiLevelType w:val="hybridMultilevel"/>
    <w:tmpl w:val="DE82B7FA"/>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7CA92A79"/>
    <w:multiLevelType w:val="hybridMultilevel"/>
    <w:tmpl w:val="F246FFCC"/>
    <w:name w:val="Style41"/>
    <w:styleLink w:val="Style41"/>
    <w:lvl w:ilvl="0" w:tplc="08090001">
      <w:start w:val="1"/>
      <w:numFmt w:val="bullet"/>
      <w:lvlText w:val=""/>
      <w:lvlJc w:val="left"/>
      <w:pPr>
        <w:ind w:left="720" w:hanging="360"/>
      </w:pPr>
      <w:rPr>
        <w:rFonts w:hint="default" w:ascii="Symbol" w:hAnsi="Symbol"/>
      </w:rPr>
    </w:lvl>
    <w:lvl w:ilvl="1" w:tplc="0BE0001A">
      <w:start w:val="1"/>
      <w:numFmt w:val="lowerLetter"/>
      <w:lvlText w:val="%2."/>
      <w:lvlJc w:val="left"/>
      <w:pPr>
        <w:ind w:left="1440" w:hanging="360"/>
      </w:pPr>
    </w:lvl>
    <w:lvl w:ilvl="2" w:tplc="276E2C02">
      <w:start w:val="1"/>
      <w:numFmt w:val="lowerRoman"/>
      <w:lvlText w:val="%3."/>
      <w:lvlJc w:val="right"/>
      <w:pPr>
        <w:ind w:left="2160" w:hanging="180"/>
      </w:pPr>
    </w:lvl>
    <w:lvl w:ilvl="3" w:tplc="99864048">
      <w:start w:val="1"/>
      <w:numFmt w:val="decimal"/>
      <w:lvlText w:val="%4."/>
      <w:lvlJc w:val="left"/>
      <w:pPr>
        <w:ind w:left="2880" w:hanging="360"/>
      </w:pPr>
    </w:lvl>
    <w:lvl w:ilvl="4" w:tplc="9B244D5C">
      <w:start w:val="1"/>
      <w:numFmt w:val="lowerLetter"/>
      <w:lvlText w:val="%5."/>
      <w:lvlJc w:val="left"/>
      <w:pPr>
        <w:ind w:left="3600" w:hanging="360"/>
      </w:pPr>
    </w:lvl>
    <w:lvl w:ilvl="5" w:tplc="4F12EAAE">
      <w:start w:val="1"/>
      <w:numFmt w:val="lowerRoman"/>
      <w:lvlText w:val="%6."/>
      <w:lvlJc w:val="right"/>
      <w:pPr>
        <w:ind w:left="4320" w:hanging="180"/>
      </w:pPr>
    </w:lvl>
    <w:lvl w:ilvl="6" w:tplc="ABDEF396">
      <w:start w:val="1"/>
      <w:numFmt w:val="decimal"/>
      <w:lvlText w:val="%7."/>
      <w:lvlJc w:val="left"/>
      <w:pPr>
        <w:ind w:left="5040" w:hanging="360"/>
      </w:pPr>
    </w:lvl>
    <w:lvl w:ilvl="7" w:tplc="7F148600">
      <w:start w:val="1"/>
      <w:numFmt w:val="lowerLetter"/>
      <w:lvlText w:val="%8."/>
      <w:lvlJc w:val="left"/>
      <w:pPr>
        <w:ind w:left="5760" w:hanging="360"/>
      </w:pPr>
    </w:lvl>
    <w:lvl w:ilvl="8" w:tplc="4408634A">
      <w:start w:val="1"/>
      <w:numFmt w:val="lowerRoman"/>
      <w:lvlText w:val="%9."/>
      <w:lvlJc w:val="right"/>
      <w:pPr>
        <w:ind w:left="6480" w:hanging="180"/>
      </w:pPr>
    </w:lvl>
  </w:abstractNum>
  <w:num w:numId="1">
    <w:abstractNumId w:val="5"/>
  </w:num>
  <w:num w:numId="2">
    <w:abstractNumId w:val="6"/>
  </w:num>
  <w:num w:numId="3">
    <w:abstractNumId w:val="4"/>
  </w:num>
  <w:num w:numId="4">
    <w:abstractNumId w:val="8"/>
  </w:num>
  <w:num w:numId="5">
    <w:abstractNumId w:val="0"/>
  </w:num>
  <w:num w:numId="6">
    <w:abstractNumId w:val="11"/>
  </w:num>
  <w:num w:numId="7">
    <w:abstractNumId w:val="1"/>
  </w:num>
  <w:num w:numId="8">
    <w:abstractNumId w:val="10"/>
  </w:num>
  <w:num w:numId="9">
    <w:abstractNumId w:val="14"/>
  </w:num>
  <w:num w:numId="10">
    <w:abstractNumId w:val="9"/>
  </w:num>
  <w:num w:numId="11">
    <w:abstractNumId w:val="3"/>
  </w:num>
  <w:num w:numId="12">
    <w:abstractNumId w:val="2"/>
  </w:num>
  <w:num w:numId="13">
    <w:abstractNumId w:val="13"/>
  </w:num>
  <w:num w:numId="14">
    <w:abstractNumId w:val="7"/>
  </w:num>
  <w:num w:numId="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3"/>
  <w:hideSpellingErrors/>
  <w:hideGrammaticalErrors/>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6BB6"/>
    <w:rsid w:val="00006E29"/>
    <w:rsid w:val="00010986"/>
    <w:rsid w:val="00011681"/>
    <w:rsid w:val="00014007"/>
    <w:rsid w:val="00014DA2"/>
    <w:rsid w:val="00016736"/>
    <w:rsid w:val="000229F1"/>
    <w:rsid w:val="0002511B"/>
    <w:rsid w:val="00025955"/>
    <w:rsid w:val="0003136C"/>
    <w:rsid w:val="00035EB2"/>
    <w:rsid w:val="0003758F"/>
    <w:rsid w:val="00040B7E"/>
    <w:rsid w:val="00042DB8"/>
    <w:rsid w:val="00043629"/>
    <w:rsid w:val="0004427F"/>
    <w:rsid w:val="00045E44"/>
    <w:rsid w:val="000471A3"/>
    <w:rsid w:val="0005209B"/>
    <w:rsid w:val="00055F7C"/>
    <w:rsid w:val="000560C0"/>
    <w:rsid w:val="00057653"/>
    <w:rsid w:val="00057AFE"/>
    <w:rsid w:val="0006032B"/>
    <w:rsid w:val="000608B3"/>
    <w:rsid w:val="000612CE"/>
    <w:rsid w:val="00061BCD"/>
    <w:rsid w:val="00062E9C"/>
    <w:rsid w:val="00062EB0"/>
    <w:rsid w:val="00074FDE"/>
    <w:rsid w:val="0007561C"/>
    <w:rsid w:val="00075669"/>
    <w:rsid w:val="000759A1"/>
    <w:rsid w:val="000774B8"/>
    <w:rsid w:val="00077DB3"/>
    <w:rsid w:val="000818D5"/>
    <w:rsid w:val="00083E49"/>
    <w:rsid w:val="00084714"/>
    <w:rsid w:val="00086F14"/>
    <w:rsid w:val="000870F3"/>
    <w:rsid w:val="00093D54"/>
    <w:rsid w:val="000958A5"/>
    <w:rsid w:val="000972CB"/>
    <w:rsid w:val="0009754E"/>
    <w:rsid w:val="00097557"/>
    <w:rsid w:val="000A09DA"/>
    <w:rsid w:val="000A1AD1"/>
    <w:rsid w:val="000A5402"/>
    <w:rsid w:val="000A66E9"/>
    <w:rsid w:val="000A6A9E"/>
    <w:rsid w:val="000A71BB"/>
    <w:rsid w:val="000B1B5B"/>
    <w:rsid w:val="000B1D95"/>
    <w:rsid w:val="000B26DE"/>
    <w:rsid w:val="000B332E"/>
    <w:rsid w:val="000B406F"/>
    <w:rsid w:val="000B411F"/>
    <w:rsid w:val="000B6963"/>
    <w:rsid w:val="000B73EA"/>
    <w:rsid w:val="000B7CF3"/>
    <w:rsid w:val="000C2924"/>
    <w:rsid w:val="000C3EC6"/>
    <w:rsid w:val="000C6E46"/>
    <w:rsid w:val="000C74D3"/>
    <w:rsid w:val="000D05B9"/>
    <w:rsid w:val="000D16ED"/>
    <w:rsid w:val="000D252F"/>
    <w:rsid w:val="000E0DC2"/>
    <w:rsid w:val="000E1463"/>
    <w:rsid w:val="000E16C9"/>
    <w:rsid w:val="000E3819"/>
    <w:rsid w:val="000E530C"/>
    <w:rsid w:val="000E55B0"/>
    <w:rsid w:val="000E5E54"/>
    <w:rsid w:val="000F2D15"/>
    <w:rsid w:val="00103FC5"/>
    <w:rsid w:val="00112D74"/>
    <w:rsid w:val="00115508"/>
    <w:rsid w:val="00120018"/>
    <w:rsid w:val="001207D8"/>
    <w:rsid w:val="00122F88"/>
    <w:rsid w:val="00125B61"/>
    <w:rsid w:val="001270A2"/>
    <w:rsid w:val="00127356"/>
    <w:rsid w:val="001353D7"/>
    <w:rsid w:val="00135C0D"/>
    <w:rsid w:val="00136998"/>
    <w:rsid w:val="00137CB9"/>
    <w:rsid w:val="00143EFF"/>
    <w:rsid w:val="001446C2"/>
    <w:rsid w:val="00144E00"/>
    <w:rsid w:val="00146DE4"/>
    <w:rsid w:val="00150D38"/>
    <w:rsid w:val="0015137D"/>
    <w:rsid w:val="001531E7"/>
    <w:rsid w:val="00157073"/>
    <w:rsid w:val="0016147C"/>
    <w:rsid w:val="001742CE"/>
    <w:rsid w:val="00174786"/>
    <w:rsid w:val="001771A2"/>
    <w:rsid w:val="00181F6D"/>
    <w:rsid w:val="00183A53"/>
    <w:rsid w:val="001852E1"/>
    <w:rsid w:val="00186E8F"/>
    <w:rsid w:val="00191D7E"/>
    <w:rsid w:val="00192E27"/>
    <w:rsid w:val="001936FC"/>
    <w:rsid w:val="0019390D"/>
    <w:rsid w:val="00193F34"/>
    <w:rsid w:val="001942F6"/>
    <w:rsid w:val="00195FBE"/>
    <w:rsid w:val="001A4748"/>
    <w:rsid w:val="001B0848"/>
    <w:rsid w:val="001B7DC1"/>
    <w:rsid w:val="001C15F7"/>
    <w:rsid w:val="001C1A4B"/>
    <w:rsid w:val="001D247D"/>
    <w:rsid w:val="001D275E"/>
    <w:rsid w:val="001D668B"/>
    <w:rsid w:val="001D69A1"/>
    <w:rsid w:val="001E398E"/>
    <w:rsid w:val="001E3C5C"/>
    <w:rsid w:val="001E6419"/>
    <w:rsid w:val="001E6D34"/>
    <w:rsid w:val="001F350A"/>
    <w:rsid w:val="001F7F6F"/>
    <w:rsid w:val="00203FBC"/>
    <w:rsid w:val="0022126F"/>
    <w:rsid w:val="00221538"/>
    <w:rsid w:val="00223716"/>
    <w:rsid w:val="002251F1"/>
    <w:rsid w:val="00226D34"/>
    <w:rsid w:val="00233305"/>
    <w:rsid w:val="00242C0A"/>
    <w:rsid w:val="002466AB"/>
    <w:rsid w:val="00253465"/>
    <w:rsid w:val="002539AB"/>
    <w:rsid w:val="00254336"/>
    <w:rsid w:val="00260F79"/>
    <w:rsid w:val="00263B6E"/>
    <w:rsid w:val="0027026C"/>
    <w:rsid w:val="002707BF"/>
    <w:rsid w:val="002765FA"/>
    <w:rsid w:val="0028280D"/>
    <w:rsid w:val="00286D0E"/>
    <w:rsid w:val="00286EEF"/>
    <w:rsid w:val="00290C3C"/>
    <w:rsid w:val="00290CDA"/>
    <w:rsid w:val="00291A42"/>
    <w:rsid w:val="00291D86"/>
    <w:rsid w:val="00292474"/>
    <w:rsid w:val="00294684"/>
    <w:rsid w:val="00294CA5"/>
    <w:rsid w:val="00294DE9"/>
    <w:rsid w:val="00295D27"/>
    <w:rsid w:val="002A1FC5"/>
    <w:rsid w:val="002A554E"/>
    <w:rsid w:val="002A6742"/>
    <w:rsid w:val="002B04DD"/>
    <w:rsid w:val="002B11B2"/>
    <w:rsid w:val="002B27C5"/>
    <w:rsid w:val="002B2B02"/>
    <w:rsid w:val="002B2E87"/>
    <w:rsid w:val="002B4221"/>
    <w:rsid w:val="002B5742"/>
    <w:rsid w:val="002C58D6"/>
    <w:rsid w:val="002D683D"/>
    <w:rsid w:val="002D745C"/>
    <w:rsid w:val="002D74BA"/>
    <w:rsid w:val="002D7A48"/>
    <w:rsid w:val="002E31D5"/>
    <w:rsid w:val="002E511B"/>
    <w:rsid w:val="002F5086"/>
    <w:rsid w:val="002F6CC9"/>
    <w:rsid w:val="003016CC"/>
    <w:rsid w:val="0030619C"/>
    <w:rsid w:val="00306F47"/>
    <w:rsid w:val="003138F6"/>
    <w:rsid w:val="0031660D"/>
    <w:rsid w:val="00324744"/>
    <w:rsid w:val="00325F3A"/>
    <w:rsid w:val="0032604C"/>
    <w:rsid w:val="003270E3"/>
    <w:rsid w:val="00330CC3"/>
    <w:rsid w:val="00332325"/>
    <w:rsid w:val="0033543C"/>
    <w:rsid w:val="00336F7E"/>
    <w:rsid w:val="00340205"/>
    <w:rsid w:val="0034304D"/>
    <w:rsid w:val="00345850"/>
    <w:rsid w:val="0035622F"/>
    <w:rsid w:val="00356379"/>
    <w:rsid w:val="003631E6"/>
    <w:rsid w:val="003650B4"/>
    <w:rsid w:val="0036515E"/>
    <w:rsid w:val="0036721C"/>
    <w:rsid w:val="0037133A"/>
    <w:rsid w:val="00372AF4"/>
    <w:rsid w:val="00373D5C"/>
    <w:rsid w:val="00374984"/>
    <w:rsid w:val="003772D6"/>
    <w:rsid w:val="00385ADF"/>
    <w:rsid w:val="00386C13"/>
    <w:rsid w:val="00386DD6"/>
    <w:rsid w:val="003910C0"/>
    <w:rsid w:val="00391B4E"/>
    <w:rsid w:val="00392D22"/>
    <w:rsid w:val="0039741E"/>
    <w:rsid w:val="00397A48"/>
    <w:rsid w:val="003A0A81"/>
    <w:rsid w:val="003B125F"/>
    <w:rsid w:val="003B2395"/>
    <w:rsid w:val="003B52D6"/>
    <w:rsid w:val="003C04A7"/>
    <w:rsid w:val="003C4226"/>
    <w:rsid w:val="003C5A46"/>
    <w:rsid w:val="003E04A9"/>
    <w:rsid w:val="003E1EC0"/>
    <w:rsid w:val="003E26B0"/>
    <w:rsid w:val="003E4886"/>
    <w:rsid w:val="003E595D"/>
    <w:rsid w:val="003E76C8"/>
    <w:rsid w:val="003F3198"/>
    <w:rsid w:val="003F338D"/>
    <w:rsid w:val="003F509A"/>
    <w:rsid w:val="003F51E3"/>
    <w:rsid w:val="004002B1"/>
    <w:rsid w:val="00401A1F"/>
    <w:rsid w:val="0040241C"/>
    <w:rsid w:val="004038F0"/>
    <w:rsid w:val="00407371"/>
    <w:rsid w:val="00407373"/>
    <w:rsid w:val="0041043A"/>
    <w:rsid w:val="00411FB4"/>
    <w:rsid w:val="0041328B"/>
    <w:rsid w:val="0042046E"/>
    <w:rsid w:val="00420BA0"/>
    <w:rsid w:val="004224DF"/>
    <w:rsid w:val="00426807"/>
    <w:rsid w:val="00434BEE"/>
    <w:rsid w:val="0044312E"/>
    <w:rsid w:val="00443425"/>
    <w:rsid w:val="00445256"/>
    <w:rsid w:val="0045266B"/>
    <w:rsid w:val="0045742C"/>
    <w:rsid w:val="00463EB7"/>
    <w:rsid w:val="0046467E"/>
    <w:rsid w:val="0046499A"/>
    <w:rsid w:val="00470600"/>
    <w:rsid w:val="00473262"/>
    <w:rsid w:val="00475BAB"/>
    <w:rsid w:val="00476907"/>
    <w:rsid w:val="00477D87"/>
    <w:rsid w:val="00487E4D"/>
    <w:rsid w:val="004903EF"/>
    <w:rsid w:val="0049103B"/>
    <w:rsid w:val="00491D60"/>
    <w:rsid w:val="004A24D8"/>
    <w:rsid w:val="004A35CC"/>
    <w:rsid w:val="004A4941"/>
    <w:rsid w:val="004A7196"/>
    <w:rsid w:val="004B16E0"/>
    <w:rsid w:val="004B34C8"/>
    <w:rsid w:val="004B5DDF"/>
    <w:rsid w:val="004C2371"/>
    <w:rsid w:val="004C3840"/>
    <w:rsid w:val="004C5D53"/>
    <w:rsid w:val="004C7509"/>
    <w:rsid w:val="004D02BC"/>
    <w:rsid w:val="004D06B5"/>
    <w:rsid w:val="004D0B72"/>
    <w:rsid w:val="004D1060"/>
    <w:rsid w:val="004D22D8"/>
    <w:rsid w:val="004E102B"/>
    <w:rsid w:val="004E151D"/>
    <w:rsid w:val="004E630F"/>
    <w:rsid w:val="004F095D"/>
    <w:rsid w:val="004F226A"/>
    <w:rsid w:val="004F3362"/>
    <w:rsid w:val="004F48AC"/>
    <w:rsid w:val="004F5FAD"/>
    <w:rsid w:val="004F7AC5"/>
    <w:rsid w:val="00504563"/>
    <w:rsid w:val="00505225"/>
    <w:rsid w:val="00505A92"/>
    <w:rsid w:val="0051318E"/>
    <w:rsid w:val="005144BB"/>
    <w:rsid w:val="005156C2"/>
    <w:rsid w:val="00515EC5"/>
    <w:rsid w:val="00517F6F"/>
    <w:rsid w:val="005230DF"/>
    <w:rsid w:val="005249FC"/>
    <w:rsid w:val="00525557"/>
    <w:rsid w:val="00532937"/>
    <w:rsid w:val="00537435"/>
    <w:rsid w:val="00540FDC"/>
    <w:rsid w:val="00543428"/>
    <w:rsid w:val="00544F5A"/>
    <w:rsid w:val="0055011F"/>
    <w:rsid w:val="00550EFE"/>
    <w:rsid w:val="0055298E"/>
    <w:rsid w:val="005538E6"/>
    <w:rsid w:val="00554A0E"/>
    <w:rsid w:val="0055608D"/>
    <w:rsid w:val="00564566"/>
    <w:rsid w:val="00570041"/>
    <w:rsid w:val="005864A5"/>
    <w:rsid w:val="00592987"/>
    <w:rsid w:val="005931DD"/>
    <w:rsid w:val="00595C56"/>
    <w:rsid w:val="005964A0"/>
    <w:rsid w:val="00597E73"/>
    <w:rsid w:val="00597F80"/>
    <w:rsid w:val="005A00C0"/>
    <w:rsid w:val="005A0A28"/>
    <w:rsid w:val="005A0ACF"/>
    <w:rsid w:val="005A153A"/>
    <w:rsid w:val="005A2B58"/>
    <w:rsid w:val="005A47AA"/>
    <w:rsid w:val="005A680F"/>
    <w:rsid w:val="005A6CEB"/>
    <w:rsid w:val="005B4293"/>
    <w:rsid w:val="005B4A6F"/>
    <w:rsid w:val="005D16CA"/>
    <w:rsid w:val="005D1E7E"/>
    <w:rsid w:val="005D40A8"/>
    <w:rsid w:val="005D4F5D"/>
    <w:rsid w:val="005E1C66"/>
    <w:rsid w:val="005E2260"/>
    <w:rsid w:val="005E2838"/>
    <w:rsid w:val="005E4D31"/>
    <w:rsid w:val="005F1990"/>
    <w:rsid w:val="005F19A3"/>
    <w:rsid w:val="005F37C2"/>
    <w:rsid w:val="006069BE"/>
    <w:rsid w:val="00607F85"/>
    <w:rsid w:val="00610390"/>
    <w:rsid w:val="00613E31"/>
    <w:rsid w:val="00616DD0"/>
    <w:rsid w:val="00617345"/>
    <w:rsid w:val="0062016E"/>
    <w:rsid w:val="006275B2"/>
    <w:rsid w:val="006300B9"/>
    <w:rsid w:val="0063343D"/>
    <w:rsid w:val="00635874"/>
    <w:rsid w:val="00636B0A"/>
    <w:rsid w:val="0064383D"/>
    <w:rsid w:val="00650B5E"/>
    <w:rsid w:val="00651354"/>
    <w:rsid w:val="00660CA9"/>
    <w:rsid w:val="00662760"/>
    <w:rsid w:val="006643E9"/>
    <w:rsid w:val="006657A1"/>
    <w:rsid w:val="006668AF"/>
    <w:rsid w:val="00667F77"/>
    <w:rsid w:val="00672C70"/>
    <w:rsid w:val="006769AC"/>
    <w:rsid w:val="00677270"/>
    <w:rsid w:val="00677C69"/>
    <w:rsid w:val="00680861"/>
    <w:rsid w:val="00682C0C"/>
    <w:rsid w:val="006870DE"/>
    <w:rsid w:val="00690D16"/>
    <w:rsid w:val="006A7370"/>
    <w:rsid w:val="006B1E55"/>
    <w:rsid w:val="006B37E7"/>
    <w:rsid w:val="006B5219"/>
    <w:rsid w:val="006C09B4"/>
    <w:rsid w:val="006C228D"/>
    <w:rsid w:val="006C2C66"/>
    <w:rsid w:val="006C6330"/>
    <w:rsid w:val="006C7029"/>
    <w:rsid w:val="006D4434"/>
    <w:rsid w:val="006D44C5"/>
    <w:rsid w:val="006D461D"/>
    <w:rsid w:val="006D5230"/>
    <w:rsid w:val="006D5D08"/>
    <w:rsid w:val="006E5B4C"/>
    <w:rsid w:val="006E6DDA"/>
    <w:rsid w:val="006F062B"/>
    <w:rsid w:val="006F1AE5"/>
    <w:rsid w:val="006F3DB0"/>
    <w:rsid w:val="007004AF"/>
    <w:rsid w:val="00706CBE"/>
    <w:rsid w:val="00707442"/>
    <w:rsid w:val="00707B37"/>
    <w:rsid w:val="007123BF"/>
    <w:rsid w:val="00712B49"/>
    <w:rsid w:val="0071648B"/>
    <w:rsid w:val="007172CE"/>
    <w:rsid w:val="00724049"/>
    <w:rsid w:val="007243D3"/>
    <w:rsid w:val="00725E9C"/>
    <w:rsid w:val="00735F2C"/>
    <w:rsid w:val="00737013"/>
    <w:rsid w:val="00742128"/>
    <w:rsid w:val="007426F4"/>
    <w:rsid w:val="00743EB3"/>
    <w:rsid w:val="00744317"/>
    <w:rsid w:val="00745D01"/>
    <w:rsid w:val="0074646A"/>
    <w:rsid w:val="00746EF9"/>
    <w:rsid w:val="00750E30"/>
    <w:rsid w:val="00754351"/>
    <w:rsid w:val="007545B7"/>
    <w:rsid w:val="00755B92"/>
    <w:rsid w:val="007647A7"/>
    <w:rsid w:val="0076501F"/>
    <w:rsid w:val="00765648"/>
    <w:rsid w:val="0079016D"/>
    <w:rsid w:val="00790295"/>
    <w:rsid w:val="007922AC"/>
    <w:rsid w:val="00794E22"/>
    <w:rsid w:val="00797CAB"/>
    <w:rsid w:val="007A17E4"/>
    <w:rsid w:val="007A27D2"/>
    <w:rsid w:val="007A2935"/>
    <w:rsid w:val="007A56DB"/>
    <w:rsid w:val="007A7F69"/>
    <w:rsid w:val="007B666A"/>
    <w:rsid w:val="007B68F8"/>
    <w:rsid w:val="007B79DF"/>
    <w:rsid w:val="007C0752"/>
    <w:rsid w:val="007C2148"/>
    <w:rsid w:val="007C52CE"/>
    <w:rsid w:val="007D2AFB"/>
    <w:rsid w:val="007D4F26"/>
    <w:rsid w:val="007D5D6C"/>
    <w:rsid w:val="007D68DD"/>
    <w:rsid w:val="007F351A"/>
    <w:rsid w:val="00800F15"/>
    <w:rsid w:val="00801CE0"/>
    <w:rsid w:val="00802485"/>
    <w:rsid w:val="008026AC"/>
    <w:rsid w:val="0080492D"/>
    <w:rsid w:val="00810C5C"/>
    <w:rsid w:val="008127DA"/>
    <w:rsid w:val="008158C1"/>
    <w:rsid w:val="008177C1"/>
    <w:rsid w:val="00817F39"/>
    <w:rsid w:val="00821867"/>
    <w:rsid w:val="00825094"/>
    <w:rsid w:val="00826CF4"/>
    <w:rsid w:val="00827695"/>
    <w:rsid w:val="0083252E"/>
    <w:rsid w:val="00834D83"/>
    <w:rsid w:val="00841378"/>
    <w:rsid w:val="00845605"/>
    <w:rsid w:val="00845AC9"/>
    <w:rsid w:val="00846B1C"/>
    <w:rsid w:val="00847195"/>
    <w:rsid w:val="008573DE"/>
    <w:rsid w:val="00857E35"/>
    <w:rsid w:val="008605F5"/>
    <w:rsid w:val="00865076"/>
    <w:rsid w:val="00873B2A"/>
    <w:rsid w:val="008775AF"/>
    <w:rsid w:val="00886946"/>
    <w:rsid w:val="00886E75"/>
    <w:rsid w:val="00891794"/>
    <w:rsid w:val="00893050"/>
    <w:rsid w:val="00896180"/>
    <w:rsid w:val="008977AA"/>
    <w:rsid w:val="008A2138"/>
    <w:rsid w:val="008A22D6"/>
    <w:rsid w:val="008A2C31"/>
    <w:rsid w:val="008A4FFC"/>
    <w:rsid w:val="008A53FA"/>
    <w:rsid w:val="008A55AB"/>
    <w:rsid w:val="008B5120"/>
    <w:rsid w:val="008B79C2"/>
    <w:rsid w:val="008C7629"/>
    <w:rsid w:val="008D1540"/>
    <w:rsid w:val="008D6278"/>
    <w:rsid w:val="008E40B3"/>
    <w:rsid w:val="008E458F"/>
    <w:rsid w:val="008E4C82"/>
    <w:rsid w:val="008E9538"/>
    <w:rsid w:val="008F247A"/>
    <w:rsid w:val="008F496C"/>
    <w:rsid w:val="008F611C"/>
    <w:rsid w:val="008F63AC"/>
    <w:rsid w:val="008F7493"/>
    <w:rsid w:val="00900AAB"/>
    <w:rsid w:val="009070A3"/>
    <w:rsid w:val="00907531"/>
    <w:rsid w:val="009165C9"/>
    <w:rsid w:val="00916754"/>
    <w:rsid w:val="00922F4C"/>
    <w:rsid w:val="00925DCB"/>
    <w:rsid w:val="009278E5"/>
    <w:rsid w:val="00932034"/>
    <w:rsid w:val="0093540E"/>
    <w:rsid w:val="009364D3"/>
    <w:rsid w:val="009436FD"/>
    <w:rsid w:val="0094462E"/>
    <w:rsid w:val="00944FE0"/>
    <w:rsid w:val="009454A8"/>
    <w:rsid w:val="009567F5"/>
    <w:rsid w:val="00970A73"/>
    <w:rsid w:val="00971142"/>
    <w:rsid w:val="00972082"/>
    <w:rsid w:val="009733BE"/>
    <w:rsid w:val="0097393B"/>
    <w:rsid w:val="009756C0"/>
    <w:rsid w:val="00975BC5"/>
    <w:rsid w:val="00982681"/>
    <w:rsid w:val="009929BD"/>
    <w:rsid w:val="00992C0B"/>
    <w:rsid w:val="00995536"/>
    <w:rsid w:val="0099595C"/>
    <w:rsid w:val="009A0DD5"/>
    <w:rsid w:val="009A1BEE"/>
    <w:rsid w:val="009B06B4"/>
    <w:rsid w:val="009B5BD1"/>
    <w:rsid w:val="009B7ABC"/>
    <w:rsid w:val="009C19E9"/>
    <w:rsid w:val="009C433B"/>
    <w:rsid w:val="009D35A6"/>
    <w:rsid w:val="009D464C"/>
    <w:rsid w:val="009D51E0"/>
    <w:rsid w:val="009D63E3"/>
    <w:rsid w:val="009E1C52"/>
    <w:rsid w:val="009E3962"/>
    <w:rsid w:val="009E564A"/>
    <w:rsid w:val="009E7CA6"/>
    <w:rsid w:val="009F04DE"/>
    <w:rsid w:val="009F3251"/>
    <w:rsid w:val="009F5D13"/>
    <w:rsid w:val="00A005A3"/>
    <w:rsid w:val="00A01251"/>
    <w:rsid w:val="00A015F7"/>
    <w:rsid w:val="00A02994"/>
    <w:rsid w:val="00A04D14"/>
    <w:rsid w:val="00A060C5"/>
    <w:rsid w:val="00A107AC"/>
    <w:rsid w:val="00A13B7D"/>
    <w:rsid w:val="00A22702"/>
    <w:rsid w:val="00A338AC"/>
    <w:rsid w:val="00A422CD"/>
    <w:rsid w:val="00A451D3"/>
    <w:rsid w:val="00A571D0"/>
    <w:rsid w:val="00A72FB8"/>
    <w:rsid w:val="00A83436"/>
    <w:rsid w:val="00A843C2"/>
    <w:rsid w:val="00A8684A"/>
    <w:rsid w:val="00A920FB"/>
    <w:rsid w:val="00A94845"/>
    <w:rsid w:val="00A96DCE"/>
    <w:rsid w:val="00AA1081"/>
    <w:rsid w:val="00AA2FF8"/>
    <w:rsid w:val="00AB5B54"/>
    <w:rsid w:val="00AB63DE"/>
    <w:rsid w:val="00AC2244"/>
    <w:rsid w:val="00AC53A8"/>
    <w:rsid w:val="00AC5FC0"/>
    <w:rsid w:val="00AD03E3"/>
    <w:rsid w:val="00AD5778"/>
    <w:rsid w:val="00AE2302"/>
    <w:rsid w:val="00AE298F"/>
    <w:rsid w:val="00AE31DA"/>
    <w:rsid w:val="00AE33C8"/>
    <w:rsid w:val="00AE5F7F"/>
    <w:rsid w:val="00AF3920"/>
    <w:rsid w:val="00AF3B49"/>
    <w:rsid w:val="00AF3E44"/>
    <w:rsid w:val="00AF635B"/>
    <w:rsid w:val="00B02E70"/>
    <w:rsid w:val="00B03E33"/>
    <w:rsid w:val="00B13330"/>
    <w:rsid w:val="00B13C27"/>
    <w:rsid w:val="00B229D6"/>
    <w:rsid w:val="00B33D35"/>
    <w:rsid w:val="00B33E2C"/>
    <w:rsid w:val="00B33EAC"/>
    <w:rsid w:val="00B34CAA"/>
    <w:rsid w:val="00B3593B"/>
    <w:rsid w:val="00B36854"/>
    <w:rsid w:val="00B41BFA"/>
    <w:rsid w:val="00B41E08"/>
    <w:rsid w:val="00B41FDB"/>
    <w:rsid w:val="00B4637B"/>
    <w:rsid w:val="00B4794F"/>
    <w:rsid w:val="00B47993"/>
    <w:rsid w:val="00B50D30"/>
    <w:rsid w:val="00B5496A"/>
    <w:rsid w:val="00B64E4A"/>
    <w:rsid w:val="00B7195F"/>
    <w:rsid w:val="00B719B1"/>
    <w:rsid w:val="00B763B9"/>
    <w:rsid w:val="00B763CF"/>
    <w:rsid w:val="00B827C6"/>
    <w:rsid w:val="00B91BE7"/>
    <w:rsid w:val="00B945A7"/>
    <w:rsid w:val="00B957D3"/>
    <w:rsid w:val="00B95BC2"/>
    <w:rsid w:val="00BA0DBB"/>
    <w:rsid w:val="00BA3A3F"/>
    <w:rsid w:val="00BA3EE0"/>
    <w:rsid w:val="00BA6734"/>
    <w:rsid w:val="00BB251D"/>
    <w:rsid w:val="00BC1C21"/>
    <w:rsid w:val="00BC4DFE"/>
    <w:rsid w:val="00BD0214"/>
    <w:rsid w:val="00BD0A45"/>
    <w:rsid w:val="00BD1798"/>
    <w:rsid w:val="00BD389E"/>
    <w:rsid w:val="00BF3DF4"/>
    <w:rsid w:val="00BF4C6E"/>
    <w:rsid w:val="00BF66FB"/>
    <w:rsid w:val="00C016C4"/>
    <w:rsid w:val="00C07933"/>
    <w:rsid w:val="00C133A0"/>
    <w:rsid w:val="00C147D6"/>
    <w:rsid w:val="00C17454"/>
    <w:rsid w:val="00C202D5"/>
    <w:rsid w:val="00C226CF"/>
    <w:rsid w:val="00C25F07"/>
    <w:rsid w:val="00C279BD"/>
    <w:rsid w:val="00C31751"/>
    <w:rsid w:val="00C3295A"/>
    <w:rsid w:val="00C36EC3"/>
    <w:rsid w:val="00C4330F"/>
    <w:rsid w:val="00C50B49"/>
    <w:rsid w:val="00C52D70"/>
    <w:rsid w:val="00C54CBB"/>
    <w:rsid w:val="00C56FC5"/>
    <w:rsid w:val="00C571CE"/>
    <w:rsid w:val="00C5751B"/>
    <w:rsid w:val="00C57A0A"/>
    <w:rsid w:val="00C57CED"/>
    <w:rsid w:val="00C64854"/>
    <w:rsid w:val="00C64B33"/>
    <w:rsid w:val="00C66E07"/>
    <w:rsid w:val="00C7028B"/>
    <w:rsid w:val="00C7059F"/>
    <w:rsid w:val="00C7121A"/>
    <w:rsid w:val="00C71D7B"/>
    <w:rsid w:val="00C721D4"/>
    <w:rsid w:val="00C74383"/>
    <w:rsid w:val="00C75A48"/>
    <w:rsid w:val="00C760B3"/>
    <w:rsid w:val="00C811E7"/>
    <w:rsid w:val="00C8261C"/>
    <w:rsid w:val="00C83698"/>
    <w:rsid w:val="00C873DC"/>
    <w:rsid w:val="00C87499"/>
    <w:rsid w:val="00C907E2"/>
    <w:rsid w:val="00C92201"/>
    <w:rsid w:val="00C94964"/>
    <w:rsid w:val="00C967C0"/>
    <w:rsid w:val="00C96857"/>
    <w:rsid w:val="00C97875"/>
    <w:rsid w:val="00C97E08"/>
    <w:rsid w:val="00CA3866"/>
    <w:rsid w:val="00CA4840"/>
    <w:rsid w:val="00CA6F57"/>
    <w:rsid w:val="00CB043F"/>
    <w:rsid w:val="00CB0E14"/>
    <w:rsid w:val="00CB27FE"/>
    <w:rsid w:val="00CB3DC0"/>
    <w:rsid w:val="00CB572F"/>
    <w:rsid w:val="00CB6DCB"/>
    <w:rsid w:val="00CB70CD"/>
    <w:rsid w:val="00CC0E20"/>
    <w:rsid w:val="00CC2ADC"/>
    <w:rsid w:val="00CC68F6"/>
    <w:rsid w:val="00CC7F24"/>
    <w:rsid w:val="00CD3310"/>
    <w:rsid w:val="00CD35A1"/>
    <w:rsid w:val="00CD3B81"/>
    <w:rsid w:val="00CD69CD"/>
    <w:rsid w:val="00CD7E18"/>
    <w:rsid w:val="00CD7F4C"/>
    <w:rsid w:val="00CE01BC"/>
    <w:rsid w:val="00CF074C"/>
    <w:rsid w:val="00CF37EC"/>
    <w:rsid w:val="00D0538A"/>
    <w:rsid w:val="00D07B73"/>
    <w:rsid w:val="00D136FE"/>
    <w:rsid w:val="00D162D0"/>
    <w:rsid w:val="00D21980"/>
    <w:rsid w:val="00D224DA"/>
    <w:rsid w:val="00D22F20"/>
    <w:rsid w:val="00D24E05"/>
    <w:rsid w:val="00D263C7"/>
    <w:rsid w:val="00D30641"/>
    <w:rsid w:val="00D33910"/>
    <w:rsid w:val="00D3531C"/>
    <w:rsid w:val="00D360CF"/>
    <w:rsid w:val="00D36CF6"/>
    <w:rsid w:val="00D4510D"/>
    <w:rsid w:val="00D47323"/>
    <w:rsid w:val="00D5051B"/>
    <w:rsid w:val="00D52F5C"/>
    <w:rsid w:val="00D56421"/>
    <w:rsid w:val="00D6193F"/>
    <w:rsid w:val="00D61D8C"/>
    <w:rsid w:val="00D66C7E"/>
    <w:rsid w:val="00D66DF8"/>
    <w:rsid w:val="00D70D71"/>
    <w:rsid w:val="00D725DA"/>
    <w:rsid w:val="00D72C35"/>
    <w:rsid w:val="00D73057"/>
    <w:rsid w:val="00D752CE"/>
    <w:rsid w:val="00D76038"/>
    <w:rsid w:val="00D761C5"/>
    <w:rsid w:val="00D818BD"/>
    <w:rsid w:val="00D828FD"/>
    <w:rsid w:val="00D82FD6"/>
    <w:rsid w:val="00D83C1B"/>
    <w:rsid w:val="00D8702E"/>
    <w:rsid w:val="00D87FF7"/>
    <w:rsid w:val="00D904B7"/>
    <w:rsid w:val="00D91870"/>
    <w:rsid w:val="00D92BA2"/>
    <w:rsid w:val="00D97738"/>
    <w:rsid w:val="00DA32E8"/>
    <w:rsid w:val="00DA4910"/>
    <w:rsid w:val="00DB1C70"/>
    <w:rsid w:val="00DB2804"/>
    <w:rsid w:val="00DB488E"/>
    <w:rsid w:val="00DB7344"/>
    <w:rsid w:val="00DD03F7"/>
    <w:rsid w:val="00DD14E1"/>
    <w:rsid w:val="00DD4309"/>
    <w:rsid w:val="00DD55C4"/>
    <w:rsid w:val="00DD5C08"/>
    <w:rsid w:val="00DD70AB"/>
    <w:rsid w:val="00DE0FE3"/>
    <w:rsid w:val="00DE1870"/>
    <w:rsid w:val="00DE6183"/>
    <w:rsid w:val="00DE6368"/>
    <w:rsid w:val="00DF3483"/>
    <w:rsid w:val="00DF7F79"/>
    <w:rsid w:val="00E01B8D"/>
    <w:rsid w:val="00E05837"/>
    <w:rsid w:val="00E106CA"/>
    <w:rsid w:val="00E1121F"/>
    <w:rsid w:val="00E17CF1"/>
    <w:rsid w:val="00E20E6E"/>
    <w:rsid w:val="00E22F8F"/>
    <w:rsid w:val="00E2459A"/>
    <w:rsid w:val="00E24C85"/>
    <w:rsid w:val="00E27E62"/>
    <w:rsid w:val="00E30722"/>
    <w:rsid w:val="00E31D77"/>
    <w:rsid w:val="00E41517"/>
    <w:rsid w:val="00E422EC"/>
    <w:rsid w:val="00E43930"/>
    <w:rsid w:val="00E44E1D"/>
    <w:rsid w:val="00E45748"/>
    <w:rsid w:val="00E46BC0"/>
    <w:rsid w:val="00E52009"/>
    <w:rsid w:val="00E55905"/>
    <w:rsid w:val="00E57EF1"/>
    <w:rsid w:val="00E630B5"/>
    <w:rsid w:val="00E65354"/>
    <w:rsid w:val="00E67A9B"/>
    <w:rsid w:val="00E67CA3"/>
    <w:rsid w:val="00E702A2"/>
    <w:rsid w:val="00E70645"/>
    <w:rsid w:val="00E70A7F"/>
    <w:rsid w:val="00E7156A"/>
    <w:rsid w:val="00E720E5"/>
    <w:rsid w:val="00E721CC"/>
    <w:rsid w:val="00E72CA6"/>
    <w:rsid w:val="00E761D3"/>
    <w:rsid w:val="00E8669A"/>
    <w:rsid w:val="00E87229"/>
    <w:rsid w:val="00E9528A"/>
    <w:rsid w:val="00E97E8D"/>
    <w:rsid w:val="00EA140D"/>
    <w:rsid w:val="00EC0757"/>
    <w:rsid w:val="00EC10E8"/>
    <w:rsid w:val="00EC132B"/>
    <w:rsid w:val="00EC495E"/>
    <w:rsid w:val="00ED04CF"/>
    <w:rsid w:val="00ED16AA"/>
    <w:rsid w:val="00ED1A0C"/>
    <w:rsid w:val="00ED3AC7"/>
    <w:rsid w:val="00EE2BF2"/>
    <w:rsid w:val="00EE4571"/>
    <w:rsid w:val="00EE4E3F"/>
    <w:rsid w:val="00EE5435"/>
    <w:rsid w:val="00EF327D"/>
    <w:rsid w:val="00EF6BAA"/>
    <w:rsid w:val="00F0059E"/>
    <w:rsid w:val="00F01272"/>
    <w:rsid w:val="00F0272A"/>
    <w:rsid w:val="00F03D06"/>
    <w:rsid w:val="00F07FF2"/>
    <w:rsid w:val="00F10410"/>
    <w:rsid w:val="00F136F7"/>
    <w:rsid w:val="00F14EC6"/>
    <w:rsid w:val="00F15BD3"/>
    <w:rsid w:val="00F1776E"/>
    <w:rsid w:val="00F17BE6"/>
    <w:rsid w:val="00F17CD3"/>
    <w:rsid w:val="00F20834"/>
    <w:rsid w:val="00F20F3C"/>
    <w:rsid w:val="00F226D6"/>
    <w:rsid w:val="00F22FB0"/>
    <w:rsid w:val="00F24979"/>
    <w:rsid w:val="00F267BB"/>
    <w:rsid w:val="00F27D4F"/>
    <w:rsid w:val="00F3152F"/>
    <w:rsid w:val="00F420FC"/>
    <w:rsid w:val="00F427DB"/>
    <w:rsid w:val="00F42E70"/>
    <w:rsid w:val="00F4467F"/>
    <w:rsid w:val="00F44B03"/>
    <w:rsid w:val="00F45E78"/>
    <w:rsid w:val="00F50E2D"/>
    <w:rsid w:val="00F5457A"/>
    <w:rsid w:val="00F54826"/>
    <w:rsid w:val="00F60C1F"/>
    <w:rsid w:val="00F6186F"/>
    <w:rsid w:val="00F648DD"/>
    <w:rsid w:val="00F65E08"/>
    <w:rsid w:val="00F70FD3"/>
    <w:rsid w:val="00F71999"/>
    <w:rsid w:val="00F7242F"/>
    <w:rsid w:val="00F852B3"/>
    <w:rsid w:val="00F87354"/>
    <w:rsid w:val="00F91A2E"/>
    <w:rsid w:val="00F9305F"/>
    <w:rsid w:val="00F93C9B"/>
    <w:rsid w:val="00F95876"/>
    <w:rsid w:val="00FA0FAB"/>
    <w:rsid w:val="00FA5B25"/>
    <w:rsid w:val="00FB108A"/>
    <w:rsid w:val="00FB108C"/>
    <w:rsid w:val="00FB2F9A"/>
    <w:rsid w:val="00FB37A5"/>
    <w:rsid w:val="00FB54E9"/>
    <w:rsid w:val="00FB734A"/>
    <w:rsid w:val="00FC3017"/>
    <w:rsid w:val="00FC3424"/>
    <w:rsid w:val="00FD3D80"/>
    <w:rsid w:val="00FD79A4"/>
    <w:rsid w:val="00FE0B99"/>
    <w:rsid w:val="00FE496F"/>
    <w:rsid w:val="00FE5813"/>
    <w:rsid w:val="00FE70D0"/>
    <w:rsid w:val="00FF05F8"/>
    <w:rsid w:val="00FF573D"/>
    <w:rsid w:val="00FF77FB"/>
    <w:rsid w:val="038344A4"/>
    <w:rsid w:val="0A7BAB3F"/>
    <w:rsid w:val="0B3F3EB3"/>
    <w:rsid w:val="0CE2346A"/>
    <w:rsid w:val="13E168D9"/>
    <w:rsid w:val="1CAEF634"/>
    <w:rsid w:val="1D2FE75F"/>
    <w:rsid w:val="2095F158"/>
    <w:rsid w:val="20EBD584"/>
    <w:rsid w:val="29BB1F16"/>
    <w:rsid w:val="3124A265"/>
    <w:rsid w:val="32EF9798"/>
    <w:rsid w:val="373F6E64"/>
    <w:rsid w:val="384532EE"/>
    <w:rsid w:val="39712EE9"/>
    <w:rsid w:val="39D36DB0"/>
    <w:rsid w:val="4582C379"/>
    <w:rsid w:val="45D7EDE9"/>
    <w:rsid w:val="46073681"/>
    <w:rsid w:val="4BC8E631"/>
    <w:rsid w:val="51AB0AC7"/>
    <w:rsid w:val="5633DA86"/>
    <w:rsid w:val="59D051A9"/>
    <w:rsid w:val="5C3FA2A3"/>
    <w:rsid w:val="5C4D837B"/>
    <w:rsid w:val="5F2EF19A"/>
    <w:rsid w:val="63699548"/>
    <w:rsid w:val="6EEFDFBD"/>
    <w:rsid w:val="706ACD0C"/>
    <w:rsid w:val="7199234A"/>
    <w:rsid w:val="727C089B"/>
    <w:rsid w:val="729516D5"/>
    <w:rsid w:val="745268C2"/>
    <w:rsid w:val="7497D44B"/>
    <w:rsid w:val="74B0E446"/>
    <w:rsid w:val="7633A4AC"/>
    <w:rsid w:val="776666EA"/>
    <w:rsid w:val="7E258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75A29"/>
  <w15:docId w15:val="{77224F8A-F14B-49CF-9FA7-A1F42A60A7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hAnsiTheme="majorHAnsi" w:eastAsiaTheme="majorEastAsia"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hAnsiTheme="majorHAnsi" w:eastAsiaTheme="majorEastAsia"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hAnsiTheme="majorHAnsi" w:eastAsiaTheme="majorEastAsia" w:cstheme="majorBidi"/>
      <w:color w:val="1E2C5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styleId="Heading1Char" w:customStyle="1">
    <w:name w:val="Heading 1 Char"/>
    <w:aliases w:val="Xo Heading 1 Char"/>
    <w:basedOn w:val="DefaultParagraphFont"/>
    <w:link w:val="Heading1"/>
    <w:uiPriority w:val="9"/>
    <w:rsid w:val="007A56DB"/>
    <w:rPr>
      <w:rFonts w:ascii="Arial" w:hAnsi="Arial" w:eastAsiaTheme="majorEastAsia" w:cstheme="majorBidi"/>
      <w:b/>
      <w:bCs/>
      <w:color w:val="3E5AA8"/>
      <w:sz w:val="28"/>
      <w:szCs w:val="28"/>
    </w:rPr>
  </w:style>
  <w:style w:type="character" w:styleId="Heading2Char" w:customStyle="1">
    <w:name w:val="Heading 2 Char"/>
    <w:aliases w:val="Xo Heading 2 Char"/>
    <w:basedOn w:val="DefaultParagraphFont"/>
    <w:link w:val="Heading2"/>
    <w:uiPriority w:val="9"/>
    <w:rsid w:val="007A56DB"/>
    <w:rPr>
      <w:rFonts w:ascii="Arial" w:hAnsi="Arial" w:eastAsiaTheme="majorEastAsia"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color="3E5AA8" w:themeColor="accent1" w:sz="8" w:space="4"/>
      </w:pBdr>
      <w:spacing w:after="300" w:line="240" w:lineRule="auto"/>
      <w:contextualSpacing/>
    </w:pPr>
    <w:rPr>
      <w:rFonts w:eastAsiaTheme="majorEastAsia" w:cstheme="majorBidi"/>
      <w:b/>
      <w:color w:val="1D3E61"/>
      <w:spacing w:val="5"/>
      <w:kern w:val="28"/>
      <w:sz w:val="52"/>
      <w:szCs w:val="52"/>
    </w:rPr>
  </w:style>
  <w:style w:type="character" w:styleId="TitleChar" w:customStyle="1">
    <w:name w:val="Title Char"/>
    <w:aliases w:val="Xo Title Char"/>
    <w:basedOn w:val="DefaultParagraphFont"/>
    <w:link w:val="Title"/>
    <w:uiPriority w:val="10"/>
    <w:rsid w:val="00BD0A45"/>
    <w:rPr>
      <w:rFonts w:ascii="Arial" w:hAnsi="Arial" w:eastAsiaTheme="majorEastAsia"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styleId="SubtitleChar" w:customStyle="1">
    <w:name w:val="Subtitle Char"/>
    <w:aliases w:val="Xo Subtitle Char"/>
    <w:basedOn w:val="DefaultParagraphFont"/>
    <w:link w:val="Subtitle"/>
    <w:uiPriority w:val="11"/>
    <w:rsid w:val="00324744"/>
    <w:rPr>
      <w:rFonts w:ascii="Arial" w:hAnsi="Arial" w:eastAsiaTheme="majorEastAsia"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324744"/>
    <w:rPr>
      <w:rFonts w:ascii="Arial" w:hAnsi="Arial"/>
    </w:rPr>
  </w:style>
  <w:style w:type="character" w:styleId="Heading3Char" w:customStyle="1">
    <w:name w:val="Heading 3 Char"/>
    <w:basedOn w:val="DefaultParagraphFont"/>
    <w:link w:val="Heading3"/>
    <w:uiPriority w:val="9"/>
    <w:rsid w:val="00BD0A45"/>
    <w:rPr>
      <w:rFonts w:asciiTheme="majorHAnsi" w:hAnsiTheme="majorHAnsi" w:eastAsiaTheme="majorEastAsia"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styleId="Heading4Char" w:customStyle="1">
    <w:name w:val="Heading 4 Char"/>
    <w:aliases w:val="Xo Heading 4 Char"/>
    <w:basedOn w:val="DefaultParagraphFont"/>
    <w:link w:val="Heading4"/>
    <w:uiPriority w:val="9"/>
    <w:rsid w:val="0000140B"/>
    <w:rPr>
      <w:rFonts w:asciiTheme="majorHAnsi" w:hAnsiTheme="majorHAnsi" w:eastAsiaTheme="majorEastAsia" w:cstheme="majorBidi"/>
      <w:b/>
      <w:bCs/>
      <w:i/>
      <w:iCs/>
      <w:color w:val="3E5AA8" w:themeColor="accent1"/>
    </w:rPr>
  </w:style>
  <w:style w:type="character" w:styleId="Heading5Char" w:customStyle="1">
    <w:name w:val="Heading 5 Char"/>
    <w:basedOn w:val="DefaultParagraphFont"/>
    <w:link w:val="Heading5"/>
    <w:uiPriority w:val="9"/>
    <w:semiHidden/>
    <w:rsid w:val="0000140B"/>
    <w:rPr>
      <w:rFonts w:asciiTheme="majorHAnsi" w:hAnsiTheme="majorHAnsi" w:eastAsiaTheme="majorEastAsia"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styleId="QuoteChar" w:customStyle="1">
    <w:name w:val="Quote Char"/>
    <w:basedOn w:val="DefaultParagraphFont"/>
    <w:link w:val="Quote"/>
    <w:uiPriority w:val="29"/>
    <w:rsid w:val="00426807"/>
    <w:rPr>
      <w:rFonts w:ascii="Arial" w:hAnsi="Arial"/>
      <w:i/>
      <w:iCs/>
      <w:color w:val="000000" w:themeColor="text1"/>
    </w:rPr>
  </w:style>
  <w:style w:type="table" w:styleId="TableGrid1" w:customStyle="1">
    <w:name w:val="Table Grid1"/>
    <w:basedOn w:val="TableNormal"/>
    <w:next w:val="TableGrid"/>
    <w:uiPriority w:val="59"/>
    <w:rsid w:val="002B2E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2B2E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Equipment,Figure_name,Numbered Indented Text,List Paragraph1,List Paragraph Char Char Char,List Paragraph Char Char,Bullet 1,lp1,List Paragraph11"/>
    <w:basedOn w:val="Normal"/>
    <w:link w:val="ListParagraphChar"/>
    <w:uiPriority w:val="34"/>
    <w:qFormat/>
    <w:rsid w:val="00A107AC"/>
    <w:pPr>
      <w:spacing w:after="120" w:line="360" w:lineRule="auto"/>
      <w:ind w:left="720"/>
      <w:contextualSpacing/>
      <w:jc w:val="both"/>
    </w:pPr>
    <w:rPr>
      <w:rFonts w:eastAsia="Times New Roman" w:cs="Times New Roman"/>
      <w:sz w:val="20"/>
      <w:szCs w:val="24"/>
      <w:lang w:eastAsia="en-US"/>
    </w:rPr>
  </w:style>
  <w:style w:type="paragraph" w:styleId="NGTHeading1" w:customStyle="1">
    <w:name w:val="*NGT Heading 1"/>
    <w:basedOn w:val="Normal"/>
    <w:next w:val="Normal"/>
    <w:rsid w:val="00373D5C"/>
    <w:pPr>
      <w:keepNext/>
      <w:numPr>
        <w:numId w:val="3"/>
      </w:numPr>
      <w:spacing w:line="360" w:lineRule="auto"/>
      <w:jc w:val="both"/>
    </w:pPr>
    <w:rPr>
      <w:rFonts w:eastAsia="Times New Roman" w:cs="Times New Roman"/>
      <w:b/>
      <w:sz w:val="20"/>
      <w:szCs w:val="24"/>
      <w:lang w:eastAsia="en-US"/>
    </w:rPr>
  </w:style>
  <w:style w:type="paragraph" w:styleId="NGTHeading2" w:customStyle="1">
    <w:name w:val="*NGT Heading 2"/>
    <w:basedOn w:val="Normal"/>
    <w:rsid w:val="00373D5C"/>
    <w:pPr>
      <w:numPr>
        <w:ilvl w:val="1"/>
        <w:numId w:val="3"/>
      </w:numPr>
      <w:spacing w:before="120" w:after="0" w:line="360" w:lineRule="auto"/>
      <w:jc w:val="both"/>
    </w:pPr>
    <w:rPr>
      <w:rFonts w:eastAsia="Times New Roman" w:cs="Times New Roman"/>
      <w:sz w:val="20"/>
      <w:szCs w:val="24"/>
      <w:lang w:eastAsia="en-US"/>
    </w:rPr>
  </w:style>
  <w:style w:type="paragraph" w:styleId="NGTHeading3" w:customStyle="1">
    <w:name w:val="*NGT Heading 3"/>
    <w:basedOn w:val="Normal"/>
    <w:rsid w:val="00373D5C"/>
    <w:pPr>
      <w:numPr>
        <w:ilvl w:val="2"/>
        <w:numId w:val="3"/>
      </w:numPr>
      <w:spacing w:after="0" w:line="360" w:lineRule="auto"/>
      <w:jc w:val="both"/>
    </w:pPr>
    <w:rPr>
      <w:rFonts w:eastAsia="Times New Roman" w:cs="Times New Roman"/>
      <w:sz w:val="20"/>
      <w:szCs w:val="24"/>
      <w:lang w:eastAsia="en-US"/>
    </w:rPr>
  </w:style>
  <w:style w:type="paragraph" w:styleId="NGTHeading4" w:customStyle="1">
    <w:name w:val="*NGT Heading 4"/>
    <w:basedOn w:val="Normal"/>
    <w:rsid w:val="00373D5C"/>
    <w:pPr>
      <w:numPr>
        <w:ilvl w:val="3"/>
        <w:numId w:val="3"/>
      </w:numPr>
      <w:tabs>
        <w:tab w:val="left" w:pos="1701"/>
      </w:tabs>
      <w:spacing w:line="360" w:lineRule="auto"/>
      <w:jc w:val="both"/>
    </w:pPr>
    <w:rPr>
      <w:rFonts w:eastAsia="Times New Roman" w:cs="Times New Roman"/>
      <w:sz w:val="20"/>
      <w:szCs w:val="24"/>
      <w:lang w:eastAsia="en-US"/>
    </w:rPr>
  </w:style>
  <w:style w:type="paragraph" w:styleId="NGTHeading5" w:customStyle="1">
    <w:name w:val="*NGT Heading 5"/>
    <w:basedOn w:val="Normal"/>
    <w:rsid w:val="00373D5C"/>
    <w:pPr>
      <w:numPr>
        <w:ilvl w:val="4"/>
        <w:numId w:val="3"/>
      </w:numPr>
      <w:spacing w:line="360" w:lineRule="auto"/>
      <w:jc w:val="both"/>
    </w:pPr>
    <w:rPr>
      <w:rFonts w:eastAsia="Times New Roman" w:cs="Times New Roman"/>
      <w:sz w:val="20"/>
      <w:szCs w:val="24"/>
      <w:lang w:eastAsia="en-US"/>
    </w:rPr>
  </w:style>
  <w:style w:type="paragraph" w:styleId="NGTHeading6" w:customStyle="1">
    <w:name w:val="*NGT Heading 6"/>
    <w:basedOn w:val="Normal"/>
    <w:rsid w:val="00373D5C"/>
    <w:pPr>
      <w:numPr>
        <w:ilvl w:val="5"/>
        <w:numId w:val="3"/>
      </w:numPr>
      <w:spacing w:line="360" w:lineRule="auto"/>
      <w:jc w:val="both"/>
    </w:pPr>
    <w:rPr>
      <w:rFonts w:eastAsia="Times New Roman" w:cs="Times New Roman"/>
      <w:sz w:val="20"/>
      <w:szCs w:val="24"/>
      <w:lang w:eastAsia="en-US"/>
    </w:rPr>
  </w:style>
  <w:style w:type="paragraph" w:styleId="NGTHeading7" w:customStyle="1">
    <w:name w:val="*NGT Heading 7"/>
    <w:basedOn w:val="Normal"/>
    <w:rsid w:val="00373D5C"/>
    <w:pPr>
      <w:numPr>
        <w:ilvl w:val="6"/>
        <w:numId w:val="3"/>
      </w:numPr>
      <w:tabs>
        <w:tab w:val="left" w:pos="3402"/>
      </w:tabs>
      <w:spacing w:line="360" w:lineRule="auto"/>
      <w:jc w:val="both"/>
    </w:pPr>
    <w:rPr>
      <w:rFonts w:eastAsia="Times New Roman" w:cs="Times New Roman"/>
      <w:sz w:val="20"/>
      <w:szCs w:val="24"/>
      <w:lang w:eastAsia="en-US"/>
    </w:rPr>
  </w:style>
  <w:style w:type="numbering" w:styleId="Style41" w:customStyle="1">
    <w:name w:val="Style41"/>
    <w:qFormat/>
    <w:rsid w:val="00186E8F"/>
    <w:pPr>
      <w:numPr>
        <w:numId w:val="9"/>
      </w:numPr>
    </w:pPr>
  </w:style>
  <w:style w:type="numbering" w:styleId="Style411" w:customStyle="1">
    <w:name w:val="Style411"/>
    <w:qFormat/>
    <w:rsid w:val="005931DD"/>
    <w:pPr>
      <w:numPr>
        <w:numId w:val="10"/>
      </w:numPr>
    </w:pPr>
  </w:style>
  <w:style w:type="character" w:styleId="ListParagraphChar" w:customStyle="1">
    <w:name w:val="List Paragraph Char"/>
    <w:aliases w:val="Equipment Char,Figure_name Char,Numbered Indented Text Char,List Paragraph1 Char,List Paragraph Char Char Char Char,List Paragraph Char Char Char1,Bullet 1 Char,lp1 Char,List Paragraph11 Char"/>
    <w:basedOn w:val="DefaultParagraphFont"/>
    <w:link w:val="ListParagraph"/>
    <w:uiPriority w:val="34"/>
    <w:qFormat/>
    <w:locked/>
    <w:rsid w:val="0028280D"/>
    <w:rPr>
      <w:rFonts w:ascii="Arial" w:hAnsi="Arial" w:eastAsia="Times New Roman" w:cs="Times New Roman"/>
      <w:sz w:val="20"/>
      <w:szCs w:val="24"/>
      <w:lang w:eastAsia="en-US"/>
    </w:rPr>
  </w:style>
  <w:style w:type="character" w:styleId="FollowedHyperlink">
    <w:name w:val="FollowedHyperlink"/>
    <w:basedOn w:val="DefaultParagraphFont"/>
    <w:uiPriority w:val="99"/>
    <w:semiHidden/>
    <w:unhideWhenUsed/>
    <w:rsid w:val="00470600"/>
    <w:rPr>
      <w:color w:val="D2232A"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62EB0"/>
    <w:rPr>
      <w:b/>
      <w:bCs/>
    </w:rPr>
  </w:style>
  <w:style w:type="character" w:styleId="CommentSubjectChar" w:customStyle="1">
    <w:name w:val="Comment Subject Char"/>
    <w:basedOn w:val="CommentTextChar"/>
    <w:link w:val="CommentSubject"/>
    <w:uiPriority w:val="99"/>
    <w:semiHidden/>
    <w:rsid w:val="00062EB0"/>
    <w:rPr>
      <w:rFonts w:ascii="Arial" w:hAnsi="Arial"/>
      <w:b/>
      <w:bCs/>
      <w:sz w:val="20"/>
      <w:szCs w:val="20"/>
    </w:rPr>
  </w:style>
  <w:style w:type="character" w:styleId="normaltextrun" w:customStyle="1">
    <w:name w:val="normaltextrun"/>
    <w:basedOn w:val="DefaultParagraphFont"/>
    <w:rsid w:val="00286EEF"/>
  </w:style>
  <w:style w:type="character" w:styleId="eop" w:customStyle="1">
    <w:name w:val="eop"/>
    <w:basedOn w:val="DefaultParagraphFont"/>
    <w:rsid w:val="0028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0496">
      <w:bodyDiv w:val="1"/>
      <w:marLeft w:val="0"/>
      <w:marRight w:val="0"/>
      <w:marTop w:val="0"/>
      <w:marBottom w:val="0"/>
      <w:divBdr>
        <w:top w:val="none" w:sz="0" w:space="0" w:color="auto"/>
        <w:left w:val="none" w:sz="0" w:space="0" w:color="auto"/>
        <w:bottom w:val="none" w:sz="0" w:space="0" w:color="auto"/>
        <w:right w:val="none" w:sz="0" w:space="0" w:color="auto"/>
      </w:divBdr>
    </w:div>
    <w:div w:id="196743059">
      <w:bodyDiv w:val="1"/>
      <w:marLeft w:val="0"/>
      <w:marRight w:val="0"/>
      <w:marTop w:val="0"/>
      <w:marBottom w:val="0"/>
      <w:divBdr>
        <w:top w:val="none" w:sz="0" w:space="0" w:color="auto"/>
        <w:left w:val="none" w:sz="0" w:space="0" w:color="auto"/>
        <w:bottom w:val="none" w:sz="0" w:space="0" w:color="auto"/>
        <w:right w:val="none" w:sz="0" w:space="0" w:color="auto"/>
      </w:divBdr>
    </w:div>
    <w:div w:id="298072006">
      <w:bodyDiv w:val="1"/>
      <w:marLeft w:val="0"/>
      <w:marRight w:val="0"/>
      <w:marTop w:val="0"/>
      <w:marBottom w:val="0"/>
      <w:divBdr>
        <w:top w:val="none" w:sz="0" w:space="0" w:color="auto"/>
        <w:left w:val="none" w:sz="0" w:space="0" w:color="auto"/>
        <w:bottom w:val="none" w:sz="0" w:space="0" w:color="auto"/>
        <w:right w:val="none" w:sz="0" w:space="0" w:color="auto"/>
      </w:divBdr>
    </w:div>
    <w:div w:id="397823575">
      <w:bodyDiv w:val="1"/>
      <w:marLeft w:val="0"/>
      <w:marRight w:val="0"/>
      <w:marTop w:val="0"/>
      <w:marBottom w:val="0"/>
      <w:divBdr>
        <w:top w:val="none" w:sz="0" w:space="0" w:color="auto"/>
        <w:left w:val="none" w:sz="0" w:space="0" w:color="auto"/>
        <w:bottom w:val="none" w:sz="0" w:space="0" w:color="auto"/>
        <w:right w:val="none" w:sz="0" w:space="0" w:color="auto"/>
      </w:divBdr>
    </w:div>
    <w:div w:id="457994030">
      <w:bodyDiv w:val="1"/>
      <w:marLeft w:val="0"/>
      <w:marRight w:val="0"/>
      <w:marTop w:val="0"/>
      <w:marBottom w:val="0"/>
      <w:divBdr>
        <w:top w:val="none" w:sz="0" w:space="0" w:color="auto"/>
        <w:left w:val="none" w:sz="0" w:space="0" w:color="auto"/>
        <w:bottom w:val="none" w:sz="0" w:space="0" w:color="auto"/>
        <w:right w:val="none" w:sz="0" w:space="0" w:color="auto"/>
      </w:divBdr>
    </w:div>
    <w:div w:id="557518676">
      <w:bodyDiv w:val="1"/>
      <w:marLeft w:val="0"/>
      <w:marRight w:val="0"/>
      <w:marTop w:val="0"/>
      <w:marBottom w:val="0"/>
      <w:divBdr>
        <w:top w:val="none" w:sz="0" w:space="0" w:color="auto"/>
        <w:left w:val="none" w:sz="0" w:space="0" w:color="auto"/>
        <w:bottom w:val="none" w:sz="0" w:space="0" w:color="auto"/>
        <w:right w:val="none" w:sz="0" w:space="0" w:color="auto"/>
      </w:divBdr>
    </w:div>
    <w:div w:id="714742159">
      <w:bodyDiv w:val="1"/>
      <w:marLeft w:val="0"/>
      <w:marRight w:val="0"/>
      <w:marTop w:val="0"/>
      <w:marBottom w:val="0"/>
      <w:divBdr>
        <w:top w:val="none" w:sz="0" w:space="0" w:color="auto"/>
        <w:left w:val="none" w:sz="0" w:space="0" w:color="auto"/>
        <w:bottom w:val="none" w:sz="0" w:space="0" w:color="auto"/>
        <w:right w:val="none" w:sz="0" w:space="0" w:color="auto"/>
      </w:divBdr>
    </w:div>
    <w:div w:id="789973670">
      <w:bodyDiv w:val="1"/>
      <w:marLeft w:val="0"/>
      <w:marRight w:val="0"/>
      <w:marTop w:val="0"/>
      <w:marBottom w:val="0"/>
      <w:divBdr>
        <w:top w:val="none" w:sz="0" w:space="0" w:color="auto"/>
        <w:left w:val="none" w:sz="0" w:space="0" w:color="auto"/>
        <w:bottom w:val="none" w:sz="0" w:space="0" w:color="auto"/>
        <w:right w:val="none" w:sz="0" w:space="0" w:color="auto"/>
      </w:divBdr>
    </w:div>
    <w:div w:id="799615507">
      <w:bodyDiv w:val="1"/>
      <w:marLeft w:val="0"/>
      <w:marRight w:val="0"/>
      <w:marTop w:val="0"/>
      <w:marBottom w:val="0"/>
      <w:divBdr>
        <w:top w:val="none" w:sz="0" w:space="0" w:color="auto"/>
        <w:left w:val="none" w:sz="0" w:space="0" w:color="auto"/>
        <w:bottom w:val="none" w:sz="0" w:space="0" w:color="auto"/>
        <w:right w:val="none" w:sz="0" w:space="0" w:color="auto"/>
      </w:divBdr>
    </w:div>
    <w:div w:id="854274061">
      <w:bodyDiv w:val="1"/>
      <w:marLeft w:val="0"/>
      <w:marRight w:val="0"/>
      <w:marTop w:val="0"/>
      <w:marBottom w:val="0"/>
      <w:divBdr>
        <w:top w:val="none" w:sz="0" w:space="0" w:color="auto"/>
        <w:left w:val="none" w:sz="0" w:space="0" w:color="auto"/>
        <w:bottom w:val="none" w:sz="0" w:space="0" w:color="auto"/>
        <w:right w:val="none" w:sz="0" w:space="0" w:color="auto"/>
      </w:divBdr>
    </w:div>
    <w:div w:id="939605296">
      <w:bodyDiv w:val="1"/>
      <w:marLeft w:val="0"/>
      <w:marRight w:val="0"/>
      <w:marTop w:val="0"/>
      <w:marBottom w:val="0"/>
      <w:divBdr>
        <w:top w:val="none" w:sz="0" w:space="0" w:color="auto"/>
        <w:left w:val="none" w:sz="0" w:space="0" w:color="auto"/>
        <w:bottom w:val="none" w:sz="0" w:space="0" w:color="auto"/>
        <w:right w:val="none" w:sz="0" w:space="0" w:color="auto"/>
      </w:divBdr>
    </w:div>
    <w:div w:id="1067069707">
      <w:bodyDiv w:val="1"/>
      <w:marLeft w:val="0"/>
      <w:marRight w:val="0"/>
      <w:marTop w:val="0"/>
      <w:marBottom w:val="0"/>
      <w:divBdr>
        <w:top w:val="none" w:sz="0" w:space="0" w:color="auto"/>
        <w:left w:val="none" w:sz="0" w:space="0" w:color="auto"/>
        <w:bottom w:val="none" w:sz="0" w:space="0" w:color="auto"/>
        <w:right w:val="none" w:sz="0" w:space="0" w:color="auto"/>
      </w:divBdr>
    </w:div>
    <w:div w:id="1077090019">
      <w:bodyDiv w:val="1"/>
      <w:marLeft w:val="0"/>
      <w:marRight w:val="0"/>
      <w:marTop w:val="0"/>
      <w:marBottom w:val="0"/>
      <w:divBdr>
        <w:top w:val="none" w:sz="0" w:space="0" w:color="auto"/>
        <w:left w:val="none" w:sz="0" w:space="0" w:color="auto"/>
        <w:bottom w:val="none" w:sz="0" w:space="0" w:color="auto"/>
        <w:right w:val="none" w:sz="0" w:space="0" w:color="auto"/>
      </w:divBdr>
    </w:div>
    <w:div w:id="1124467494">
      <w:bodyDiv w:val="1"/>
      <w:marLeft w:val="0"/>
      <w:marRight w:val="0"/>
      <w:marTop w:val="0"/>
      <w:marBottom w:val="0"/>
      <w:divBdr>
        <w:top w:val="none" w:sz="0" w:space="0" w:color="auto"/>
        <w:left w:val="none" w:sz="0" w:space="0" w:color="auto"/>
        <w:bottom w:val="none" w:sz="0" w:space="0" w:color="auto"/>
        <w:right w:val="none" w:sz="0" w:space="0" w:color="auto"/>
      </w:divBdr>
    </w:div>
    <w:div w:id="1147238402">
      <w:bodyDiv w:val="1"/>
      <w:marLeft w:val="0"/>
      <w:marRight w:val="0"/>
      <w:marTop w:val="0"/>
      <w:marBottom w:val="0"/>
      <w:divBdr>
        <w:top w:val="none" w:sz="0" w:space="0" w:color="auto"/>
        <w:left w:val="none" w:sz="0" w:space="0" w:color="auto"/>
        <w:bottom w:val="none" w:sz="0" w:space="0" w:color="auto"/>
        <w:right w:val="none" w:sz="0" w:space="0" w:color="auto"/>
      </w:divBdr>
    </w:div>
    <w:div w:id="1174300034">
      <w:bodyDiv w:val="1"/>
      <w:marLeft w:val="0"/>
      <w:marRight w:val="0"/>
      <w:marTop w:val="0"/>
      <w:marBottom w:val="0"/>
      <w:divBdr>
        <w:top w:val="none" w:sz="0" w:space="0" w:color="auto"/>
        <w:left w:val="none" w:sz="0" w:space="0" w:color="auto"/>
        <w:bottom w:val="none" w:sz="0" w:space="0" w:color="auto"/>
        <w:right w:val="none" w:sz="0" w:space="0" w:color="auto"/>
      </w:divBdr>
    </w:div>
    <w:div w:id="1251041111">
      <w:bodyDiv w:val="1"/>
      <w:marLeft w:val="0"/>
      <w:marRight w:val="0"/>
      <w:marTop w:val="0"/>
      <w:marBottom w:val="0"/>
      <w:divBdr>
        <w:top w:val="none" w:sz="0" w:space="0" w:color="auto"/>
        <w:left w:val="none" w:sz="0" w:space="0" w:color="auto"/>
        <w:bottom w:val="none" w:sz="0" w:space="0" w:color="auto"/>
        <w:right w:val="none" w:sz="0" w:space="0" w:color="auto"/>
      </w:divBdr>
    </w:div>
    <w:div w:id="1397051453">
      <w:bodyDiv w:val="1"/>
      <w:marLeft w:val="0"/>
      <w:marRight w:val="0"/>
      <w:marTop w:val="0"/>
      <w:marBottom w:val="0"/>
      <w:divBdr>
        <w:top w:val="none" w:sz="0" w:space="0" w:color="auto"/>
        <w:left w:val="none" w:sz="0" w:space="0" w:color="auto"/>
        <w:bottom w:val="none" w:sz="0" w:space="0" w:color="auto"/>
        <w:right w:val="none" w:sz="0" w:space="0" w:color="auto"/>
      </w:divBdr>
    </w:div>
    <w:div w:id="1444377958">
      <w:bodyDiv w:val="1"/>
      <w:marLeft w:val="0"/>
      <w:marRight w:val="0"/>
      <w:marTop w:val="0"/>
      <w:marBottom w:val="0"/>
      <w:divBdr>
        <w:top w:val="none" w:sz="0" w:space="0" w:color="auto"/>
        <w:left w:val="none" w:sz="0" w:space="0" w:color="auto"/>
        <w:bottom w:val="none" w:sz="0" w:space="0" w:color="auto"/>
        <w:right w:val="none" w:sz="0" w:space="0" w:color="auto"/>
      </w:divBdr>
    </w:div>
    <w:div w:id="1471970584">
      <w:bodyDiv w:val="1"/>
      <w:marLeft w:val="0"/>
      <w:marRight w:val="0"/>
      <w:marTop w:val="0"/>
      <w:marBottom w:val="0"/>
      <w:divBdr>
        <w:top w:val="none" w:sz="0" w:space="0" w:color="auto"/>
        <w:left w:val="none" w:sz="0" w:space="0" w:color="auto"/>
        <w:bottom w:val="none" w:sz="0" w:space="0" w:color="auto"/>
        <w:right w:val="none" w:sz="0" w:space="0" w:color="auto"/>
      </w:divBdr>
    </w:div>
    <w:div w:id="1544752583">
      <w:bodyDiv w:val="1"/>
      <w:marLeft w:val="0"/>
      <w:marRight w:val="0"/>
      <w:marTop w:val="0"/>
      <w:marBottom w:val="0"/>
      <w:divBdr>
        <w:top w:val="none" w:sz="0" w:space="0" w:color="auto"/>
        <w:left w:val="none" w:sz="0" w:space="0" w:color="auto"/>
        <w:bottom w:val="none" w:sz="0" w:space="0" w:color="auto"/>
        <w:right w:val="none" w:sz="0" w:space="0" w:color="auto"/>
      </w:divBdr>
    </w:div>
    <w:div w:id="1607694320">
      <w:bodyDiv w:val="1"/>
      <w:marLeft w:val="0"/>
      <w:marRight w:val="0"/>
      <w:marTop w:val="0"/>
      <w:marBottom w:val="0"/>
      <w:divBdr>
        <w:top w:val="none" w:sz="0" w:space="0" w:color="auto"/>
        <w:left w:val="none" w:sz="0" w:space="0" w:color="auto"/>
        <w:bottom w:val="none" w:sz="0" w:space="0" w:color="auto"/>
        <w:right w:val="none" w:sz="0" w:space="0" w:color="auto"/>
      </w:divBdr>
    </w:div>
    <w:div w:id="2001693431">
      <w:bodyDiv w:val="1"/>
      <w:marLeft w:val="0"/>
      <w:marRight w:val="0"/>
      <w:marTop w:val="0"/>
      <w:marBottom w:val="0"/>
      <w:divBdr>
        <w:top w:val="none" w:sz="0" w:space="0" w:color="auto"/>
        <w:left w:val="none" w:sz="0" w:space="0" w:color="auto"/>
        <w:bottom w:val="none" w:sz="0" w:space="0" w:color="auto"/>
        <w:right w:val="none" w:sz="0" w:space="0" w:color="auto"/>
      </w:divBdr>
    </w:div>
    <w:div w:id="2041278608">
      <w:bodyDiv w:val="1"/>
      <w:marLeft w:val="0"/>
      <w:marRight w:val="0"/>
      <w:marTop w:val="0"/>
      <w:marBottom w:val="0"/>
      <w:divBdr>
        <w:top w:val="none" w:sz="0" w:space="0" w:color="auto"/>
        <w:left w:val="none" w:sz="0" w:space="0" w:color="auto"/>
        <w:bottom w:val="none" w:sz="0" w:space="0" w:color="auto"/>
        <w:right w:val="none" w:sz="0" w:space="0" w:color="auto"/>
      </w:divBdr>
    </w:div>
    <w:div w:id="2064670581">
      <w:bodyDiv w:val="1"/>
      <w:marLeft w:val="0"/>
      <w:marRight w:val="0"/>
      <w:marTop w:val="0"/>
      <w:marBottom w:val="0"/>
      <w:divBdr>
        <w:top w:val="none" w:sz="0" w:space="0" w:color="auto"/>
        <w:left w:val="none" w:sz="0" w:space="0" w:color="auto"/>
        <w:bottom w:val="none" w:sz="0" w:space="0" w:color="auto"/>
        <w:right w:val="none" w:sz="0" w:space="0" w:color="auto"/>
      </w:divBdr>
    </w:div>
    <w:div w:id="2089888176">
      <w:bodyDiv w:val="1"/>
      <w:marLeft w:val="0"/>
      <w:marRight w:val="0"/>
      <w:marTop w:val="0"/>
      <w:marBottom w:val="0"/>
      <w:divBdr>
        <w:top w:val="none" w:sz="0" w:space="0" w:color="auto"/>
        <w:left w:val="none" w:sz="0" w:space="0" w:color="auto"/>
        <w:bottom w:val="none" w:sz="0" w:space="0" w:color="auto"/>
        <w:right w:val="none" w:sz="0" w:space="0" w:color="auto"/>
      </w:divBdr>
    </w:div>
    <w:div w:id="20916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xoserve.com/change/change-proposals/xrn-5007-correction-in-the-reconciliation-process-when-volume-is-zero/?return=/change/change-proposals/?customers=&amp;statuses=&amp;search=5007" TargetMode="External" Id="rId13" /><Relationship Type="http://schemas.openxmlformats.org/officeDocument/2006/relationships/hyperlink" Target="https://www.xoserve.com/change/change-proposals/xrn-4992-modification-0687-creation-of-new-charge-to-recover-last-resort-supply-payments/?return=/change/change-proposals/?customers=&amp;statuses=&amp;search=4992a"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3.png" Id="rId21" /><Relationship Type="http://schemas.openxmlformats.org/officeDocument/2006/relationships/settings" Target="settings.xml" Id="rId7" /><Relationship Type="http://schemas.openxmlformats.org/officeDocument/2006/relationships/hyperlink" Target="https://www.xoserve.com/change/change-proposals/xrn-4941-auto-updates-to-meter-read-frequency-mod0692/?return=/change/change-proposals/?customers=&amp;statuses=&amp;search=4941" TargetMode="External" Id="rId12" /><Relationship Type="http://schemas.openxmlformats.org/officeDocument/2006/relationships/hyperlink" Target="https://www.xoserve.com/change/change-proposals/xrn-4780-inclusion-of-meter-asset-provider-identity-map-id-in-the-uk-link-system-css-consequential-change/"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www.xoserve.com/change/change-proposals/xrn-5180-inner-tolerance-validation-for-replacement-reads-and-read-insertions/?return=/change/change-proposals/?customers=&amp;statuses=&amp;search=5180" TargetMode="External" Id="rId16" /><Relationship Type="http://schemas.microsoft.com/office/2018/08/relationships/commentsExtensible" Target="commentsExtensi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www.xoserve.com/change/change-proposals/xrn-5142-new-allowable-values-for-dcc-service-flag-in-dxi-file-from-dcc/?return=/change/change-proposals/?customers=&amp;statuses=&amp;search=5142" TargetMode="External" Id="rId15" /><Relationship Type="http://schemas.openxmlformats.org/officeDocument/2006/relationships/hyperlink" Target="mailto:box.xoserve.portfoliooffice@xoserve.com" TargetMode="External" Id="rId23" /><Relationship Type="http://schemas.openxmlformats.org/officeDocument/2006/relationships/endnotes" Target="endnotes.xml" Id="rId10" /><Relationship Type="http://schemas.openxmlformats.org/officeDocument/2006/relationships/hyperlink" Target="https://www.xoserve.com/media/42366/xrn5188-interim-data-loads-of-map-id-into-uk-link-cp.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xoserve.com/change/change-proposals/xrn-5072-application-and-derivation-of-ttz-indicator-and-calculation-of-volume-and-energy-all-classes/?return=/change/change-proposals/?customers=&amp;statuses=&amp;search=5072" TargetMode="External" Id="rId14" /><Relationship Type="http://schemas.openxmlformats.org/officeDocument/2006/relationships/image" Target="media/image4.png" Id="rId22" /><Relationship Type="http://schemas.openxmlformats.org/officeDocument/2006/relationships/theme" Target="theme/theme1.xml" Id="rId27" /><Relationship Type="http://schemas.openxmlformats.org/officeDocument/2006/relationships/image" Target="/media/image5.png" Id="Rc15e11a155ab43d9" /></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4A46900855F54F8B1B4A69CC14CF6B" ma:contentTypeVersion="7" ma:contentTypeDescription="Create a new document." ma:contentTypeScope="" ma:versionID="cb23e439608fa62b7d4e34d18c2a6014">
  <xsd:schema xmlns:xsd="http://www.w3.org/2001/XMLSchema" xmlns:xs="http://www.w3.org/2001/XMLSchema" xmlns:p="http://schemas.microsoft.com/office/2006/metadata/properties" xmlns:ns2="11f1cc19-a6a2-4477-822b-8358f9edc374" xmlns:ns3="103fba77-31dd-4780-83f9-c54f26c3a260" targetNamespace="http://schemas.microsoft.com/office/2006/metadata/properties" ma:root="true" ma:fieldsID="8f8e5271f7d152bbf69cc47d21b266bc" ns2:_="" ns3:_="">
    <xsd:import namespace="11f1cc19-a6a2-4477-822b-8358f9edc374"/>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1cc19-a6a2-4477-822b-8358f9edc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FD1E4-E801-45E3-8622-5705A3614C6C}">
  <ds:schemaRef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a0a73c9d-d591-440f-abb0-7256bbedc89b"/>
    <ds:schemaRef ds:uri="http://schemas.microsoft.com/office/infopath/2007/PartnerControls"/>
    <ds:schemaRef ds:uri="c0e8993d-9b8c-43f5-b3fd-d3256c4c925d"/>
    <ds:schemaRef ds:uri="http://purl.org/dc/dcmitype/"/>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4FC33407-482D-46E3-B53F-0FCAF4DB0FC6}"/>
</file>

<file path=customXml/itemProps4.xml><?xml version="1.0" encoding="utf-8"?>
<ds:datastoreItem xmlns:ds="http://schemas.openxmlformats.org/officeDocument/2006/customXml" ds:itemID="{0533034E-5AA8-47F7-A919-205A707BADE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National Grid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Grid</dc:creator>
  <cp:lastModifiedBy>Bali Bahia</cp:lastModifiedBy>
  <cp:revision>6</cp:revision>
  <dcterms:created xsi:type="dcterms:W3CDTF">2022-01-31T13:43:00Z</dcterms:created>
  <dcterms:modified xsi:type="dcterms:W3CDTF">2022-01-31T14:10:12Z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0x010100BE4A46900855F54F8B1B4A69CC14CF6B</vt:lpwstr>
  </property>
  <property fmtid="{D5CDD505-2E9C-101B-9397-08002B2CF9AE}" pid="3" name="_NewReviewCycle">
    <vt:lpwstr/>
  </property>
</Properties>
</file>