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0CCD" w14:textId="77777777" w:rsidR="00DF506E" w:rsidRDefault="0049331E">
      <w:pPr>
        <w:pStyle w:val="Title"/>
      </w:pPr>
      <w:r>
        <w:t>Detailed Design Change Pack</w:t>
      </w:r>
    </w:p>
    <w:p w14:paraId="414FD942" w14:textId="77777777" w:rsidR="00DF506E" w:rsidRDefault="0049331E">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DF506E" w14:paraId="1C175A30" w14:textId="77777777">
        <w:trPr>
          <w:trHeight w:val="403"/>
        </w:trPr>
        <w:tc>
          <w:tcPr>
            <w:tcW w:w="1223" w:type="pct"/>
            <w:shd w:val="clear" w:color="auto" w:fill="B3EDFB"/>
            <w:vAlign w:val="center"/>
          </w:tcPr>
          <w:p w14:paraId="2F4E8914" w14:textId="77777777" w:rsidR="00DF506E" w:rsidRDefault="0049331E">
            <w:pPr>
              <w:jc w:val="right"/>
              <w:rPr>
                <w:rFonts w:cs="Arial"/>
              </w:rPr>
            </w:pPr>
            <w:r>
              <w:rPr>
                <w:rFonts w:cs="Arial"/>
              </w:rPr>
              <w:t>Comm Reference:</w:t>
            </w:r>
          </w:p>
        </w:tc>
        <w:tc>
          <w:tcPr>
            <w:tcW w:w="3777" w:type="pct"/>
            <w:vAlign w:val="center"/>
          </w:tcPr>
          <w:p w14:paraId="72ED7E68" w14:textId="77777777" w:rsidR="00DF506E" w:rsidRDefault="0049331E">
            <w:pPr>
              <w:rPr>
                <w:rFonts w:cs="Arial"/>
              </w:rPr>
            </w:pPr>
            <w:r>
              <w:rPr>
                <w:rFonts w:cs="Arial"/>
              </w:rPr>
              <w:t xml:space="preserve"> 3015.1 – RT - PO</w:t>
            </w:r>
          </w:p>
        </w:tc>
      </w:tr>
      <w:tr w:rsidR="00DF506E" w14:paraId="6251CC8B" w14:textId="77777777">
        <w:trPr>
          <w:trHeight w:val="403"/>
        </w:trPr>
        <w:tc>
          <w:tcPr>
            <w:tcW w:w="1223" w:type="pct"/>
            <w:shd w:val="clear" w:color="auto" w:fill="B3EDFB"/>
            <w:vAlign w:val="center"/>
          </w:tcPr>
          <w:p w14:paraId="46EBA766" w14:textId="77777777" w:rsidR="00DF506E" w:rsidRDefault="0049331E">
            <w:pPr>
              <w:jc w:val="right"/>
              <w:rPr>
                <w:rFonts w:cs="Arial"/>
              </w:rPr>
            </w:pPr>
            <w:r>
              <w:rPr>
                <w:rFonts w:cs="Arial"/>
              </w:rPr>
              <w:t>Comm Title:</w:t>
            </w:r>
          </w:p>
        </w:tc>
        <w:tc>
          <w:tcPr>
            <w:tcW w:w="3777" w:type="pct"/>
            <w:vAlign w:val="center"/>
          </w:tcPr>
          <w:p w14:paraId="5981C43A" w14:textId="77777777" w:rsidR="00DF506E" w:rsidRDefault="0049331E">
            <w:pPr>
              <w:rPr>
                <w:rFonts w:cs="Arial"/>
              </w:rPr>
            </w:pPr>
            <w:r>
              <w:rPr>
                <w:rFonts w:cs="Arial"/>
              </w:rPr>
              <w:t>XRN4978 - Notification of Rolling AQ value (following transfer of ownership between M-5 and M)</w:t>
            </w:r>
          </w:p>
        </w:tc>
      </w:tr>
      <w:tr w:rsidR="00DF506E" w14:paraId="3D380321" w14:textId="77777777">
        <w:trPr>
          <w:trHeight w:val="403"/>
        </w:trPr>
        <w:tc>
          <w:tcPr>
            <w:tcW w:w="1223" w:type="pct"/>
            <w:shd w:val="clear" w:color="auto" w:fill="B3EDFB"/>
            <w:vAlign w:val="center"/>
          </w:tcPr>
          <w:p w14:paraId="7720EAC7" w14:textId="77777777" w:rsidR="00DF506E" w:rsidRDefault="0049331E">
            <w:pPr>
              <w:jc w:val="right"/>
              <w:rPr>
                <w:rFonts w:cs="Arial"/>
              </w:rPr>
            </w:pPr>
            <w:r>
              <w:rPr>
                <w:rFonts w:cs="Arial"/>
              </w:rPr>
              <w:t>Comm Date:</w:t>
            </w:r>
          </w:p>
        </w:tc>
        <w:tc>
          <w:tcPr>
            <w:tcW w:w="3777" w:type="pct"/>
            <w:vAlign w:val="center"/>
          </w:tcPr>
          <w:p w14:paraId="44DBBEEA" w14:textId="77777777" w:rsidR="00DF506E" w:rsidRDefault="0049331E">
            <w:pPr>
              <w:rPr>
                <w:rFonts w:cs="Arial"/>
              </w:rPr>
            </w:pPr>
            <w:r>
              <w:rPr>
                <w:rFonts w:cs="Arial"/>
              </w:rPr>
              <w:t>19/04/2022</w:t>
            </w:r>
          </w:p>
        </w:tc>
      </w:tr>
    </w:tbl>
    <w:p w14:paraId="28DCE6F3" w14:textId="77777777" w:rsidR="00DF506E" w:rsidRDefault="00DF506E"/>
    <w:p w14:paraId="3D94C993" w14:textId="77777777" w:rsidR="00DF506E" w:rsidRDefault="0049331E">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DF506E" w14:paraId="6CFB0F11" w14:textId="77777777">
        <w:trPr>
          <w:trHeight w:val="403"/>
        </w:trPr>
        <w:tc>
          <w:tcPr>
            <w:tcW w:w="1223" w:type="pct"/>
            <w:shd w:val="clear" w:color="auto" w:fill="B3EDFB"/>
            <w:vAlign w:val="center"/>
          </w:tcPr>
          <w:p w14:paraId="1005E951" w14:textId="77777777" w:rsidR="00DF506E" w:rsidRDefault="0049331E">
            <w:pPr>
              <w:jc w:val="right"/>
              <w:rPr>
                <w:rFonts w:cs="Arial"/>
              </w:rPr>
            </w:pPr>
            <w:r>
              <w:rPr>
                <w:rFonts w:cs="Arial"/>
              </w:rPr>
              <w:t>Action Required:</w:t>
            </w:r>
          </w:p>
        </w:tc>
        <w:tc>
          <w:tcPr>
            <w:tcW w:w="3777" w:type="pct"/>
            <w:vAlign w:val="center"/>
          </w:tcPr>
          <w:p w14:paraId="4DD484E4" w14:textId="77777777" w:rsidR="00DF506E" w:rsidRDefault="0049331E">
            <w:pPr>
              <w:rPr>
                <w:rFonts w:cs="Arial"/>
              </w:rPr>
            </w:pPr>
            <w:r>
              <w:rPr>
                <w:rFonts w:cs="Arial"/>
              </w:rPr>
              <w:t>For representation</w:t>
            </w:r>
          </w:p>
        </w:tc>
      </w:tr>
      <w:tr w:rsidR="00DF506E" w14:paraId="5C6F3B83" w14:textId="77777777">
        <w:trPr>
          <w:trHeight w:val="403"/>
        </w:trPr>
        <w:tc>
          <w:tcPr>
            <w:tcW w:w="1223" w:type="pct"/>
            <w:shd w:val="clear" w:color="auto" w:fill="B3EDFB"/>
            <w:vAlign w:val="center"/>
          </w:tcPr>
          <w:p w14:paraId="767E031F" w14:textId="77777777" w:rsidR="00DF506E" w:rsidRDefault="0049331E">
            <w:pPr>
              <w:jc w:val="right"/>
              <w:rPr>
                <w:rFonts w:cs="Arial"/>
              </w:rPr>
            </w:pPr>
            <w:r>
              <w:rPr>
                <w:rFonts w:cs="Arial"/>
              </w:rPr>
              <w:t>Close Out Date:</w:t>
            </w:r>
          </w:p>
        </w:tc>
        <w:tc>
          <w:tcPr>
            <w:tcW w:w="3777" w:type="pct"/>
            <w:vAlign w:val="center"/>
          </w:tcPr>
          <w:p w14:paraId="5B4AB784" w14:textId="77777777" w:rsidR="00DF506E" w:rsidRDefault="0049331E">
            <w:pPr>
              <w:rPr>
                <w:rFonts w:cs="Arial"/>
              </w:rPr>
            </w:pPr>
            <w:r>
              <w:rPr>
                <w:rFonts w:cs="Arial"/>
              </w:rPr>
              <w:t>04/05/2022</w:t>
            </w:r>
          </w:p>
        </w:tc>
      </w:tr>
    </w:tbl>
    <w:p w14:paraId="324AF465" w14:textId="77777777" w:rsidR="00DF506E" w:rsidRDefault="0049331E">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DF506E" w14:paraId="70196AB7" w14:textId="77777777">
        <w:trPr>
          <w:trHeight w:val="403"/>
        </w:trPr>
        <w:tc>
          <w:tcPr>
            <w:tcW w:w="1223" w:type="pct"/>
            <w:shd w:val="clear" w:color="auto" w:fill="B3EDFB"/>
            <w:vAlign w:val="center"/>
          </w:tcPr>
          <w:p w14:paraId="008E9E70" w14:textId="77777777" w:rsidR="00DF506E" w:rsidRDefault="0049331E">
            <w:pPr>
              <w:jc w:val="right"/>
              <w:rPr>
                <w:rFonts w:cs="Arial"/>
              </w:rPr>
            </w:pPr>
            <w:r>
              <w:rPr>
                <w:rFonts w:cs="Arial"/>
              </w:rPr>
              <w:t xml:space="preserve">Xoserve Reference Number: </w:t>
            </w:r>
          </w:p>
        </w:tc>
        <w:tc>
          <w:tcPr>
            <w:tcW w:w="3777" w:type="pct"/>
            <w:vAlign w:val="center"/>
          </w:tcPr>
          <w:p w14:paraId="7A60D6B2" w14:textId="77777777" w:rsidR="00DF506E" w:rsidRDefault="0049331E">
            <w:pPr>
              <w:rPr>
                <w:rFonts w:cs="Arial"/>
              </w:rPr>
            </w:pPr>
            <w:r>
              <w:rPr>
                <w:rFonts w:cs="Arial"/>
              </w:rPr>
              <w:t>XRN4978</w:t>
            </w:r>
          </w:p>
        </w:tc>
      </w:tr>
      <w:tr w:rsidR="00DF506E" w14:paraId="1D301E75" w14:textId="77777777">
        <w:trPr>
          <w:trHeight w:val="403"/>
        </w:trPr>
        <w:tc>
          <w:tcPr>
            <w:tcW w:w="1223" w:type="pct"/>
            <w:shd w:val="clear" w:color="auto" w:fill="B3EDFB"/>
            <w:vAlign w:val="center"/>
          </w:tcPr>
          <w:p w14:paraId="1A1FE432" w14:textId="77777777" w:rsidR="00DF506E" w:rsidRDefault="0049331E">
            <w:pPr>
              <w:jc w:val="right"/>
              <w:rPr>
                <w:rFonts w:cs="Arial"/>
              </w:rPr>
            </w:pPr>
            <w:r>
              <w:rPr>
                <w:rFonts w:cs="Arial"/>
              </w:rPr>
              <w:t>Change Class:</w:t>
            </w:r>
          </w:p>
        </w:tc>
        <w:tc>
          <w:tcPr>
            <w:tcW w:w="3777" w:type="pct"/>
            <w:vAlign w:val="center"/>
          </w:tcPr>
          <w:p w14:paraId="5482136D" w14:textId="77777777" w:rsidR="00DF506E" w:rsidRDefault="0049331E">
            <w:pPr>
              <w:rPr>
                <w:rFonts w:cs="Arial"/>
              </w:rPr>
            </w:pPr>
            <w:r>
              <w:rPr>
                <w:rFonts w:cs="Arial"/>
              </w:rPr>
              <w:t>Functional System</w:t>
            </w:r>
          </w:p>
        </w:tc>
      </w:tr>
      <w:tr w:rsidR="00DF506E" w14:paraId="18DAB17D" w14:textId="77777777">
        <w:trPr>
          <w:trHeight w:val="403"/>
        </w:trPr>
        <w:tc>
          <w:tcPr>
            <w:tcW w:w="1223" w:type="pct"/>
            <w:shd w:val="clear" w:color="auto" w:fill="B3EDFB"/>
            <w:vAlign w:val="center"/>
          </w:tcPr>
          <w:p w14:paraId="5A0D2A85" w14:textId="77777777" w:rsidR="00DF506E" w:rsidRDefault="0049331E">
            <w:pPr>
              <w:jc w:val="right"/>
              <w:rPr>
                <w:rFonts w:cs="Arial"/>
              </w:rPr>
            </w:pPr>
            <w:r>
              <w:rPr>
                <w:rFonts w:cs="Arial"/>
              </w:rPr>
              <w:t>*ChMC Constituency Impacted:</w:t>
            </w:r>
          </w:p>
        </w:tc>
        <w:tc>
          <w:tcPr>
            <w:tcW w:w="3777" w:type="pct"/>
            <w:vAlign w:val="center"/>
          </w:tcPr>
          <w:p w14:paraId="46251D1D" w14:textId="77777777" w:rsidR="00DF506E" w:rsidRDefault="0049331E">
            <w:pPr>
              <w:rPr>
                <w:rFonts w:cs="Arial"/>
              </w:rPr>
            </w:pPr>
            <w:r>
              <w:rPr>
                <w:rFonts w:cs="Arial"/>
              </w:rPr>
              <w:t>Shipper Class A; Shipper Class B; Shipper Class C</w:t>
            </w:r>
          </w:p>
        </w:tc>
      </w:tr>
      <w:tr w:rsidR="00DF506E" w14:paraId="1D5BDB5E" w14:textId="77777777">
        <w:trPr>
          <w:trHeight w:val="403"/>
        </w:trPr>
        <w:tc>
          <w:tcPr>
            <w:tcW w:w="1223" w:type="pct"/>
            <w:shd w:val="clear" w:color="auto" w:fill="B3EDFB"/>
            <w:vAlign w:val="center"/>
          </w:tcPr>
          <w:p w14:paraId="18D7B49F" w14:textId="77777777" w:rsidR="00DF506E" w:rsidRDefault="0049331E">
            <w:pPr>
              <w:jc w:val="right"/>
              <w:rPr>
                <w:rFonts w:cs="Arial"/>
              </w:rPr>
            </w:pPr>
            <w:r>
              <w:rPr>
                <w:rFonts w:cs="Arial"/>
              </w:rPr>
              <w:t xml:space="preserve">Change Owner: </w:t>
            </w:r>
          </w:p>
        </w:tc>
        <w:tc>
          <w:tcPr>
            <w:tcW w:w="3777" w:type="pct"/>
            <w:vAlign w:val="center"/>
          </w:tcPr>
          <w:p w14:paraId="2638F1AF" w14:textId="77777777" w:rsidR="00DF506E" w:rsidRDefault="0049331E">
            <w:pPr>
              <w:jc w:val="both"/>
            </w:pPr>
            <w:r>
              <w:t>Jon Follows</w:t>
            </w:r>
          </w:p>
          <w:p w14:paraId="719C89B5" w14:textId="77777777" w:rsidR="00DF506E" w:rsidRDefault="0049331E">
            <w:pPr>
              <w:rPr>
                <w:color w:val="FF0000"/>
              </w:rPr>
            </w:pPr>
            <w:r>
              <w:t>jon.follows1@correla.com</w:t>
            </w:r>
          </w:p>
        </w:tc>
      </w:tr>
      <w:tr w:rsidR="00DF506E" w14:paraId="48DFDA80" w14:textId="77777777">
        <w:trPr>
          <w:trHeight w:val="403"/>
        </w:trPr>
        <w:tc>
          <w:tcPr>
            <w:tcW w:w="1223" w:type="pct"/>
            <w:shd w:val="clear" w:color="auto" w:fill="B3EDFB"/>
            <w:vAlign w:val="center"/>
          </w:tcPr>
          <w:p w14:paraId="67FB6D4D" w14:textId="77777777" w:rsidR="00DF506E" w:rsidRDefault="0049331E">
            <w:pPr>
              <w:jc w:val="right"/>
              <w:rPr>
                <w:rFonts w:cs="Arial"/>
              </w:rPr>
            </w:pPr>
            <w:r>
              <w:rPr>
                <w:rFonts w:cs="Arial"/>
              </w:rPr>
              <w:t>Background and Context:</w:t>
            </w:r>
          </w:p>
        </w:tc>
        <w:tc>
          <w:tcPr>
            <w:tcW w:w="3777" w:type="pct"/>
            <w:vAlign w:val="center"/>
          </w:tcPr>
          <w:p w14:paraId="339D201B" w14:textId="77777777" w:rsidR="00DF506E" w:rsidRDefault="0049331E">
            <w:pPr>
              <w:jc w:val="both"/>
              <w:rPr>
                <w:rFonts w:cs="Arial"/>
              </w:rPr>
            </w:pPr>
            <w:r>
              <w:rPr>
                <w:rFonts w:cs="Arial"/>
              </w:rPr>
              <w:t>Currently, an AQ WC Notifications (.NRL) file is issued out once per month. This .NRL file is issued to Live (LI) and incoming (CO) Shippers on the date of generation, which begins at M-7, where M is the 1</w:t>
            </w:r>
            <w:r>
              <w:rPr>
                <w:rFonts w:cs="Arial"/>
                <w:vertAlign w:val="superscript"/>
              </w:rPr>
              <w:t>st</w:t>
            </w:r>
            <w:r>
              <w:rPr>
                <w:rFonts w:cs="Arial"/>
              </w:rPr>
              <w:t xml:space="preserve"> of the subsequent month. As a result, changes to AQ and related data items for  any Supply Meter Point (SMP) that moves to LI between the date of .NRL file generation up to, and including, M-1 will not be issued to the incoming shippers and only to the Live Shipper at the date of .NRL file generation.</w:t>
            </w:r>
          </w:p>
          <w:p w14:paraId="2DE56C53" w14:textId="77777777" w:rsidR="00DF506E" w:rsidRDefault="00DF506E">
            <w:pPr>
              <w:jc w:val="both"/>
              <w:rPr>
                <w:rFonts w:cs="Arial"/>
              </w:rPr>
            </w:pPr>
          </w:p>
          <w:p w14:paraId="55796EB0" w14:textId="77777777" w:rsidR="00DF506E" w:rsidRDefault="0049331E">
            <w:pPr>
              <w:jc w:val="both"/>
              <w:rPr>
                <w:rFonts w:cs="Arial"/>
              </w:rPr>
            </w:pPr>
            <w:r>
              <w:rPr>
                <w:rFonts w:cs="Arial"/>
              </w:rPr>
              <w:t xml:space="preserve">This means that the .NRL file, with Annual Quantity (AQ) (formula and rolling)/Supply Offtake Quantity (SOQ)/End User Category (EUC) values effective from M, and the result of the Winter Consumption (WC) review will not be provided to an incoming Shipper for sites that move to LI post the date of .NRL file generation up to and including M-1. These incoming Shippers will receive the Supply Meter Point Ownership Notification File (.TRF), post implementation of the Central Switching Service Consequential (CSSC) changes this will be sent in the TMC file which contains the AQ/SOQ/EUC values effective on the Confirmation effective date. The incoming Shipper will then not be notified of AQ/SOQ/EUC values via an .NRL file until new ones are generated, this could be a number of months later. </w:t>
            </w:r>
          </w:p>
          <w:p w14:paraId="2E983B2B" w14:textId="77777777" w:rsidR="00DF506E" w:rsidRDefault="00DF506E">
            <w:pPr>
              <w:jc w:val="both"/>
              <w:rPr>
                <w:rFonts w:cs="Arial"/>
              </w:rPr>
            </w:pPr>
          </w:p>
          <w:p w14:paraId="2122A34F" w14:textId="77777777" w:rsidR="00DF506E" w:rsidRDefault="0049331E">
            <w:pPr>
              <w:jc w:val="both"/>
              <w:rPr>
                <w:rFonts w:eastAsia="Calibri"/>
                <w:lang w:val="en-US"/>
              </w:rPr>
            </w:pPr>
            <w:r>
              <w:rPr>
                <w:rFonts w:cs="Arial"/>
              </w:rPr>
              <w:lastRenderedPageBreak/>
              <w:t>This change seeks to identify changes to AQ/SOQ/EUC data that will take effect as of the 1</w:t>
            </w:r>
            <w:r>
              <w:rPr>
                <w:rFonts w:cs="Arial"/>
                <w:vertAlign w:val="superscript"/>
              </w:rPr>
              <w:t>st</w:t>
            </w:r>
            <w:r>
              <w:rPr>
                <w:rFonts w:cs="Arial"/>
              </w:rPr>
              <w:t xml:space="preserve"> of the subsequent month (M), for Supply Meter Points which move to LI status between the date of .NRL file generation and M-1 and issue notification to the incoming Shipper.</w:t>
            </w:r>
          </w:p>
        </w:tc>
      </w:tr>
    </w:tbl>
    <w:p w14:paraId="4ECE414F" w14:textId="77777777" w:rsidR="00DF506E" w:rsidRDefault="0049331E">
      <w:pPr>
        <w:pStyle w:val="Heading1"/>
      </w:pPr>
      <w:r>
        <w:lastRenderedPageBreak/>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DF506E" w14:paraId="5A367A28" w14:textId="77777777">
        <w:trPr>
          <w:trHeight w:val="403"/>
        </w:trPr>
        <w:tc>
          <w:tcPr>
            <w:tcW w:w="1223" w:type="pct"/>
            <w:shd w:val="clear" w:color="auto" w:fill="B3EDFB"/>
            <w:vAlign w:val="center"/>
          </w:tcPr>
          <w:p w14:paraId="59AC4140" w14:textId="77777777" w:rsidR="00DF506E" w:rsidRDefault="0049331E">
            <w:pPr>
              <w:jc w:val="right"/>
              <w:rPr>
                <w:rFonts w:cs="Arial"/>
              </w:rPr>
            </w:pPr>
            <w:r>
              <w:rPr>
                <w:rFonts w:cs="Arial"/>
              </w:rPr>
              <w:t>Functional:</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40500E04" w14:textId="77777777" w:rsidR="00DF506E" w:rsidRDefault="0049331E">
            <w:pPr>
              <w:rPr>
                <w:rFonts w:cs="Arial"/>
              </w:rPr>
            </w:pPr>
            <w:r>
              <w:rPr>
                <w:rFonts w:cs="Arial"/>
              </w:rPr>
              <w:t>Supply Point Administration (SPA)</w:t>
            </w:r>
          </w:p>
        </w:tc>
      </w:tr>
      <w:tr w:rsidR="00DF506E" w14:paraId="471A392E" w14:textId="77777777">
        <w:trPr>
          <w:trHeight w:val="403"/>
        </w:trPr>
        <w:tc>
          <w:tcPr>
            <w:tcW w:w="1223" w:type="pct"/>
            <w:shd w:val="clear" w:color="auto" w:fill="B3EDFB"/>
            <w:vAlign w:val="center"/>
          </w:tcPr>
          <w:p w14:paraId="76F92E0A" w14:textId="77777777" w:rsidR="00DF506E" w:rsidRDefault="0049331E">
            <w:pPr>
              <w:jc w:val="right"/>
              <w:rPr>
                <w:rFonts w:cs="Arial"/>
              </w:rPr>
            </w:pPr>
            <w:r>
              <w:rPr>
                <w:rFonts w:cs="Arial"/>
              </w:rPr>
              <w:t>Non-Functional:</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506829D9" w14:textId="77777777" w:rsidR="00DF506E" w:rsidRDefault="0049331E">
            <w:pPr>
              <w:rPr>
                <w:rFonts w:cs="Arial"/>
              </w:rPr>
            </w:pPr>
            <w:r>
              <w:rPr>
                <w:rFonts w:cs="Arial"/>
              </w:rPr>
              <w:t>None</w:t>
            </w:r>
          </w:p>
        </w:tc>
      </w:tr>
      <w:tr w:rsidR="00DF506E" w14:paraId="47971192" w14:textId="77777777">
        <w:trPr>
          <w:trHeight w:val="403"/>
        </w:trPr>
        <w:tc>
          <w:tcPr>
            <w:tcW w:w="1223" w:type="pct"/>
            <w:shd w:val="clear" w:color="auto" w:fill="B3EDFB"/>
            <w:vAlign w:val="center"/>
          </w:tcPr>
          <w:p w14:paraId="54108143" w14:textId="77777777" w:rsidR="00DF506E" w:rsidRDefault="0049331E">
            <w:pPr>
              <w:jc w:val="right"/>
              <w:rPr>
                <w:rFonts w:cs="Arial"/>
              </w:rPr>
            </w:pPr>
            <w:r>
              <w:rPr>
                <w:rFonts w:cs="Arial"/>
              </w:rPr>
              <w:t>Application: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183BC23B" w14:textId="77777777" w:rsidR="00DF506E" w:rsidRDefault="0049331E">
            <w:pPr>
              <w:rPr>
                <w:rFonts w:cs="Arial"/>
                <w:highlight w:val="yellow"/>
                <w:shd w:val="clear" w:color="auto" w:fill="FFFF00"/>
              </w:rPr>
            </w:pPr>
            <w:r>
              <w:rPr>
                <w:rFonts w:cs="Arial"/>
              </w:rPr>
              <w:t>SAP ISU</w:t>
            </w:r>
          </w:p>
        </w:tc>
      </w:tr>
      <w:tr w:rsidR="00DF506E" w14:paraId="5D624E6B" w14:textId="77777777">
        <w:trPr>
          <w:trHeight w:val="403"/>
        </w:trPr>
        <w:tc>
          <w:tcPr>
            <w:tcW w:w="1223" w:type="pct"/>
            <w:shd w:val="clear" w:color="auto" w:fill="B3EDFB"/>
            <w:vAlign w:val="center"/>
          </w:tcPr>
          <w:p w14:paraId="0989FA77" w14:textId="77777777" w:rsidR="00DF506E" w:rsidRDefault="0049331E">
            <w:pPr>
              <w:jc w:val="right"/>
              <w:rPr>
                <w:rFonts w:cs="Arial"/>
              </w:rPr>
            </w:pPr>
            <w:r>
              <w:rPr>
                <w:rFonts w:cs="Arial"/>
              </w:rPr>
              <w:t>User(s):</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0D5A5457" w14:textId="77777777" w:rsidR="00DF506E" w:rsidRDefault="0049331E">
            <w:pPr>
              <w:rPr>
                <w:rFonts w:cs="Arial"/>
                <w:color w:val="FF0000"/>
                <w:highlight w:val="yellow"/>
                <w:shd w:val="clear" w:color="auto" w:fill="FFFF00"/>
              </w:rPr>
            </w:pPr>
            <w:r>
              <w:rPr>
                <w:rFonts w:cs="Arial"/>
              </w:rPr>
              <w:t>Shipper Class A; Shipper Class B; Shipper Class C</w:t>
            </w:r>
          </w:p>
        </w:tc>
      </w:tr>
      <w:tr w:rsidR="00DF506E" w14:paraId="574FAD1A" w14:textId="77777777">
        <w:trPr>
          <w:trHeight w:val="403"/>
        </w:trPr>
        <w:tc>
          <w:tcPr>
            <w:tcW w:w="1223" w:type="pct"/>
            <w:shd w:val="clear" w:color="auto" w:fill="B3EDFB"/>
            <w:vAlign w:val="center"/>
          </w:tcPr>
          <w:p w14:paraId="1F673D48" w14:textId="77777777" w:rsidR="00DF506E" w:rsidRDefault="0049331E">
            <w:pPr>
              <w:jc w:val="right"/>
              <w:rPr>
                <w:rFonts w:cs="Arial"/>
              </w:rPr>
            </w:pPr>
            <w:r>
              <w:rPr>
                <w:rFonts w:cs="Arial"/>
              </w:rPr>
              <w:t>Documentation: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56A6C7E6" w14:textId="77777777" w:rsidR="00DF506E" w:rsidRDefault="0049331E">
            <w:pPr>
              <w:rPr>
                <w:rFonts w:cs="Arial"/>
              </w:rPr>
            </w:pPr>
            <w:r>
              <w:rPr>
                <w:rFonts w:cs="Arial"/>
              </w:rPr>
              <w:t>None</w:t>
            </w:r>
          </w:p>
        </w:tc>
      </w:tr>
      <w:tr w:rsidR="00DF506E" w14:paraId="3FA30ECA" w14:textId="77777777">
        <w:trPr>
          <w:trHeight w:val="403"/>
        </w:trPr>
        <w:tc>
          <w:tcPr>
            <w:tcW w:w="1223" w:type="pct"/>
            <w:shd w:val="clear" w:color="auto" w:fill="B3EDFB"/>
            <w:vAlign w:val="center"/>
          </w:tcPr>
          <w:p w14:paraId="26B0A387" w14:textId="77777777" w:rsidR="00DF506E" w:rsidRDefault="0049331E">
            <w:pPr>
              <w:jc w:val="right"/>
              <w:rPr>
                <w:rFonts w:cs="Arial"/>
              </w:rPr>
            </w:pPr>
            <w:r>
              <w:rPr>
                <w:rFonts w:cs="Arial"/>
              </w:rPr>
              <w:t>Other:</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617E26CA" w14:textId="77777777" w:rsidR="00DF506E" w:rsidRDefault="0049331E">
            <w:pPr>
              <w:rPr>
                <w:rFonts w:cs="Arial"/>
              </w:rPr>
            </w:pPr>
            <w:r>
              <w:rPr>
                <w:rFonts w:cs="Arial"/>
              </w:rPr>
              <w:t>None</w:t>
            </w:r>
          </w:p>
        </w:tc>
      </w:tr>
    </w:tbl>
    <w:p w14:paraId="6D7B3B70" w14:textId="77777777" w:rsidR="00DF506E" w:rsidRDefault="00DF506E">
      <w:pPr>
        <w:spacing w:after="0"/>
      </w:pPr>
    </w:p>
    <w:tbl>
      <w:tblPr>
        <w:tblStyle w:val="TableGrid"/>
        <w:tblW w:w="5018" w:type="pct"/>
        <w:tblInd w:w="-34" w:type="dxa"/>
        <w:tblLayout w:type="fixed"/>
        <w:tblLook w:val="04A0" w:firstRow="1" w:lastRow="0" w:firstColumn="1" w:lastColumn="0" w:noHBand="0" w:noVBand="1"/>
      </w:tblPr>
      <w:tblGrid>
        <w:gridCol w:w="965"/>
        <w:gridCol w:w="1898"/>
        <w:gridCol w:w="2269"/>
        <w:gridCol w:w="1842"/>
        <w:gridCol w:w="2074"/>
      </w:tblGrid>
      <w:tr w:rsidR="00DF506E" w14:paraId="5537C0A0" w14:textId="77777777">
        <w:trPr>
          <w:trHeight w:val="403"/>
        </w:trPr>
        <w:tc>
          <w:tcPr>
            <w:tcW w:w="5000" w:type="pct"/>
            <w:gridSpan w:val="5"/>
            <w:shd w:val="clear" w:color="auto" w:fill="B3EDFB"/>
            <w:vAlign w:val="center"/>
          </w:tcPr>
          <w:p w14:paraId="2BA432A5" w14:textId="77777777" w:rsidR="00DF506E" w:rsidRDefault="0049331E">
            <w:pPr>
              <w:jc w:val="center"/>
              <w:rPr>
                <w:rFonts w:cs="Arial"/>
              </w:rPr>
            </w:pPr>
            <w:r>
              <w:rPr>
                <w:rFonts w:cs="Arial"/>
              </w:rPr>
              <w:t>Files</w:t>
            </w:r>
          </w:p>
        </w:tc>
      </w:tr>
      <w:tr w:rsidR="00DF506E" w14:paraId="1B6721E4" w14:textId="77777777">
        <w:trPr>
          <w:trHeight w:val="403"/>
        </w:trPr>
        <w:tc>
          <w:tcPr>
            <w:tcW w:w="533" w:type="pct"/>
            <w:shd w:val="clear" w:color="auto" w:fill="B3EDFB"/>
            <w:vAlign w:val="center"/>
          </w:tcPr>
          <w:p w14:paraId="56E5AE6A" w14:textId="77777777" w:rsidR="00DF506E" w:rsidRDefault="0049331E">
            <w:pPr>
              <w:jc w:val="center"/>
              <w:rPr>
                <w:rFonts w:cs="Arial"/>
              </w:rPr>
            </w:pPr>
            <w:r>
              <w:rPr>
                <w:rFonts w:cs="Arial"/>
              </w:rPr>
              <w:t>File</w:t>
            </w:r>
          </w:p>
        </w:tc>
        <w:tc>
          <w:tcPr>
            <w:tcW w:w="1049" w:type="pct"/>
            <w:shd w:val="clear" w:color="auto" w:fill="B3EDFB"/>
            <w:vAlign w:val="center"/>
          </w:tcPr>
          <w:p w14:paraId="4460EEC0" w14:textId="77777777" w:rsidR="00DF506E" w:rsidRDefault="0049331E">
            <w:pPr>
              <w:jc w:val="center"/>
              <w:rPr>
                <w:rFonts w:cs="Arial"/>
              </w:rPr>
            </w:pPr>
            <w:r>
              <w:rPr>
                <w:rFonts w:cs="Arial"/>
              </w:rPr>
              <w:t>Parent Record</w:t>
            </w:r>
          </w:p>
        </w:tc>
        <w:tc>
          <w:tcPr>
            <w:tcW w:w="1254" w:type="pct"/>
            <w:shd w:val="clear" w:color="auto" w:fill="B3EDFB"/>
            <w:vAlign w:val="center"/>
          </w:tcPr>
          <w:p w14:paraId="55B41836" w14:textId="77777777" w:rsidR="00DF506E" w:rsidRDefault="0049331E">
            <w:pPr>
              <w:jc w:val="center"/>
              <w:rPr>
                <w:rFonts w:cs="Arial"/>
              </w:rPr>
            </w:pPr>
            <w:r>
              <w:rPr>
                <w:rFonts w:cs="Arial"/>
              </w:rPr>
              <w:t>Record</w:t>
            </w:r>
          </w:p>
        </w:tc>
        <w:tc>
          <w:tcPr>
            <w:tcW w:w="1018" w:type="pct"/>
            <w:shd w:val="clear" w:color="auto" w:fill="B3EDFB"/>
            <w:vAlign w:val="center"/>
          </w:tcPr>
          <w:p w14:paraId="7911AEFF" w14:textId="77777777" w:rsidR="00DF506E" w:rsidRDefault="0049331E">
            <w:pPr>
              <w:jc w:val="center"/>
              <w:rPr>
                <w:rFonts w:cs="Arial"/>
              </w:rPr>
            </w:pPr>
            <w:r>
              <w:rPr>
                <w:rFonts w:cs="Arial"/>
              </w:rPr>
              <w:t>Data Attribute</w:t>
            </w:r>
          </w:p>
        </w:tc>
        <w:tc>
          <w:tcPr>
            <w:tcW w:w="1146" w:type="pct"/>
            <w:shd w:val="clear" w:color="auto" w:fill="B3EDFB"/>
            <w:vAlign w:val="center"/>
          </w:tcPr>
          <w:p w14:paraId="3673759B" w14:textId="77777777" w:rsidR="00DF506E" w:rsidRDefault="0049331E">
            <w:pPr>
              <w:jc w:val="center"/>
              <w:rPr>
                <w:rFonts w:cs="Arial"/>
              </w:rPr>
            </w:pPr>
            <w:r>
              <w:rPr>
                <w:rFonts w:cs="Arial"/>
              </w:rPr>
              <w:t>Hierarchy or Format</w:t>
            </w:r>
          </w:p>
          <w:p w14:paraId="067396A6" w14:textId="77777777" w:rsidR="00DF506E" w:rsidRDefault="0049331E">
            <w:pPr>
              <w:jc w:val="center"/>
              <w:rPr>
                <w:rFonts w:cs="Arial"/>
              </w:rPr>
            </w:pPr>
            <w:r>
              <w:rPr>
                <w:rFonts w:cs="Arial"/>
              </w:rPr>
              <w:t>Agreed</w:t>
            </w:r>
          </w:p>
        </w:tc>
      </w:tr>
      <w:tr w:rsidR="00DF506E" w14:paraId="12ABA5FD" w14:textId="77777777">
        <w:trPr>
          <w:trHeight w:val="403"/>
        </w:trPr>
        <w:tc>
          <w:tcPr>
            <w:tcW w:w="533" w:type="pct"/>
            <w:shd w:val="clear" w:color="auto" w:fill="FFFFFF"/>
            <w:vAlign w:val="center"/>
          </w:tcPr>
          <w:p w14:paraId="5E8BFB86" w14:textId="77777777" w:rsidR="00DF506E" w:rsidRDefault="0049331E">
            <w:pPr>
              <w:jc w:val="center"/>
              <w:rPr>
                <w:rFonts w:cs="Arial"/>
              </w:rPr>
            </w:pPr>
            <w:r>
              <w:rPr>
                <w:rFonts w:cs="Arial"/>
              </w:rPr>
              <w:t>None</w:t>
            </w:r>
          </w:p>
        </w:tc>
        <w:tc>
          <w:tcPr>
            <w:tcW w:w="1049" w:type="pct"/>
            <w:shd w:val="clear" w:color="auto" w:fill="FFFFFF"/>
            <w:vAlign w:val="center"/>
          </w:tcPr>
          <w:p w14:paraId="3B3D1966" w14:textId="77777777" w:rsidR="00DF506E" w:rsidRDefault="0049331E">
            <w:pPr>
              <w:jc w:val="center"/>
              <w:rPr>
                <w:rFonts w:cs="Arial"/>
              </w:rPr>
            </w:pPr>
            <w:r>
              <w:rPr>
                <w:rFonts w:cs="Arial"/>
              </w:rPr>
              <w:t>None</w:t>
            </w:r>
          </w:p>
        </w:tc>
        <w:tc>
          <w:tcPr>
            <w:tcW w:w="1254" w:type="pct"/>
            <w:shd w:val="clear" w:color="auto" w:fill="FFFFFF"/>
            <w:vAlign w:val="center"/>
          </w:tcPr>
          <w:p w14:paraId="3204301A" w14:textId="77777777" w:rsidR="00DF506E" w:rsidRDefault="0049331E">
            <w:pPr>
              <w:jc w:val="center"/>
              <w:rPr>
                <w:rFonts w:cs="Arial"/>
              </w:rPr>
            </w:pPr>
            <w:r>
              <w:rPr>
                <w:rFonts w:cs="Arial"/>
              </w:rPr>
              <w:t>None</w:t>
            </w:r>
          </w:p>
        </w:tc>
        <w:tc>
          <w:tcPr>
            <w:tcW w:w="1018" w:type="pct"/>
            <w:shd w:val="clear" w:color="auto" w:fill="FFFFFF"/>
            <w:vAlign w:val="center"/>
          </w:tcPr>
          <w:p w14:paraId="65B62B50" w14:textId="77777777" w:rsidR="00DF506E" w:rsidRDefault="0049331E">
            <w:pPr>
              <w:jc w:val="center"/>
              <w:rPr>
                <w:rFonts w:cs="Arial"/>
              </w:rPr>
            </w:pPr>
            <w:r>
              <w:rPr>
                <w:rFonts w:cs="Arial"/>
              </w:rPr>
              <w:t>None</w:t>
            </w:r>
          </w:p>
        </w:tc>
        <w:tc>
          <w:tcPr>
            <w:tcW w:w="1146" w:type="pct"/>
            <w:shd w:val="clear" w:color="auto" w:fill="FFFFFF"/>
            <w:vAlign w:val="center"/>
          </w:tcPr>
          <w:p w14:paraId="18A87C0C" w14:textId="77777777" w:rsidR="00DF506E" w:rsidRDefault="0049331E">
            <w:pPr>
              <w:jc w:val="center"/>
              <w:rPr>
                <w:rFonts w:cs="Arial"/>
              </w:rPr>
            </w:pPr>
            <w:r>
              <w:rPr>
                <w:rFonts w:cs="Arial"/>
              </w:rPr>
              <w:t>None</w:t>
            </w:r>
          </w:p>
        </w:tc>
      </w:tr>
    </w:tbl>
    <w:p w14:paraId="5E0B9547" w14:textId="77777777" w:rsidR="00DF506E" w:rsidRDefault="0049331E">
      <w:pPr>
        <w:pStyle w:val="Heading1"/>
      </w:pPr>
      <w:r>
        <w:t>Change Design Description</w:t>
      </w:r>
    </w:p>
    <w:tbl>
      <w:tblPr>
        <w:tblStyle w:val="TableGrid"/>
        <w:tblW w:w="4969" w:type="pct"/>
        <w:tblInd w:w="-34" w:type="dxa"/>
        <w:tblLayout w:type="fixed"/>
        <w:tblLook w:val="04A0" w:firstRow="1" w:lastRow="0" w:firstColumn="1" w:lastColumn="0" w:noHBand="0" w:noVBand="1"/>
      </w:tblPr>
      <w:tblGrid>
        <w:gridCol w:w="8960"/>
      </w:tblGrid>
      <w:tr w:rsidR="00DF506E" w14:paraId="43D028D7" w14:textId="77777777">
        <w:trPr>
          <w:trHeight w:val="3102"/>
        </w:trPr>
        <w:tc>
          <w:tcPr>
            <w:tcW w:w="5000" w:type="pct"/>
          </w:tcPr>
          <w:p w14:paraId="7D6AB1BC" w14:textId="77777777" w:rsidR="00DF506E" w:rsidRDefault="0049331E">
            <w:pPr>
              <w:jc w:val="both"/>
              <w:rPr>
                <w:rFonts w:eastAsia="Arial" w:cs="Arial"/>
                <w:color w:val="000000"/>
              </w:rPr>
            </w:pPr>
            <w:r>
              <w:rPr>
                <w:rFonts w:cs="Arial"/>
              </w:rPr>
              <w:t>Following the High Level Solution Options, Option 1, Reuse the existing .NRL generation logic and trigger a delta .NRL file for switches effective up to M-1, was approved at ChMC in September 2021.</w:t>
            </w:r>
          </w:p>
          <w:p w14:paraId="01317D8D" w14:textId="77777777" w:rsidR="00DF506E" w:rsidRDefault="00DF506E">
            <w:pPr>
              <w:jc w:val="both"/>
              <w:rPr>
                <w:rFonts w:eastAsia="Arial" w:cs="Arial"/>
                <w:color w:val="000000"/>
              </w:rPr>
            </w:pPr>
          </w:p>
          <w:p w14:paraId="62AA2E43" w14:textId="77777777" w:rsidR="00DF506E" w:rsidRDefault="0049331E">
            <w:pPr>
              <w:jc w:val="both"/>
              <w:rPr>
                <w:rFonts w:eastAsia="Arial" w:cs="Arial"/>
                <w:color w:val="000000"/>
              </w:rPr>
            </w:pPr>
            <w:r>
              <w:rPr>
                <w:rFonts w:eastAsia="Arial" w:cs="Arial"/>
                <w:color w:val="000000"/>
              </w:rPr>
              <w:t xml:space="preserve">Following generation of the monthly .NRL file a new program will run each calendar day up to, and including, M-1. The new program will identify </w:t>
            </w:r>
            <w:r>
              <w:rPr>
                <w:rFonts w:cs="Arial"/>
              </w:rPr>
              <w:t xml:space="preserve">SMPs which have changed to LI status between the date of the monthly .NRL file generation (usually M-7) and M-1 and, if that SMP was included within the monthly .NRL, issue a delta .NRL file to the registered Shipper of the new confirmation period. The new program will generate the additional .NRL file for SMPs in any Class and where the LI status has been updated following a confirmation or a CSS event. For the avoidance of doubt, </w:t>
            </w:r>
            <w:r>
              <w:rPr>
                <w:rFonts w:eastAsia="Arial" w:cs="Arial"/>
                <w:color w:val="000000"/>
              </w:rPr>
              <w:t xml:space="preserve">where an SMP moves to LI status without a </w:t>
            </w:r>
            <w:bookmarkStart w:id="0" w:name="_Hlk99018032"/>
            <w:r>
              <w:rPr>
                <w:rFonts w:eastAsia="Arial" w:cs="Arial"/>
                <w:color w:val="000000"/>
              </w:rPr>
              <w:t>change to the registered Shipper</w:t>
            </w:r>
            <w:bookmarkEnd w:id="0"/>
            <w:r>
              <w:rPr>
                <w:rFonts w:eastAsia="Arial" w:cs="Arial"/>
                <w:color w:val="000000"/>
              </w:rPr>
              <w:t>, i.e. reconfirmation, the Shipper will receive a delta .NRL file</w:t>
            </w:r>
            <w:r>
              <w:t xml:space="preserve"> </w:t>
            </w:r>
            <w:r>
              <w:rPr>
                <w:rFonts w:eastAsia="Arial" w:cs="Arial"/>
                <w:color w:val="000000"/>
              </w:rPr>
              <w:t>to ensure they receive the correct AQ/SOQ/EUC values for that confirmation.</w:t>
            </w:r>
          </w:p>
          <w:p w14:paraId="35BDA858" w14:textId="77777777" w:rsidR="00DF506E" w:rsidRDefault="00DF506E">
            <w:pPr>
              <w:jc w:val="both"/>
              <w:rPr>
                <w:rFonts w:eastAsia="Arial" w:cs="Arial"/>
                <w:color w:val="000000"/>
              </w:rPr>
            </w:pPr>
          </w:p>
          <w:p w14:paraId="47EFFB67" w14:textId="77777777" w:rsidR="00DF506E" w:rsidRDefault="0049331E">
            <w:pPr>
              <w:jc w:val="both"/>
              <w:rPr>
                <w:rFonts w:eastAsia="Arial" w:cs="Arial"/>
                <w:color w:val="000000"/>
              </w:rPr>
            </w:pPr>
            <w:r>
              <w:rPr>
                <w:rFonts w:eastAsia="Arial" w:cs="Arial"/>
                <w:color w:val="000000"/>
              </w:rPr>
              <w:t>For context, the scenarios that generate a monthly .NRL file which will prompt a delta .NRL file following a Confirmation or Switch event are:</w:t>
            </w:r>
          </w:p>
          <w:p w14:paraId="5C8C8A8A" w14:textId="77777777" w:rsidR="00DF506E" w:rsidRDefault="0049331E">
            <w:pPr>
              <w:widowControl w:val="0"/>
              <w:numPr>
                <w:ilvl w:val="0"/>
                <w:numId w:val="1"/>
              </w:numPr>
              <w:spacing w:before="120" w:after="120" w:line="240" w:lineRule="atLeast"/>
              <w:jc w:val="both"/>
              <w:rPr>
                <w:rFonts w:eastAsia="Arial" w:cs="Arial"/>
                <w:color w:val="000000"/>
              </w:rPr>
            </w:pPr>
            <w:r>
              <w:rPr>
                <w:rFonts w:eastAsia="Arial" w:cs="Arial"/>
                <w:color w:val="000000"/>
              </w:rPr>
              <w:t>Changes to an AQ value as a result of a Valid read which triggers an AQ calculation, the AQ correction process (AQI), the Seasonal Normal Review (SNR) or defect/issue resolution</w:t>
            </w:r>
          </w:p>
          <w:p w14:paraId="16ABAE19" w14:textId="77777777" w:rsidR="00DF506E" w:rsidRDefault="0049331E">
            <w:pPr>
              <w:widowControl w:val="0"/>
              <w:numPr>
                <w:ilvl w:val="0"/>
                <w:numId w:val="1"/>
              </w:numPr>
              <w:spacing w:before="120" w:after="120" w:line="240" w:lineRule="atLeast"/>
              <w:jc w:val="both"/>
              <w:rPr>
                <w:rFonts w:eastAsia="Arial" w:cs="Arial"/>
                <w:color w:val="000000"/>
              </w:rPr>
            </w:pPr>
            <w:r>
              <w:rPr>
                <w:rFonts w:eastAsia="Arial" w:cs="Arial"/>
                <w:color w:val="000000"/>
              </w:rPr>
              <w:t>Changes to the Formula Year AQ including the annual notification issued in the March .NRL file</w:t>
            </w:r>
          </w:p>
          <w:p w14:paraId="5342A004" w14:textId="77777777" w:rsidR="00DF506E" w:rsidRDefault="0049331E">
            <w:pPr>
              <w:widowControl w:val="0"/>
              <w:numPr>
                <w:ilvl w:val="0"/>
                <w:numId w:val="1"/>
              </w:numPr>
              <w:spacing w:before="120" w:after="120" w:line="240" w:lineRule="atLeast"/>
              <w:jc w:val="both"/>
              <w:rPr>
                <w:rFonts w:eastAsia="Arial" w:cs="Arial"/>
                <w:color w:val="000000"/>
              </w:rPr>
            </w:pPr>
            <w:r>
              <w:rPr>
                <w:rFonts w:eastAsia="Arial" w:cs="Arial"/>
                <w:color w:val="000000"/>
              </w:rPr>
              <w:t>Changes to the EUC including the annual update issued in the September .NRL file</w:t>
            </w:r>
          </w:p>
          <w:p w14:paraId="3E01965D" w14:textId="77777777" w:rsidR="00DF506E" w:rsidRDefault="0049331E">
            <w:pPr>
              <w:widowControl w:val="0"/>
              <w:numPr>
                <w:ilvl w:val="0"/>
                <w:numId w:val="1"/>
              </w:numPr>
              <w:spacing w:before="120" w:after="120" w:line="240" w:lineRule="atLeast"/>
              <w:jc w:val="both"/>
              <w:rPr>
                <w:rFonts w:eastAsia="Arial" w:cs="Arial"/>
                <w:color w:val="000000"/>
              </w:rPr>
            </w:pPr>
            <w:r>
              <w:rPr>
                <w:rFonts w:eastAsia="Arial" w:cs="Arial"/>
                <w:color w:val="000000"/>
              </w:rPr>
              <w:t>Changes to the SOQ which occur following a change of AQ, EUC, WC or application of the SNR</w:t>
            </w:r>
          </w:p>
          <w:p w14:paraId="5DF2509D" w14:textId="77777777" w:rsidR="00DF506E" w:rsidRDefault="0049331E">
            <w:pPr>
              <w:widowControl w:val="0"/>
              <w:numPr>
                <w:ilvl w:val="0"/>
                <w:numId w:val="1"/>
              </w:numPr>
              <w:spacing w:before="120" w:after="120" w:line="240" w:lineRule="atLeast"/>
              <w:jc w:val="both"/>
              <w:rPr>
                <w:rFonts w:eastAsia="Arial" w:cs="Arial"/>
                <w:color w:val="000000"/>
              </w:rPr>
            </w:pPr>
            <w:r>
              <w:rPr>
                <w:rFonts w:eastAsia="Arial" w:cs="Arial"/>
                <w:color w:val="000000"/>
              </w:rPr>
              <w:lastRenderedPageBreak/>
              <w:t>Changes to the WC that occur through the annual WC review process and a WC correction</w:t>
            </w:r>
          </w:p>
          <w:p w14:paraId="340B8747" w14:textId="77777777" w:rsidR="00DF506E" w:rsidRDefault="0049331E">
            <w:pPr>
              <w:jc w:val="both"/>
              <w:rPr>
                <w:rFonts w:eastAsia="Arial" w:cs="Arial"/>
                <w:color w:val="000000"/>
              </w:rPr>
            </w:pPr>
            <w:r>
              <w:rPr>
                <w:rFonts w:cs="Arial"/>
              </w:rPr>
              <w:t xml:space="preserve">In addition to the above should a confirmation or a switch go live for a Greenfield or Brownfield site </w:t>
            </w:r>
            <w:r>
              <w:rPr>
                <w:rFonts w:eastAsia="Arial" w:cs="Arial"/>
                <w:color w:val="000000"/>
              </w:rPr>
              <w:t xml:space="preserve">in the window (M-6 to M-1) in the month of March (Formula Year update) or September (Annual EUC assignment) then a delta .NRL file will be issued to the registered Shipper. </w:t>
            </w:r>
          </w:p>
          <w:p w14:paraId="39518C61" w14:textId="77777777" w:rsidR="00DF506E" w:rsidRDefault="00DF506E">
            <w:pPr>
              <w:jc w:val="both"/>
              <w:rPr>
                <w:rFonts w:cs="Arial"/>
              </w:rPr>
            </w:pPr>
          </w:p>
          <w:p w14:paraId="08833A10" w14:textId="77777777" w:rsidR="00DF506E" w:rsidRDefault="0049331E">
            <w:pPr>
              <w:jc w:val="both"/>
              <w:rPr>
                <w:rFonts w:cs="Arial"/>
              </w:rPr>
            </w:pPr>
            <w:r>
              <w:rPr>
                <w:rFonts w:cs="Arial"/>
              </w:rPr>
              <w:t>Should the status of an SMP change to LI multiple times within the same window (period between the monthly .NRL generation, up to and including M-1), each registered Shipper at the point of the status update, will receive a delta .NRL file. An example is shown below:</w:t>
            </w:r>
          </w:p>
          <w:p w14:paraId="2D571C9B" w14:textId="77777777" w:rsidR="00DF506E" w:rsidRDefault="00DF506E">
            <w:pPr>
              <w:jc w:val="both"/>
              <w:rPr>
                <w:rFonts w:cs="Arial"/>
              </w:rPr>
            </w:pPr>
          </w:p>
          <w:tbl>
            <w:tblPr>
              <w:tblStyle w:val="TableGrid"/>
              <w:tblW w:w="0" w:type="auto"/>
              <w:tblLayout w:type="fixed"/>
              <w:tblLook w:val="04A0" w:firstRow="1" w:lastRow="0" w:firstColumn="1" w:lastColumn="0" w:noHBand="0" w:noVBand="1"/>
            </w:tblPr>
            <w:tblGrid>
              <w:gridCol w:w="1475"/>
              <w:gridCol w:w="4677"/>
              <w:gridCol w:w="2582"/>
            </w:tblGrid>
            <w:tr w:rsidR="00DF506E" w14:paraId="22049ECB" w14:textId="77777777">
              <w:tc>
                <w:tcPr>
                  <w:tcW w:w="1475" w:type="dxa"/>
                  <w:shd w:val="clear" w:color="auto" w:fill="0070C0"/>
                </w:tcPr>
                <w:p w14:paraId="01F120E8" w14:textId="77777777" w:rsidR="00DF506E" w:rsidRDefault="0049331E">
                  <w:pPr>
                    <w:jc w:val="center"/>
                    <w:rPr>
                      <w:rFonts w:cs="Arial"/>
                      <w:b/>
                      <w:bCs/>
                      <w:color w:val="FFFFFF"/>
                    </w:rPr>
                  </w:pPr>
                  <w:r>
                    <w:rPr>
                      <w:rFonts w:cs="Arial"/>
                      <w:b/>
                      <w:bCs/>
                      <w:color w:val="FFFFFF"/>
                    </w:rPr>
                    <w:t>Day within the window</w:t>
                  </w:r>
                </w:p>
              </w:tc>
              <w:tc>
                <w:tcPr>
                  <w:tcW w:w="4677" w:type="dxa"/>
                  <w:shd w:val="clear" w:color="auto" w:fill="0070C0"/>
                </w:tcPr>
                <w:p w14:paraId="1A881968" w14:textId="77777777" w:rsidR="00DF506E" w:rsidRDefault="0049331E">
                  <w:pPr>
                    <w:jc w:val="center"/>
                    <w:rPr>
                      <w:rFonts w:cs="Arial"/>
                      <w:b/>
                      <w:bCs/>
                      <w:color w:val="FFFFFF"/>
                    </w:rPr>
                  </w:pPr>
                  <w:r>
                    <w:rPr>
                      <w:rFonts w:cs="Arial"/>
                      <w:b/>
                      <w:bCs/>
                      <w:color w:val="FFFFFF"/>
                    </w:rPr>
                    <w:t>Activity within the window that changed the status to LI</w:t>
                  </w:r>
                </w:p>
              </w:tc>
              <w:tc>
                <w:tcPr>
                  <w:tcW w:w="2582" w:type="dxa"/>
                  <w:shd w:val="clear" w:color="auto" w:fill="0070C0"/>
                </w:tcPr>
                <w:p w14:paraId="72437C4E" w14:textId="77777777" w:rsidR="00DF506E" w:rsidRDefault="0049331E">
                  <w:pPr>
                    <w:jc w:val="center"/>
                    <w:rPr>
                      <w:rFonts w:cs="Arial"/>
                      <w:b/>
                      <w:bCs/>
                      <w:color w:val="FFFFFF"/>
                    </w:rPr>
                  </w:pPr>
                  <w:r>
                    <w:rPr>
                      <w:rFonts w:cs="Arial"/>
                      <w:b/>
                      <w:bCs/>
                      <w:color w:val="FFFFFF"/>
                    </w:rPr>
                    <w:t>Delta .NRL issued</w:t>
                  </w:r>
                </w:p>
              </w:tc>
            </w:tr>
            <w:tr w:rsidR="00DF506E" w14:paraId="53786446" w14:textId="77777777">
              <w:tc>
                <w:tcPr>
                  <w:tcW w:w="1475" w:type="dxa"/>
                </w:tcPr>
                <w:p w14:paraId="264C9F4C" w14:textId="77777777" w:rsidR="00DF506E" w:rsidRDefault="0049331E">
                  <w:pPr>
                    <w:jc w:val="center"/>
                    <w:rPr>
                      <w:rFonts w:cs="Arial"/>
                    </w:rPr>
                  </w:pPr>
                  <w:r>
                    <w:rPr>
                      <w:rFonts w:cs="Arial"/>
                    </w:rPr>
                    <w:t>M-6</w:t>
                  </w:r>
                </w:p>
              </w:tc>
              <w:tc>
                <w:tcPr>
                  <w:tcW w:w="4677" w:type="dxa"/>
                </w:tcPr>
                <w:p w14:paraId="6488005F" w14:textId="77777777" w:rsidR="00DF506E" w:rsidRDefault="0049331E">
                  <w:pPr>
                    <w:jc w:val="both"/>
                    <w:rPr>
                      <w:rFonts w:cs="Arial"/>
                    </w:rPr>
                  </w:pPr>
                  <w:r>
                    <w:rPr>
                      <w:rFonts w:cs="Arial"/>
                    </w:rPr>
                    <w:t>New Shipper – Shipper B</w:t>
                  </w:r>
                </w:p>
              </w:tc>
              <w:tc>
                <w:tcPr>
                  <w:tcW w:w="2582" w:type="dxa"/>
                </w:tcPr>
                <w:p w14:paraId="50832D94" w14:textId="77777777" w:rsidR="00DF506E" w:rsidRDefault="0049331E">
                  <w:pPr>
                    <w:jc w:val="center"/>
                    <w:rPr>
                      <w:rFonts w:cs="Arial"/>
                    </w:rPr>
                  </w:pPr>
                  <w:r>
                    <w:rPr>
                      <w:rFonts w:cs="Arial"/>
                    </w:rPr>
                    <w:t>Yes</w:t>
                  </w:r>
                </w:p>
              </w:tc>
            </w:tr>
            <w:tr w:rsidR="00DF506E" w14:paraId="6222C365" w14:textId="77777777">
              <w:tc>
                <w:tcPr>
                  <w:tcW w:w="1475" w:type="dxa"/>
                </w:tcPr>
                <w:p w14:paraId="4CABC5A5" w14:textId="77777777" w:rsidR="00DF506E" w:rsidRDefault="0049331E">
                  <w:pPr>
                    <w:jc w:val="center"/>
                    <w:rPr>
                      <w:rFonts w:cs="Arial"/>
                    </w:rPr>
                  </w:pPr>
                  <w:r>
                    <w:rPr>
                      <w:rFonts w:cs="Arial"/>
                    </w:rPr>
                    <w:t>M-4</w:t>
                  </w:r>
                </w:p>
              </w:tc>
              <w:tc>
                <w:tcPr>
                  <w:tcW w:w="4677" w:type="dxa"/>
                </w:tcPr>
                <w:p w14:paraId="74CA1A36" w14:textId="77777777" w:rsidR="00DF506E" w:rsidRDefault="0049331E">
                  <w:pPr>
                    <w:jc w:val="both"/>
                    <w:rPr>
                      <w:rFonts w:cs="Arial"/>
                    </w:rPr>
                  </w:pPr>
                  <w:r>
                    <w:rPr>
                      <w:rFonts w:cs="Arial"/>
                    </w:rPr>
                    <w:t>Same Shipper (reconfirmation) – Shipper B</w:t>
                  </w:r>
                </w:p>
              </w:tc>
              <w:tc>
                <w:tcPr>
                  <w:tcW w:w="2582" w:type="dxa"/>
                </w:tcPr>
                <w:p w14:paraId="085C9091" w14:textId="77777777" w:rsidR="00DF506E" w:rsidRDefault="0049331E">
                  <w:pPr>
                    <w:jc w:val="center"/>
                    <w:rPr>
                      <w:rFonts w:cs="Arial"/>
                    </w:rPr>
                  </w:pPr>
                  <w:r>
                    <w:rPr>
                      <w:rFonts w:cs="Arial"/>
                    </w:rPr>
                    <w:t>Yes</w:t>
                  </w:r>
                </w:p>
              </w:tc>
            </w:tr>
            <w:tr w:rsidR="00DF506E" w14:paraId="098E215F" w14:textId="77777777">
              <w:tc>
                <w:tcPr>
                  <w:tcW w:w="1475" w:type="dxa"/>
                </w:tcPr>
                <w:p w14:paraId="6AAEE6C9" w14:textId="77777777" w:rsidR="00DF506E" w:rsidRDefault="0049331E">
                  <w:pPr>
                    <w:jc w:val="center"/>
                    <w:rPr>
                      <w:rFonts w:cs="Arial"/>
                    </w:rPr>
                  </w:pPr>
                  <w:r>
                    <w:rPr>
                      <w:rFonts w:cs="Arial"/>
                    </w:rPr>
                    <w:t>M-1</w:t>
                  </w:r>
                </w:p>
              </w:tc>
              <w:tc>
                <w:tcPr>
                  <w:tcW w:w="4677" w:type="dxa"/>
                </w:tcPr>
                <w:p w14:paraId="52D898D7" w14:textId="77777777" w:rsidR="00DF506E" w:rsidRDefault="0049331E">
                  <w:pPr>
                    <w:jc w:val="both"/>
                    <w:rPr>
                      <w:rFonts w:cs="Arial"/>
                    </w:rPr>
                  </w:pPr>
                  <w:r>
                    <w:rPr>
                      <w:rFonts w:cs="Arial"/>
                    </w:rPr>
                    <w:t>New Shipper – Shipper C</w:t>
                  </w:r>
                </w:p>
              </w:tc>
              <w:tc>
                <w:tcPr>
                  <w:tcW w:w="2582" w:type="dxa"/>
                </w:tcPr>
                <w:p w14:paraId="5A6C588E" w14:textId="77777777" w:rsidR="00DF506E" w:rsidRDefault="0049331E">
                  <w:pPr>
                    <w:jc w:val="center"/>
                    <w:rPr>
                      <w:rFonts w:cs="Arial"/>
                    </w:rPr>
                  </w:pPr>
                  <w:r>
                    <w:rPr>
                      <w:rFonts w:cs="Arial"/>
                    </w:rPr>
                    <w:t>Yes</w:t>
                  </w:r>
                </w:p>
              </w:tc>
            </w:tr>
          </w:tbl>
          <w:p w14:paraId="2CA2EE90" w14:textId="77777777" w:rsidR="00DF506E" w:rsidRDefault="0049331E">
            <w:pPr>
              <w:jc w:val="both"/>
              <w:rPr>
                <w:rFonts w:cs="Arial"/>
              </w:rPr>
            </w:pPr>
            <w:r>
              <w:rPr>
                <w:rFonts w:cs="Arial"/>
              </w:rPr>
              <w:t xml:space="preserve"> </w:t>
            </w:r>
          </w:p>
          <w:p w14:paraId="01A6D4DF" w14:textId="77777777" w:rsidR="00DF506E" w:rsidRDefault="0049331E">
            <w:pPr>
              <w:jc w:val="both"/>
              <w:rPr>
                <w:rFonts w:eastAsia="Arial" w:cs="Arial"/>
                <w:b/>
                <w:bCs/>
                <w:color w:val="000000"/>
              </w:rPr>
            </w:pPr>
            <w:r>
              <w:rPr>
                <w:rFonts w:eastAsia="Arial" w:cs="Arial"/>
                <w:b/>
                <w:bCs/>
                <w:color w:val="000000"/>
              </w:rPr>
              <w:t>Delta .NRL File Format</w:t>
            </w:r>
          </w:p>
          <w:p w14:paraId="78411838" w14:textId="77777777" w:rsidR="00DF506E" w:rsidRDefault="0049331E">
            <w:pPr>
              <w:jc w:val="both"/>
              <w:rPr>
                <w:rFonts w:eastAsia="Arial" w:cs="Arial"/>
                <w:color w:val="000000"/>
              </w:rPr>
            </w:pPr>
            <w:r>
              <w:rPr>
                <w:rFonts w:eastAsia="Arial" w:cs="Arial"/>
                <w:color w:val="000000"/>
              </w:rPr>
              <w:t>The delta .NRL file will use the existing .NRL file format. The following records can be populated:</w:t>
            </w:r>
          </w:p>
          <w:p w14:paraId="744B18CC" w14:textId="77777777" w:rsidR="00DF506E" w:rsidRDefault="0049331E">
            <w:pPr>
              <w:pStyle w:val="ListParagraph"/>
              <w:widowControl w:val="0"/>
              <w:numPr>
                <w:ilvl w:val="0"/>
                <w:numId w:val="2"/>
              </w:numPr>
              <w:spacing w:before="120" w:after="200" w:line="276" w:lineRule="auto"/>
              <w:jc w:val="both"/>
              <w:rPr>
                <w:rFonts w:eastAsia="Arial" w:cs="Arial"/>
              </w:rPr>
            </w:pPr>
            <w:r>
              <w:rPr>
                <w:rFonts w:eastAsia="Arial" w:cs="Arial"/>
              </w:rPr>
              <w:t>S91 Record – Notification of Supply Point revision (outstanding Offers)</w:t>
            </w:r>
          </w:p>
          <w:p w14:paraId="00034A9E" w14:textId="77777777" w:rsidR="00DF506E" w:rsidRDefault="0049331E">
            <w:pPr>
              <w:ind w:left="360"/>
              <w:jc w:val="both"/>
              <w:rPr>
                <w:rFonts w:eastAsia="Arial" w:cs="Arial"/>
              </w:rPr>
            </w:pPr>
            <w:r>
              <w:rPr>
                <w:rFonts w:eastAsia="Arial" w:cs="Arial"/>
                <w:b/>
                <w:bCs/>
              </w:rPr>
              <w:t>To Note:</w:t>
            </w:r>
            <w:r>
              <w:rPr>
                <w:rFonts w:eastAsia="Arial" w:cs="Arial"/>
              </w:rPr>
              <w:t xml:space="preserve"> S91 segment will not be included within the delta .NRL file if it has already been included in a previous .NRL file.</w:t>
            </w:r>
          </w:p>
          <w:p w14:paraId="1952304B" w14:textId="77777777" w:rsidR="00DF506E" w:rsidRDefault="0049331E">
            <w:pPr>
              <w:pStyle w:val="ListParagraph"/>
              <w:numPr>
                <w:ilvl w:val="0"/>
                <w:numId w:val="2"/>
              </w:numPr>
              <w:spacing w:before="120" w:after="200" w:line="276" w:lineRule="auto"/>
              <w:jc w:val="both"/>
              <w:rPr>
                <w:rFonts w:eastAsia="Arial" w:cs="Arial"/>
              </w:rPr>
            </w:pPr>
            <w:r>
              <w:rPr>
                <w:rFonts w:eastAsia="Arial" w:cs="Arial"/>
                <w:color w:val="000000"/>
              </w:rPr>
              <w:t>T04 Record – Notification of Meter Point AQ Revision.</w:t>
            </w:r>
          </w:p>
          <w:p w14:paraId="01137D20" w14:textId="77777777" w:rsidR="00DF506E" w:rsidRDefault="0049331E">
            <w:pPr>
              <w:pStyle w:val="ListParagraph"/>
              <w:widowControl w:val="0"/>
              <w:numPr>
                <w:ilvl w:val="0"/>
                <w:numId w:val="2"/>
              </w:numPr>
              <w:spacing w:before="120" w:after="120" w:line="276" w:lineRule="auto"/>
              <w:jc w:val="both"/>
              <w:rPr>
                <w:rFonts w:eastAsia="Arial" w:cs="Arial"/>
                <w:color w:val="000000"/>
              </w:rPr>
            </w:pPr>
            <w:r>
              <w:rPr>
                <w:rFonts w:eastAsia="Arial" w:cs="Arial"/>
                <w:color w:val="000000"/>
              </w:rPr>
              <w:t>T97 Record – AQ Impacts Information</w:t>
            </w:r>
          </w:p>
          <w:p w14:paraId="63B3E7B0" w14:textId="77777777" w:rsidR="00DF506E" w:rsidRDefault="0049331E">
            <w:pPr>
              <w:pStyle w:val="ListParagraph"/>
              <w:widowControl w:val="0"/>
              <w:numPr>
                <w:ilvl w:val="0"/>
                <w:numId w:val="2"/>
              </w:numPr>
              <w:spacing w:before="120" w:after="120" w:line="276" w:lineRule="auto"/>
              <w:jc w:val="both"/>
              <w:rPr>
                <w:rFonts w:eastAsia="Arial" w:cs="Arial"/>
                <w:color w:val="000000"/>
              </w:rPr>
            </w:pPr>
            <w:r>
              <w:rPr>
                <w:rFonts w:eastAsia="Arial" w:cs="Arial"/>
                <w:color w:val="000000"/>
              </w:rPr>
              <w:t>T50 Record – Notification of Winter Consumption calculation</w:t>
            </w:r>
          </w:p>
          <w:p w14:paraId="07CC2FD5" w14:textId="77777777" w:rsidR="00DF506E" w:rsidRDefault="0049331E">
            <w:pPr>
              <w:pStyle w:val="ListParagraph"/>
              <w:widowControl w:val="0"/>
              <w:numPr>
                <w:ilvl w:val="0"/>
                <w:numId w:val="2"/>
              </w:numPr>
              <w:spacing w:before="120" w:after="120" w:line="276" w:lineRule="auto"/>
              <w:jc w:val="both"/>
              <w:rPr>
                <w:rFonts w:eastAsia="Arial" w:cs="Arial"/>
                <w:color w:val="000000"/>
              </w:rPr>
            </w:pPr>
            <w:r>
              <w:rPr>
                <w:rFonts w:eastAsia="Arial" w:cs="Arial"/>
                <w:color w:val="000000"/>
              </w:rPr>
              <w:t>T51 Record – Notification of Winter Consumption fail to calculate reason</w:t>
            </w:r>
          </w:p>
          <w:p w14:paraId="3F53C064" w14:textId="77777777" w:rsidR="00DF506E" w:rsidRDefault="0049331E">
            <w:pPr>
              <w:jc w:val="both"/>
              <w:rPr>
                <w:rFonts w:eastAsia="Arial" w:cs="Arial"/>
                <w:color w:val="000000"/>
              </w:rPr>
            </w:pPr>
            <w:r>
              <w:rPr>
                <w:rFonts w:eastAsia="Arial" w:cs="Arial"/>
                <w:color w:val="000000"/>
              </w:rPr>
              <w:t xml:space="preserve">For awareness if the Conversion Factor is identified as requiring an update this will be notified in the delta .NRL file within the T97 record. This notification will not be used to trigger the process for CDSP to update the Conversion Factor introduced as part of XRN4932 </w:t>
            </w:r>
            <w:r>
              <w:t>(Improvements to the quality of the Conversion Factor values held on the Supply Point Register (MOD0681S). For completeness if the Shipper does not update the Conversion Factor before the next AQ calculation the monthly .NRL file will contain this same record and Shippers will have 30 calendar days to process the updates before the CDSP will attempt this on their behalf. The Change Proposal for  XRN4932 can be found here.</w:t>
            </w:r>
          </w:p>
          <w:p w14:paraId="0B089725" w14:textId="77777777" w:rsidR="00DF506E" w:rsidRDefault="00DF506E">
            <w:pPr>
              <w:jc w:val="both"/>
              <w:rPr>
                <w:rFonts w:eastAsia="Arial" w:cs="Arial"/>
                <w:color w:val="000000"/>
              </w:rPr>
            </w:pPr>
          </w:p>
          <w:p w14:paraId="639B1F9C" w14:textId="77777777" w:rsidR="00DF506E" w:rsidRDefault="0049331E">
            <w:pPr>
              <w:jc w:val="both"/>
              <w:rPr>
                <w:rFonts w:eastAsia="Arial" w:cs="Arial"/>
                <w:color w:val="000000"/>
              </w:rPr>
            </w:pPr>
            <w:r>
              <w:rPr>
                <w:rFonts w:eastAsia="Arial" w:cs="Arial"/>
                <w:color w:val="000000"/>
              </w:rPr>
              <w:t>For completeness, the T98 Record (AQ calculation failure) is not applicable for the delta .NRL and therefore will not be included.</w:t>
            </w:r>
          </w:p>
          <w:p w14:paraId="51189437" w14:textId="77777777" w:rsidR="00DF506E" w:rsidRDefault="00DF506E">
            <w:pPr>
              <w:jc w:val="both"/>
              <w:rPr>
                <w:rFonts w:cs="Arial"/>
              </w:rPr>
            </w:pPr>
          </w:p>
          <w:p w14:paraId="36FAD514" w14:textId="77777777" w:rsidR="00DF506E" w:rsidRDefault="0049331E">
            <w:pPr>
              <w:jc w:val="both"/>
              <w:rPr>
                <w:rFonts w:cs="Arial"/>
                <w:b/>
                <w:bCs/>
              </w:rPr>
            </w:pPr>
            <w:r>
              <w:rPr>
                <w:rFonts w:cs="Arial"/>
                <w:b/>
                <w:bCs/>
              </w:rPr>
              <w:t>Changes to the monthly .NRL program</w:t>
            </w:r>
          </w:p>
          <w:p w14:paraId="4FCD2499" w14:textId="77777777" w:rsidR="00DF506E" w:rsidRDefault="00DF506E">
            <w:pPr>
              <w:jc w:val="both"/>
              <w:rPr>
                <w:rFonts w:cs="Arial"/>
                <w:b/>
                <w:bCs/>
              </w:rPr>
            </w:pPr>
          </w:p>
          <w:p w14:paraId="0C01F49A" w14:textId="77777777" w:rsidR="00DF506E" w:rsidRDefault="0049331E">
            <w:pPr>
              <w:jc w:val="both"/>
              <w:rPr>
                <w:rFonts w:cs="Arial"/>
              </w:rPr>
            </w:pPr>
            <w:r>
              <w:rPr>
                <w:rFonts w:cs="Arial"/>
              </w:rPr>
              <w:t xml:space="preserve">Currently the monthly .NRL is issued, when required, to incoming Shippers for SMPs with a status of CO. Following the implementation of the CSSC the status of CO will only apply from 17:00 until 00:00 of transfer day(D)-1. To prevent multiple, unnecessary, .NRL files being issued to Shippers, the status of CO will be removed as a trigger from the monthly .NRL program. </w:t>
            </w:r>
          </w:p>
          <w:p w14:paraId="42116474" w14:textId="77777777" w:rsidR="00DF506E" w:rsidRDefault="00DF506E">
            <w:pPr>
              <w:jc w:val="both"/>
              <w:rPr>
                <w:rFonts w:cs="Arial"/>
              </w:rPr>
            </w:pPr>
          </w:p>
          <w:p w14:paraId="30478BEF" w14:textId="77777777" w:rsidR="00DF506E" w:rsidRDefault="0049331E">
            <w:pPr>
              <w:jc w:val="both"/>
              <w:rPr>
                <w:rFonts w:cs="Arial"/>
              </w:rPr>
            </w:pPr>
            <w:r>
              <w:rPr>
                <w:rFonts w:cs="Arial"/>
              </w:rPr>
              <w:t xml:space="preserve">For the avoidance of doubt, where the status of an SMP is CO the Shipper will no longer receive a T04 record within the monthly .NRL file. </w:t>
            </w:r>
          </w:p>
        </w:tc>
      </w:tr>
    </w:tbl>
    <w:p w14:paraId="23BB91DB" w14:textId="77777777" w:rsidR="00DF506E" w:rsidRDefault="0049331E">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DF506E" w14:paraId="6F607780" w14:textId="77777777">
        <w:trPr>
          <w:trHeight w:val="403"/>
        </w:trPr>
        <w:tc>
          <w:tcPr>
            <w:tcW w:w="1223" w:type="pct"/>
            <w:shd w:val="clear" w:color="auto" w:fill="B3EDFB"/>
            <w:vAlign w:val="center"/>
          </w:tcPr>
          <w:p w14:paraId="6DD7388D" w14:textId="77777777" w:rsidR="00DF506E" w:rsidRDefault="0049331E">
            <w:pPr>
              <w:jc w:val="right"/>
              <w:rPr>
                <w:rFonts w:cs="Arial"/>
              </w:rPr>
            </w:pPr>
            <w:r>
              <w:rPr>
                <w:rFonts w:cs="Arial"/>
              </w:rPr>
              <w:t>Associated Change(s) and Title(s):</w:t>
            </w:r>
          </w:p>
        </w:tc>
        <w:tc>
          <w:tcPr>
            <w:tcW w:w="3777" w:type="pct"/>
            <w:vAlign w:val="center"/>
          </w:tcPr>
          <w:p w14:paraId="74A169B0" w14:textId="77777777" w:rsidR="00DF506E" w:rsidRDefault="0049331E">
            <w:pPr>
              <w:rPr>
                <w:rFonts w:cs="Arial"/>
              </w:rPr>
            </w:pPr>
            <w:r>
              <w:rPr>
                <w:rFonts w:cs="Arial"/>
                <w:color w:val="FF0000"/>
              </w:rPr>
              <w:t xml:space="preserve"> </w:t>
            </w:r>
            <w:r>
              <w:rPr>
                <w:rFonts w:cs="Arial"/>
              </w:rPr>
              <w:t>N/A</w:t>
            </w:r>
          </w:p>
        </w:tc>
      </w:tr>
    </w:tbl>
    <w:p w14:paraId="62D55F5C" w14:textId="77777777" w:rsidR="00DF506E" w:rsidRDefault="0049331E">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DF506E" w14:paraId="356C1A07" w14:textId="77777777">
        <w:trPr>
          <w:trHeight w:val="403"/>
        </w:trPr>
        <w:tc>
          <w:tcPr>
            <w:tcW w:w="1223" w:type="pct"/>
            <w:shd w:val="clear" w:color="auto" w:fill="B3EDFB"/>
            <w:vAlign w:val="center"/>
          </w:tcPr>
          <w:p w14:paraId="2EB841FC" w14:textId="77777777" w:rsidR="00DF506E" w:rsidRDefault="0049331E">
            <w:pPr>
              <w:jc w:val="right"/>
              <w:rPr>
                <w:rFonts w:cs="Arial"/>
              </w:rPr>
            </w:pPr>
            <w:r>
              <w:rPr>
                <w:rFonts w:cs="Arial"/>
              </w:rPr>
              <w:t>Target DSG discussion date:</w:t>
            </w:r>
          </w:p>
        </w:tc>
        <w:tc>
          <w:tcPr>
            <w:tcW w:w="3777" w:type="pct"/>
            <w:vAlign w:val="center"/>
          </w:tcPr>
          <w:p w14:paraId="6DC83A29" w14:textId="77777777" w:rsidR="00DF506E" w:rsidRDefault="0049331E">
            <w:pPr>
              <w:rPr>
                <w:rFonts w:cs="Arial"/>
              </w:rPr>
            </w:pPr>
            <w:r>
              <w:rPr>
                <w:rFonts w:cs="Arial"/>
                <w:color w:val="000000"/>
              </w:rPr>
              <w:t>25/04/2022</w:t>
            </w:r>
          </w:p>
        </w:tc>
      </w:tr>
      <w:tr w:rsidR="00DF506E" w14:paraId="708DB24E" w14:textId="77777777">
        <w:trPr>
          <w:trHeight w:val="403"/>
        </w:trPr>
        <w:tc>
          <w:tcPr>
            <w:tcW w:w="1223" w:type="pct"/>
            <w:shd w:val="clear" w:color="auto" w:fill="B3EDFB"/>
            <w:vAlign w:val="center"/>
          </w:tcPr>
          <w:p w14:paraId="0F2F3E03" w14:textId="77777777" w:rsidR="00DF506E" w:rsidRDefault="0049331E">
            <w:pPr>
              <w:jc w:val="right"/>
              <w:rPr>
                <w:rFonts w:cs="Arial"/>
              </w:rPr>
            </w:pPr>
            <w:r>
              <w:rPr>
                <w:rFonts w:cs="Arial"/>
              </w:rPr>
              <w:t>Any further information:</w:t>
            </w:r>
          </w:p>
        </w:tc>
        <w:tc>
          <w:tcPr>
            <w:tcW w:w="3777" w:type="pct"/>
            <w:vAlign w:val="center"/>
          </w:tcPr>
          <w:p w14:paraId="226AA6CC" w14:textId="77777777" w:rsidR="00DF506E" w:rsidRDefault="0049331E">
            <w:pPr>
              <w:rPr>
                <w:rFonts w:cs="Arial"/>
              </w:rPr>
            </w:pPr>
            <w:r>
              <w:rPr>
                <w:rFonts w:ascii="Segoe UI" w:hAnsi="Segoe UI" w:cs="Segoe UI"/>
                <w:color w:val="000000"/>
                <w:shd w:val="clear" w:color="auto" w:fill="FFFFFF"/>
              </w:rPr>
              <w:t>To discuss any comments provided from the Detailed Design Change Pack representations</w:t>
            </w:r>
          </w:p>
        </w:tc>
      </w:tr>
    </w:tbl>
    <w:p w14:paraId="06FE3E25" w14:textId="77777777" w:rsidR="00DF506E" w:rsidRDefault="0049331E">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DF506E" w14:paraId="65A41372" w14:textId="77777777">
        <w:trPr>
          <w:trHeight w:val="403"/>
        </w:trPr>
        <w:tc>
          <w:tcPr>
            <w:tcW w:w="1223" w:type="pct"/>
            <w:shd w:val="clear" w:color="auto" w:fill="B3EDFB"/>
            <w:vAlign w:val="center"/>
          </w:tcPr>
          <w:p w14:paraId="62A2C2D1" w14:textId="77777777" w:rsidR="00DF506E" w:rsidRDefault="0049331E">
            <w:pPr>
              <w:jc w:val="right"/>
              <w:rPr>
                <w:rFonts w:cs="Arial"/>
              </w:rPr>
            </w:pPr>
            <w:r>
              <w:rPr>
                <w:rFonts w:cs="Arial"/>
              </w:rPr>
              <w:t>Target Release:</w:t>
            </w:r>
          </w:p>
        </w:tc>
        <w:tc>
          <w:tcPr>
            <w:tcW w:w="3777" w:type="pct"/>
            <w:vAlign w:val="center"/>
          </w:tcPr>
          <w:p w14:paraId="1918C0AB" w14:textId="77777777" w:rsidR="00DF506E" w:rsidRDefault="0049331E">
            <w:pPr>
              <w:rPr>
                <w:rFonts w:cs="Arial"/>
              </w:rPr>
            </w:pPr>
            <w:r>
              <w:rPr>
                <w:rFonts w:cs="Arial"/>
              </w:rPr>
              <w:t>Release: Nov 22</w:t>
            </w:r>
          </w:p>
        </w:tc>
      </w:tr>
      <w:tr w:rsidR="00DF506E" w14:paraId="4E33852F" w14:textId="77777777">
        <w:trPr>
          <w:trHeight w:val="403"/>
        </w:trPr>
        <w:tc>
          <w:tcPr>
            <w:tcW w:w="1223" w:type="pct"/>
            <w:shd w:val="clear" w:color="auto" w:fill="B3EDFB"/>
            <w:vAlign w:val="center"/>
          </w:tcPr>
          <w:p w14:paraId="628AE683" w14:textId="77777777" w:rsidR="00DF506E" w:rsidRDefault="0049331E">
            <w:pPr>
              <w:jc w:val="right"/>
              <w:rPr>
                <w:rFonts w:cs="Arial"/>
              </w:rPr>
            </w:pPr>
            <w:r>
              <w:rPr>
                <w:rFonts w:cs="Arial"/>
              </w:rPr>
              <w:t>Status:</w:t>
            </w:r>
          </w:p>
        </w:tc>
        <w:tc>
          <w:tcPr>
            <w:tcW w:w="3777" w:type="pct"/>
            <w:vAlign w:val="center"/>
          </w:tcPr>
          <w:p w14:paraId="05BA113A" w14:textId="77777777" w:rsidR="00DF506E" w:rsidRDefault="00DF506E">
            <w:pPr>
              <w:rPr>
                <w:rFonts w:cs="Arial"/>
              </w:rPr>
            </w:pPr>
          </w:p>
        </w:tc>
      </w:tr>
    </w:tbl>
    <w:p w14:paraId="29892EDF" w14:textId="77777777" w:rsidR="00DF506E" w:rsidRDefault="00DF506E"/>
    <w:p w14:paraId="0ED7EFD7" w14:textId="77777777" w:rsidR="00DF506E" w:rsidRDefault="0049331E">
      <w:r>
        <w:br w:type="page"/>
      </w:r>
    </w:p>
    <w:p w14:paraId="0D18C1E2" w14:textId="77777777" w:rsidR="00DF506E" w:rsidRDefault="0049331E">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Industry Response Detailed Design Review</w:t>
      </w:r>
    </w:p>
    <w:p w14:paraId="09D2A61D" w14:textId="77777777" w:rsidR="00DF506E" w:rsidRDefault="0049331E">
      <w:r>
        <w:br/>
      </w:r>
      <w:r>
        <w:br/>
      </w:r>
      <w:r>
        <w:rPr>
          <w:b/>
          <w:bCs/>
          <w:color w:val="3E5AA8"/>
          <w:sz w:val="28"/>
          <w:szCs w:val="28"/>
        </w:rPr>
        <w:t>Change Representation</w:t>
      </w:r>
      <w:r>
        <w:t xml:space="preserve"> </w:t>
      </w:r>
    </w:p>
    <w:p w14:paraId="0E7A256F" w14:textId="77777777" w:rsidR="00DF506E" w:rsidRDefault="0049331E">
      <w:pPr>
        <w:keepNext/>
        <w:keepLines/>
        <w:spacing w:before="480" w:after="0"/>
        <w:outlineLvl w:val="0"/>
        <w:rPr>
          <w:b/>
          <w:bCs/>
          <w:i/>
          <w:iCs/>
        </w:rPr>
      </w:pPr>
      <w:r>
        <w:rPr>
          <w:b/>
          <w:bCs/>
          <w:i/>
          <w:iCs/>
        </w:rPr>
        <w:t>Please consider any commercial impacts to your organisation that Xoserve need to be aware of when formulating your response</w:t>
      </w:r>
    </w:p>
    <w:p w14:paraId="7EFADD93" w14:textId="77777777" w:rsidR="00DF506E" w:rsidRDefault="00DF506E"/>
    <w:tbl>
      <w:tblPr>
        <w:tblStyle w:val="TableGrid1"/>
        <w:tblW w:w="5018" w:type="pct"/>
        <w:tblInd w:w="-34" w:type="dxa"/>
        <w:tblLayout w:type="fixed"/>
        <w:tblLook w:val="04A0" w:firstRow="1" w:lastRow="0" w:firstColumn="1" w:lastColumn="0" w:noHBand="0" w:noVBand="1"/>
      </w:tblPr>
      <w:tblGrid>
        <w:gridCol w:w="2214"/>
        <w:gridCol w:w="1659"/>
        <w:gridCol w:w="968"/>
        <w:gridCol w:w="4207"/>
      </w:tblGrid>
      <w:tr w:rsidR="00DF506E" w14:paraId="64BC8AF6" w14:textId="77777777">
        <w:trPr>
          <w:trHeight w:val="403"/>
        </w:trPr>
        <w:tc>
          <w:tcPr>
            <w:tcW w:w="1223" w:type="pct"/>
            <w:vMerge w:val="restart"/>
            <w:shd w:val="clear" w:color="auto" w:fill="B2ECFB"/>
            <w:vAlign w:val="center"/>
          </w:tcPr>
          <w:p w14:paraId="791350D4" w14:textId="77777777" w:rsidR="00DF506E" w:rsidRDefault="0049331E">
            <w:pPr>
              <w:jc w:val="right"/>
              <w:rPr>
                <w:rFonts w:cs="Arial"/>
              </w:rPr>
            </w:pPr>
            <w:r>
              <w:rPr>
                <w:rFonts w:cs="Arial"/>
              </w:rPr>
              <w:t>User Contact Details:</w:t>
            </w:r>
          </w:p>
        </w:tc>
        <w:tc>
          <w:tcPr>
            <w:tcW w:w="917" w:type="pct"/>
            <w:shd w:val="clear" w:color="auto" w:fill="B2ECFB"/>
            <w:vAlign w:val="center"/>
          </w:tcPr>
          <w:p w14:paraId="7510BBBD" w14:textId="77777777" w:rsidR="00DF506E" w:rsidRDefault="0049331E">
            <w:pPr>
              <w:jc w:val="right"/>
              <w:rPr>
                <w:rFonts w:cs="Arial"/>
              </w:rPr>
            </w:pPr>
            <w:r>
              <w:rPr>
                <w:rFonts w:cs="Arial"/>
              </w:rPr>
              <w:t>Organisation:</w:t>
            </w:r>
          </w:p>
        </w:tc>
        <w:tc>
          <w:tcPr>
            <w:tcW w:w="2860" w:type="pct"/>
            <w:gridSpan w:val="2"/>
            <w:vAlign w:val="center"/>
          </w:tcPr>
          <w:p w14:paraId="1DFF4310" w14:textId="77777777" w:rsidR="00DF506E" w:rsidRDefault="0049331E">
            <w:pPr>
              <w:rPr>
                <w:rFonts w:cs="Arial"/>
              </w:rPr>
            </w:pPr>
            <w:r>
              <w:rPr>
                <w:rFonts w:cs="Arial"/>
              </w:rPr>
              <w:t>Centrica</w:t>
            </w:r>
          </w:p>
        </w:tc>
      </w:tr>
      <w:tr w:rsidR="00DF506E" w14:paraId="0545407A" w14:textId="77777777">
        <w:trPr>
          <w:trHeight w:val="403"/>
        </w:trPr>
        <w:tc>
          <w:tcPr>
            <w:tcW w:w="1223" w:type="pct"/>
            <w:vMerge/>
            <w:shd w:val="clear" w:color="auto" w:fill="B2ECFB"/>
            <w:vAlign w:val="center"/>
          </w:tcPr>
          <w:p w14:paraId="302BEA84" w14:textId="77777777" w:rsidR="00DF506E" w:rsidRDefault="00DF506E"/>
        </w:tc>
        <w:tc>
          <w:tcPr>
            <w:tcW w:w="917" w:type="pct"/>
            <w:shd w:val="clear" w:color="auto" w:fill="B2ECFB"/>
            <w:vAlign w:val="center"/>
          </w:tcPr>
          <w:p w14:paraId="1FD09A0E" w14:textId="77777777" w:rsidR="00DF506E" w:rsidRDefault="0049331E">
            <w:pPr>
              <w:jc w:val="right"/>
              <w:rPr>
                <w:rFonts w:cs="Arial"/>
              </w:rPr>
            </w:pPr>
            <w:r>
              <w:rPr>
                <w:rFonts w:cs="Arial"/>
              </w:rPr>
              <w:t>Name:</w:t>
            </w:r>
          </w:p>
        </w:tc>
        <w:tc>
          <w:tcPr>
            <w:tcW w:w="2860" w:type="pct"/>
            <w:gridSpan w:val="2"/>
            <w:vAlign w:val="center"/>
          </w:tcPr>
          <w:p w14:paraId="20B2C53C" w14:textId="77777777" w:rsidR="00DF506E" w:rsidRDefault="0049331E">
            <w:pPr>
              <w:rPr>
                <w:rFonts w:cs="Arial"/>
              </w:rPr>
            </w:pPr>
            <w:r>
              <w:rPr>
                <w:rFonts w:cs="Arial"/>
              </w:rPr>
              <w:t>Oorlagh Chapman</w:t>
            </w:r>
          </w:p>
        </w:tc>
      </w:tr>
      <w:tr w:rsidR="00DF506E" w14:paraId="283562FE" w14:textId="77777777">
        <w:trPr>
          <w:trHeight w:val="403"/>
        </w:trPr>
        <w:tc>
          <w:tcPr>
            <w:tcW w:w="1223" w:type="pct"/>
            <w:vMerge/>
            <w:shd w:val="clear" w:color="auto" w:fill="B2ECFB"/>
            <w:vAlign w:val="center"/>
          </w:tcPr>
          <w:p w14:paraId="4CC74C34" w14:textId="77777777" w:rsidR="00DF506E" w:rsidRDefault="00DF506E"/>
        </w:tc>
        <w:tc>
          <w:tcPr>
            <w:tcW w:w="917" w:type="pct"/>
            <w:shd w:val="clear" w:color="auto" w:fill="B2ECFB"/>
            <w:vAlign w:val="center"/>
          </w:tcPr>
          <w:p w14:paraId="14C35676" w14:textId="77777777" w:rsidR="00DF506E" w:rsidRDefault="0049331E">
            <w:pPr>
              <w:jc w:val="right"/>
              <w:rPr>
                <w:rFonts w:cs="Arial"/>
              </w:rPr>
            </w:pPr>
            <w:r>
              <w:rPr>
                <w:rFonts w:cs="Arial"/>
              </w:rPr>
              <w:t>Email:</w:t>
            </w:r>
          </w:p>
        </w:tc>
        <w:tc>
          <w:tcPr>
            <w:tcW w:w="2860" w:type="pct"/>
            <w:gridSpan w:val="2"/>
            <w:vAlign w:val="center"/>
          </w:tcPr>
          <w:p w14:paraId="24D8B21A" w14:textId="77777777" w:rsidR="00DF506E" w:rsidRDefault="0049331E">
            <w:pPr>
              <w:rPr>
                <w:rFonts w:cs="Arial"/>
              </w:rPr>
            </w:pPr>
            <w:r>
              <w:rPr>
                <w:rFonts w:cs="Arial"/>
              </w:rPr>
              <w:t>Oorlagh.chapman@centrica.com</w:t>
            </w:r>
          </w:p>
        </w:tc>
      </w:tr>
      <w:tr w:rsidR="00DF506E" w14:paraId="6A24F74C" w14:textId="77777777">
        <w:trPr>
          <w:trHeight w:val="403"/>
        </w:trPr>
        <w:tc>
          <w:tcPr>
            <w:tcW w:w="1223" w:type="pct"/>
            <w:vMerge/>
            <w:shd w:val="clear" w:color="auto" w:fill="B2ECFB"/>
            <w:vAlign w:val="center"/>
          </w:tcPr>
          <w:p w14:paraId="2323720F" w14:textId="77777777" w:rsidR="00DF506E" w:rsidRDefault="00DF506E"/>
        </w:tc>
        <w:tc>
          <w:tcPr>
            <w:tcW w:w="917" w:type="pct"/>
            <w:shd w:val="clear" w:color="auto" w:fill="B2ECFB"/>
            <w:vAlign w:val="center"/>
          </w:tcPr>
          <w:p w14:paraId="21DB5D60" w14:textId="77777777" w:rsidR="00DF506E" w:rsidRDefault="0049331E">
            <w:pPr>
              <w:jc w:val="right"/>
              <w:rPr>
                <w:rFonts w:cs="Arial"/>
              </w:rPr>
            </w:pPr>
            <w:r>
              <w:rPr>
                <w:rFonts w:cs="Arial"/>
              </w:rPr>
              <w:t>Telephone:</w:t>
            </w:r>
          </w:p>
        </w:tc>
        <w:tc>
          <w:tcPr>
            <w:tcW w:w="2860" w:type="pct"/>
            <w:gridSpan w:val="2"/>
            <w:vAlign w:val="center"/>
          </w:tcPr>
          <w:p w14:paraId="779A00FE" w14:textId="77777777" w:rsidR="00DF506E" w:rsidRDefault="0049331E">
            <w:pPr>
              <w:rPr>
                <w:rFonts w:cs="Arial"/>
              </w:rPr>
            </w:pPr>
            <w:r>
              <w:rPr>
                <w:rFonts w:cs="Arial"/>
              </w:rPr>
              <w:t>07557 614769</w:t>
            </w:r>
          </w:p>
        </w:tc>
      </w:tr>
      <w:tr w:rsidR="00DF506E" w14:paraId="447103BF" w14:textId="77777777">
        <w:trPr>
          <w:trHeight w:val="403"/>
        </w:trPr>
        <w:tc>
          <w:tcPr>
            <w:tcW w:w="1223" w:type="pct"/>
            <w:shd w:val="clear" w:color="auto" w:fill="B2ECFB"/>
            <w:vAlign w:val="center"/>
          </w:tcPr>
          <w:p w14:paraId="27301586" w14:textId="77777777" w:rsidR="00DF506E" w:rsidRDefault="0049331E">
            <w:pPr>
              <w:jc w:val="right"/>
              <w:rPr>
                <w:rFonts w:cs="Arial"/>
              </w:rPr>
            </w:pPr>
            <w:r>
              <w:rPr>
                <w:rFonts w:cs="Arial"/>
              </w:rPr>
              <w:t>Representation Status:</w:t>
            </w:r>
          </w:p>
        </w:tc>
        <w:tc>
          <w:tcPr>
            <w:tcW w:w="3777" w:type="pct"/>
            <w:gridSpan w:val="3"/>
            <w:vAlign w:val="center"/>
          </w:tcPr>
          <w:p w14:paraId="7AB67344" w14:textId="77777777" w:rsidR="00DF506E" w:rsidRDefault="0049331E">
            <w:pPr>
              <w:rPr>
                <w:rFonts w:cs="Arial"/>
              </w:rPr>
            </w:pPr>
            <w:r>
              <w:rPr>
                <w:rFonts w:cs="Arial"/>
              </w:rPr>
              <w:t>Clarify</w:t>
            </w:r>
          </w:p>
        </w:tc>
      </w:tr>
      <w:tr w:rsidR="00DF506E" w14:paraId="19A73D10" w14:textId="77777777">
        <w:trPr>
          <w:trHeight w:val="403"/>
        </w:trPr>
        <w:tc>
          <w:tcPr>
            <w:tcW w:w="1223" w:type="pct"/>
            <w:shd w:val="clear" w:color="auto" w:fill="B2ECFB"/>
            <w:vAlign w:val="center"/>
          </w:tcPr>
          <w:p w14:paraId="3EA97C98" w14:textId="77777777" w:rsidR="00DF506E" w:rsidRDefault="0049331E">
            <w:pPr>
              <w:jc w:val="right"/>
              <w:rPr>
                <w:rFonts w:cs="Arial"/>
              </w:rPr>
            </w:pPr>
            <w:r>
              <w:rPr>
                <w:rFonts w:cs="Arial"/>
              </w:rPr>
              <w:t>Representation Publication:</w:t>
            </w:r>
          </w:p>
        </w:tc>
        <w:tc>
          <w:tcPr>
            <w:tcW w:w="3777" w:type="pct"/>
            <w:gridSpan w:val="3"/>
            <w:vAlign w:val="center"/>
          </w:tcPr>
          <w:p w14:paraId="071DB4A1" w14:textId="77777777" w:rsidR="00DF506E" w:rsidRDefault="0049331E">
            <w:pPr>
              <w:rPr>
                <w:rFonts w:cs="Arial"/>
              </w:rPr>
            </w:pPr>
            <w:r>
              <w:rPr>
                <w:rFonts w:cs="Arial"/>
              </w:rPr>
              <w:t>Publish</w:t>
            </w:r>
          </w:p>
        </w:tc>
      </w:tr>
      <w:tr w:rsidR="00DF506E" w14:paraId="0F049937" w14:textId="77777777">
        <w:trPr>
          <w:trHeight w:val="403"/>
        </w:trPr>
        <w:tc>
          <w:tcPr>
            <w:tcW w:w="1223" w:type="pct"/>
            <w:shd w:val="clear" w:color="auto" w:fill="B2ECFB"/>
            <w:vAlign w:val="center"/>
          </w:tcPr>
          <w:p w14:paraId="3FDE479C" w14:textId="77777777" w:rsidR="00DF506E" w:rsidRDefault="0049331E">
            <w:pPr>
              <w:jc w:val="right"/>
              <w:rPr>
                <w:rFonts w:cs="Arial"/>
              </w:rPr>
            </w:pPr>
            <w:r>
              <w:rPr>
                <w:rFonts w:cs="Arial"/>
              </w:rPr>
              <w:t>Representation Comments:</w:t>
            </w:r>
          </w:p>
        </w:tc>
        <w:tc>
          <w:tcPr>
            <w:tcW w:w="3777" w:type="pct"/>
            <w:gridSpan w:val="3"/>
            <w:vAlign w:val="center"/>
          </w:tcPr>
          <w:p w14:paraId="4D6DF95F" w14:textId="667FB32C" w:rsidR="00DF506E" w:rsidRDefault="0049331E">
            <w:pPr>
              <w:rPr>
                <w:rFonts w:cs="Arial"/>
              </w:rPr>
            </w:pPr>
            <w:r>
              <w:rPr>
                <w:rFonts w:cs="Arial"/>
              </w:rPr>
              <w:t>Currently we receive the NRL files around the 23/24th of the month. Not sure if SAP is setup to process NRLs daily or only once a month. If they are going to send us Delta NRLs there could be a need to change SAP Schedules to work daily. Plus it looks like they are not including the full sent of Groups in the delta file. Might also require changes to the NRL code?</w:t>
            </w:r>
            <w:r>
              <w:rPr>
                <w:rFonts w:cs="Arial"/>
              </w:rPr>
              <w:br/>
            </w:r>
          </w:p>
        </w:tc>
      </w:tr>
      <w:tr w:rsidR="00DF506E" w14:paraId="0996EC71" w14:textId="77777777">
        <w:trPr>
          <w:trHeight w:val="403"/>
        </w:trPr>
        <w:tc>
          <w:tcPr>
            <w:tcW w:w="1223" w:type="pct"/>
            <w:shd w:val="clear" w:color="auto" w:fill="B2ECFB"/>
            <w:vAlign w:val="center"/>
          </w:tcPr>
          <w:p w14:paraId="3E769571" w14:textId="77777777" w:rsidR="00DF506E" w:rsidRDefault="0049331E">
            <w:pPr>
              <w:jc w:val="right"/>
              <w:rPr>
                <w:rFonts w:cs="Arial"/>
              </w:rPr>
            </w:pPr>
            <w:r>
              <w:rPr>
                <w:rFonts w:cs="Arial"/>
              </w:rPr>
              <w:t>Confirm Target Release Date?</w:t>
            </w:r>
          </w:p>
        </w:tc>
        <w:tc>
          <w:tcPr>
            <w:tcW w:w="1452" w:type="pct"/>
            <w:gridSpan w:val="2"/>
            <w:vAlign w:val="center"/>
          </w:tcPr>
          <w:p w14:paraId="664FEE4F" w14:textId="77777777" w:rsidR="00DF506E" w:rsidRDefault="0049331E">
            <w:pPr>
              <w:rPr>
                <w:rFonts w:cs="Arial"/>
              </w:rPr>
            </w:pPr>
            <w:r>
              <w:rPr>
                <w:rFonts w:cs="Arial"/>
              </w:rPr>
              <w:t>Yes</w:t>
            </w:r>
          </w:p>
        </w:tc>
        <w:tc>
          <w:tcPr>
            <w:tcW w:w="2325" w:type="pct"/>
            <w:vAlign w:val="center"/>
          </w:tcPr>
          <w:p w14:paraId="237639DF" w14:textId="5460858D" w:rsidR="00DF506E" w:rsidRDefault="0049331E">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noProof/>
              </w:rPr>
              <w:t>«h1_userDataAlternative»</w:t>
            </w:r>
            <w:r>
              <w:rPr>
                <w:rFonts w:cs="Arial"/>
              </w:rPr>
              <w:fldChar w:fldCharType="end"/>
            </w:r>
          </w:p>
        </w:tc>
      </w:tr>
    </w:tbl>
    <w:p w14:paraId="7DF96903" w14:textId="77777777" w:rsidR="00DF506E" w:rsidRDefault="00DF506E"/>
    <w:p w14:paraId="643EA09B" w14:textId="77777777" w:rsidR="00DF506E" w:rsidRDefault="0049331E">
      <w:pPr>
        <w:keepNext/>
        <w:keepLines/>
        <w:spacing w:before="480" w:after="0"/>
        <w:outlineLvl w:val="0"/>
        <w:rPr>
          <w:b/>
          <w:bCs/>
          <w:color w:val="3E5AA8"/>
          <w:sz w:val="28"/>
          <w:szCs w:val="28"/>
        </w:rPr>
      </w:pPr>
      <w:r>
        <w:rPr>
          <w:b/>
          <w:bCs/>
          <w:color w:val="3E5AA8"/>
          <w:sz w:val="28"/>
          <w:szCs w:val="28"/>
        </w:rPr>
        <w:t xml:space="preserve">Xoserve’ s Response </w:t>
      </w:r>
    </w:p>
    <w:tbl>
      <w:tblPr>
        <w:tblStyle w:val="TableGrid1"/>
        <w:tblW w:w="5018" w:type="pct"/>
        <w:tblInd w:w="-34" w:type="dxa"/>
        <w:tblLayout w:type="fixed"/>
        <w:tblLook w:val="04A0" w:firstRow="1" w:lastRow="0" w:firstColumn="1" w:lastColumn="0" w:noHBand="0" w:noVBand="1"/>
      </w:tblPr>
      <w:tblGrid>
        <w:gridCol w:w="2213"/>
        <w:gridCol w:w="6835"/>
      </w:tblGrid>
      <w:tr w:rsidR="00DF506E" w14:paraId="06D5675B" w14:textId="77777777">
        <w:trPr>
          <w:trHeight w:val="663"/>
        </w:trPr>
        <w:tc>
          <w:tcPr>
            <w:tcW w:w="1223" w:type="pct"/>
            <w:shd w:val="clear" w:color="auto" w:fill="B2ECFB"/>
            <w:vAlign w:val="center"/>
          </w:tcPr>
          <w:p w14:paraId="51A458B6" w14:textId="77777777" w:rsidR="00DF506E" w:rsidRDefault="0049331E">
            <w:pPr>
              <w:jc w:val="right"/>
              <w:rPr>
                <w:rFonts w:cs="Arial"/>
              </w:rPr>
            </w:pPr>
            <w:r>
              <w:rPr>
                <w:rFonts w:cs="Arial"/>
              </w:rPr>
              <w:t>Xoserve Response to Organisations Comments:</w:t>
            </w:r>
          </w:p>
        </w:tc>
        <w:tc>
          <w:tcPr>
            <w:tcW w:w="3777" w:type="pct"/>
            <w:vAlign w:val="center"/>
          </w:tcPr>
          <w:p w14:paraId="42537876" w14:textId="77777777" w:rsidR="00FE09B1" w:rsidRDefault="0049331E" w:rsidP="00FE09B1">
            <w:r>
              <w:rPr>
                <w:rFonts w:cs="Arial"/>
              </w:rPr>
              <w:t>Thank you for your representation.</w:t>
            </w:r>
            <w:r>
              <w:rPr>
                <w:rFonts w:cs="Arial"/>
              </w:rPr>
              <w:br/>
            </w:r>
            <w:r>
              <w:rPr>
                <w:rFonts w:cs="Arial"/>
              </w:rPr>
              <w:br/>
            </w:r>
            <w:r w:rsidR="00FE09B1">
              <w:t>If you gain a Supply Meter Point since the monthly NRL was issued and before M-1 you will receive a delta NRL which will need to be received and processed by your systems. How Shipper systems receive and process files varies between each organisation and therefore we are unable to comment on what (if any) specific system changes you require.</w:t>
            </w:r>
          </w:p>
          <w:p w14:paraId="17410CB4" w14:textId="77777777" w:rsidR="00FE09B1" w:rsidRDefault="00FE09B1" w:rsidP="00FE09B1"/>
          <w:p w14:paraId="359113F5" w14:textId="77777777" w:rsidR="00FE09B1" w:rsidRDefault="00FE09B1" w:rsidP="00FE09B1">
            <w:r>
              <w:t>The T04, T97, T50 and T51 records can be included within the delta NRL file, as required – the S91 will only be included if there is a new outstanding offer since the NRL was last issued.</w:t>
            </w:r>
          </w:p>
          <w:p w14:paraId="19B76B2F" w14:textId="77777777" w:rsidR="00FE09B1" w:rsidRDefault="00FE09B1" w:rsidP="00FE09B1"/>
          <w:p w14:paraId="2C97A100" w14:textId="77777777" w:rsidR="00FE09B1" w:rsidRDefault="00FE09B1" w:rsidP="00FE09B1">
            <w:r>
              <w:t xml:space="preserve">For the avoidance of doubt, the file hierarchy of the .NRL remains unchanged and the monthly and delta versions will have the same </w:t>
            </w:r>
            <w:r>
              <w:lastRenderedPageBreak/>
              <w:t>format. The differentiation made by name is purely to indicate the point at which they will be issued.</w:t>
            </w:r>
          </w:p>
          <w:p w14:paraId="28EC285E" w14:textId="500835F2" w:rsidR="00DF506E" w:rsidRDefault="00DF506E">
            <w:pPr>
              <w:rPr>
                <w:rFonts w:cs="Arial"/>
              </w:rPr>
            </w:pPr>
          </w:p>
        </w:tc>
      </w:tr>
    </w:tbl>
    <w:p w14:paraId="43EAD34B" w14:textId="77777777" w:rsidR="00DF506E" w:rsidRDefault="00DF506E"/>
    <w:p w14:paraId="22B8B7CB" w14:textId="15F052A9" w:rsidR="00DF506E" w:rsidRDefault="0049331E">
      <w:r>
        <w:t xml:space="preserve">Please send the completed representation response to </w:t>
      </w:r>
      <w:hyperlink r:id="rId10">
        <w:r>
          <w:rPr>
            <w:color w:val="6440A3"/>
            <w:u w:val="single"/>
          </w:rPr>
          <w:t>uklink@xoserve.com</w:t>
        </w:r>
      </w:hyperlink>
      <w:r>
        <w:t xml:space="preserve"> </w:t>
      </w:r>
    </w:p>
    <w:p w14:paraId="236FAE88" w14:textId="77777777" w:rsidR="00DF506E" w:rsidRDefault="00DF506E"/>
    <w:p w14:paraId="0E874B56" w14:textId="77777777" w:rsidR="00DF506E" w:rsidRDefault="00DF506E">
      <w:pPr>
        <w:pBdr>
          <w:bottom w:val="single" w:sz="8" w:space="4" w:color="3E5AA8"/>
        </w:pBdr>
        <w:spacing w:after="300" w:line="240" w:lineRule="auto"/>
        <w:contextualSpacing/>
        <w:rPr>
          <w:b/>
          <w:bCs/>
          <w:color w:val="1D3E61"/>
          <w:spacing w:val="5"/>
          <w:kern w:val="28"/>
          <w:sz w:val="52"/>
          <w:szCs w:val="52"/>
        </w:rPr>
      </w:pPr>
    </w:p>
    <w:p w14:paraId="7761D0FF" w14:textId="77777777" w:rsidR="00DF506E" w:rsidRDefault="00DF506E">
      <w:pPr>
        <w:pBdr>
          <w:bottom w:val="single" w:sz="8" w:space="4" w:color="3E5AA8"/>
        </w:pBdr>
        <w:spacing w:after="300" w:line="240" w:lineRule="auto"/>
        <w:contextualSpacing/>
        <w:rPr>
          <w:b/>
          <w:bCs/>
          <w:color w:val="1D3E61"/>
          <w:spacing w:val="5"/>
          <w:kern w:val="28"/>
          <w:sz w:val="52"/>
          <w:szCs w:val="52"/>
        </w:rPr>
      </w:pPr>
    </w:p>
    <w:p w14:paraId="7E9BADA9" w14:textId="77777777" w:rsidR="00DF506E" w:rsidRDefault="0049331E">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t>Change Management Committee Outcome</w:t>
      </w:r>
    </w:p>
    <w:tbl>
      <w:tblPr>
        <w:tblStyle w:val="TableGrid1"/>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DF506E" w14:paraId="3A70450E" w14:textId="77777777">
        <w:trPr>
          <w:trHeight w:val="403"/>
        </w:trPr>
        <w:tc>
          <w:tcPr>
            <w:tcW w:w="1226" w:type="pct"/>
            <w:shd w:val="clear" w:color="auto" w:fill="B2ECFB"/>
            <w:vAlign w:val="center"/>
          </w:tcPr>
          <w:p w14:paraId="3562234F" w14:textId="77777777" w:rsidR="00DF506E" w:rsidRDefault="0049331E">
            <w:pPr>
              <w:jc w:val="right"/>
              <w:rPr>
                <w:rFonts w:cs="Arial"/>
              </w:rPr>
            </w:pPr>
            <w:r>
              <w:rPr>
                <w:rFonts w:cs="Arial"/>
              </w:rPr>
              <w:t>Change Status:</w:t>
            </w:r>
          </w:p>
        </w:tc>
        <w:tc>
          <w:tcPr>
            <w:tcW w:w="1258" w:type="pct"/>
            <w:vAlign w:val="center"/>
          </w:tcPr>
          <w:p w14:paraId="10F14B5E" w14:textId="77777777" w:rsidR="00DF506E" w:rsidRDefault="0049331E">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Approve</w:t>
            </w:r>
          </w:p>
        </w:tc>
        <w:tc>
          <w:tcPr>
            <w:tcW w:w="1259" w:type="pct"/>
            <w:gridSpan w:val="3"/>
            <w:vAlign w:val="center"/>
          </w:tcPr>
          <w:p w14:paraId="13E51B6F" w14:textId="77777777" w:rsidR="00DF506E" w:rsidRDefault="0049331E">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Reject</w:t>
            </w:r>
          </w:p>
        </w:tc>
        <w:tc>
          <w:tcPr>
            <w:tcW w:w="1257" w:type="pct"/>
            <w:vAlign w:val="center"/>
          </w:tcPr>
          <w:p w14:paraId="575A3356" w14:textId="4EDC5A39" w:rsidR="00DF506E" w:rsidRDefault="0043187A">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sidR="00A55C08">
              <w:rPr>
                <w:rFonts w:cs="Arial"/>
              </w:rPr>
            </w:r>
            <w:r w:rsidR="00A55C08">
              <w:rPr>
                <w:rFonts w:cs="Arial"/>
              </w:rPr>
              <w:fldChar w:fldCharType="separate"/>
            </w:r>
            <w:r>
              <w:rPr>
                <w:rFonts w:cs="Arial"/>
              </w:rPr>
              <w:fldChar w:fldCharType="end"/>
            </w:r>
            <w:r w:rsidR="0049331E">
              <w:rPr>
                <w:rFonts w:cs="Arial"/>
              </w:rPr>
              <w:t xml:space="preserve"> Defer</w:t>
            </w:r>
          </w:p>
        </w:tc>
      </w:tr>
      <w:tr w:rsidR="00DF506E" w14:paraId="5CAB5446" w14:textId="77777777">
        <w:trPr>
          <w:trHeight w:val="403"/>
        </w:trPr>
        <w:tc>
          <w:tcPr>
            <w:tcW w:w="1226" w:type="pct"/>
            <w:vMerge w:val="restart"/>
            <w:shd w:val="clear" w:color="auto" w:fill="B2ECFB"/>
            <w:vAlign w:val="center"/>
          </w:tcPr>
          <w:p w14:paraId="001609A0" w14:textId="77777777" w:rsidR="00DF506E" w:rsidRDefault="0049331E">
            <w:pPr>
              <w:jc w:val="right"/>
              <w:rPr>
                <w:rFonts w:cs="Arial"/>
              </w:rPr>
            </w:pPr>
            <w:r>
              <w:rPr>
                <w:rFonts w:cs="Arial"/>
              </w:rPr>
              <w:t>Industry Consultation:</w:t>
            </w:r>
          </w:p>
        </w:tc>
        <w:tc>
          <w:tcPr>
            <w:tcW w:w="1888" w:type="pct"/>
            <w:gridSpan w:val="2"/>
            <w:vAlign w:val="center"/>
          </w:tcPr>
          <w:p w14:paraId="687BE2F0" w14:textId="6CCD3964" w:rsidR="00DF506E" w:rsidRDefault="0043187A">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sidR="00A55C08">
              <w:rPr>
                <w:rFonts w:cs="Arial"/>
              </w:rPr>
            </w:r>
            <w:r w:rsidR="00A55C08">
              <w:rPr>
                <w:rFonts w:cs="Arial"/>
              </w:rPr>
              <w:fldChar w:fldCharType="separate"/>
            </w:r>
            <w:r>
              <w:rPr>
                <w:rFonts w:cs="Arial"/>
              </w:rPr>
              <w:fldChar w:fldCharType="end"/>
            </w:r>
            <w:r w:rsidR="0049331E">
              <w:rPr>
                <w:rFonts w:cs="Arial"/>
              </w:rPr>
              <w:t xml:space="preserve"> 10 Working Days</w:t>
            </w:r>
          </w:p>
        </w:tc>
        <w:tc>
          <w:tcPr>
            <w:tcW w:w="1886" w:type="pct"/>
            <w:gridSpan w:val="3"/>
            <w:vAlign w:val="center"/>
          </w:tcPr>
          <w:p w14:paraId="73BE0AA5" w14:textId="77777777" w:rsidR="00DF506E" w:rsidRDefault="0049331E">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15 Working Days</w:t>
            </w:r>
          </w:p>
        </w:tc>
      </w:tr>
      <w:tr w:rsidR="00DF506E" w14:paraId="180DB692" w14:textId="77777777">
        <w:trPr>
          <w:trHeight w:val="403"/>
        </w:trPr>
        <w:tc>
          <w:tcPr>
            <w:tcW w:w="1226" w:type="pct"/>
            <w:vMerge/>
            <w:shd w:val="clear" w:color="auto" w:fill="B2ECFB"/>
            <w:vAlign w:val="center"/>
          </w:tcPr>
          <w:p w14:paraId="33CCF6D8" w14:textId="77777777" w:rsidR="00DF506E" w:rsidRDefault="00DF506E"/>
        </w:tc>
        <w:tc>
          <w:tcPr>
            <w:tcW w:w="1888" w:type="pct"/>
            <w:gridSpan w:val="2"/>
            <w:vAlign w:val="center"/>
          </w:tcPr>
          <w:p w14:paraId="59268825" w14:textId="77777777" w:rsidR="00DF506E" w:rsidRDefault="0049331E">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20 Working Days</w:t>
            </w:r>
          </w:p>
        </w:tc>
        <w:tc>
          <w:tcPr>
            <w:tcW w:w="1886" w:type="pct"/>
            <w:gridSpan w:val="3"/>
            <w:vAlign w:val="center"/>
          </w:tcPr>
          <w:p w14:paraId="3641DED1" w14:textId="77777777" w:rsidR="00DF506E" w:rsidRDefault="0049331E">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Other [Specify Here]</w:t>
            </w:r>
          </w:p>
        </w:tc>
      </w:tr>
      <w:tr w:rsidR="00DF506E" w14:paraId="01A9BAD4" w14:textId="77777777">
        <w:trPr>
          <w:trHeight w:val="403"/>
        </w:trPr>
        <w:tc>
          <w:tcPr>
            <w:tcW w:w="1226" w:type="pct"/>
            <w:shd w:val="clear" w:color="auto" w:fill="B2ECFB"/>
            <w:vAlign w:val="center"/>
          </w:tcPr>
          <w:p w14:paraId="6121ACD2" w14:textId="77777777" w:rsidR="00DF506E" w:rsidRDefault="0049331E">
            <w:pPr>
              <w:jc w:val="right"/>
              <w:rPr>
                <w:rFonts w:cs="Arial"/>
              </w:rPr>
            </w:pPr>
            <w:r>
              <w:rPr>
                <w:rFonts w:cs="Arial"/>
              </w:rPr>
              <w:t>Date Issued:</w:t>
            </w:r>
          </w:p>
        </w:tc>
        <w:tc>
          <w:tcPr>
            <w:tcW w:w="3774" w:type="pct"/>
            <w:gridSpan w:val="5"/>
            <w:vAlign w:val="center"/>
          </w:tcPr>
          <w:p w14:paraId="63EFCD74" w14:textId="0997EC0A" w:rsidR="00DF506E" w:rsidRDefault="0043187A">
            <w:pPr>
              <w:rPr>
                <w:rFonts w:cs="Arial"/>
              </w:rPr>
            </w:pPr>
            <w:r>
              <w:rPr>
                <w:color w:val="808080"/>
              </w:rPr>
              <w:t>19</w:t>
            </w:r>
            <w:r w:rsidR="0018232C">
              <w:rPr>
                <w:color w:val="808080"/>
              </w:rPr>
              <w:t>/04/2022</w:t>
            </w:r>
          </w:p>
        </w:tc>
      </w:tr>
      <w:tr w:rsidR="00DF506E" w14:paraId="640357C8" w14:textId="77777777">
        <w:trPr>
          <w:trHeight w:val="403"/>
        </w:trPr>
        <w:tc>
          <w:tcPr>
            <w:tcW w:w="1226" w:type="pct"/>
            <w:shd w:val="clear" w:color="auto" w:fill="B2ECFB"/>
            <w:vAlign w:val="center"/>
          </w:tcPr>
          <w:p w14:paraId="677108C4" w14:textId="77777777" w:rsidR="00DF506E" w:rsidRDefault="0049331E">
            <w:pPr>
              <w:jc w:val="right"/>
              <w:rPr>
                <w:rFonts w:cs="Arial"/>
              </w:rPr>
            </w:pPr>
            <w:r>
              <w:rPr>
                <w:rFonts w:cs="Arial"/>
              </w:rPr>
              <w:t>Comms Ref(s):</w:t>
            </w:r>
          </w:p>
        </w:tc>
        <w:tc>
          <w:tcPr>
            <w:tcW w:w="3774" w:type="pct"/>
            <w:gridSpan w:val="5"/>
            <w:vAlign w:val="center"/>
          </w:tcPr>
          <w:p w14:paraId="766A386B" w14:textId="52D9799E" w:rsidR="00DF506E" w:rsidRDefault="0018232C">
            <w:pPr>
              <w:rPr>
                <w:rFonts w:cs="Arial"/>
              </w:rPr>
            </w:pPr>
            <w:r>
              <w:rPr>
                <w:rFonts w:cs="Arial"/>
              </w:rPr>
              <w:t>3015.1 – RT - PO</w:t>
            </w:r>
          </w:p>
        </w:tc>
      </w:tr>
      <w:tr w:rsidR="00DF506E" w14:paraId="2A0D89DF" w14:textId="77777777">
        <w:trPr>
          <w:trHeight w:val="403"/>
        </w:trPr>
        <w:tc>
          <w:tcPr>
            <w:tcW w:w="1226" w:type="pct"/>
            <w:shd w:val="clear" w:color="auto" w:fill="B2ECFB"/>
            <w:vAlign w:val="center"/>
          </w:tcPr>
          <w:p w14:paraId="6F4B77AF" w14:textId="77777777" w:rsidR="00DF506E" w:rsidRDefault="0049331E">
            <w:pPr>
              <w:jc w:val="right"/>
              <w:rPr>
                <w:rFonts w:cs="Arial"/>
              </w:rPr>
            </w:pPr>
            <w:r>
              <w:rPr>
                <w:rFonts w:cs="Arial"/>
              </w:rPr>
              <w:t>Number of Responses:</w:t>
            </w:r>
          </w:p>
        </w:tc>
        <w:tc>
          <w:tcPr>
            <w:tcW w:w="3774" w:type="pct"/>
            <w:gridSpan w:val="5"/>
            <w:vAlign w:val="center"/>
          </w:tcPr>
          <w:p w14:paraId="3D3B6139" w14:textId="2A5C039E" w:rsidR="00DF506E" w:rsidRDefault="00520E5F">
            <w:pPr>
              <w:rPr>
                <w:rFonts w:cs="Arial"/>
              </w:rPr>
            </w:pPr>
            <w:r>
              <w:rPr>
                <w:rFonts w:cs="Arial"/>
              </w:rPr>
              <w:t>1 comment only</w:t>
            </w:r>
          </w:p>
        </w:tc>
      </w:tr>
      <w:tr w:rsidR="00DF506E" w14:paraId="5A6AAD64" w14:textId="77777777">
        <w:trPr>
          <w:trHeight w:val="403"/>
        </w:trPr>
        <w:tc>
          <w:tcPr>
            <w:tcW w:w="1226" w:type="pct"/>
            <w:vMerge w:val="restart"/>
            <w:shd w:val="clear" w:color="auto" w:fill="B2ECFB"/>
            <w:vAlign w:val="center"/>
          </w:tcPr>
          <w:p w14:paraId="646EF265" w14:textId="77777777" w:rsidR="00DF506E" w:rsidRDefault="0049331E">
            <w:pPr>
              <w:jc w:val="right"/>
              <w:rPr>
                <w:rFonts w:cs="Arial"/>
              </w:rPr>
            </w:pPr>
            <w:r>
              <w:rPr>
                <w:rFonts w:cs="Arial"/>
              </w:rPr>
              <w:t>Solution Voting:</w:t>
            </w:r>
          </w:p>
        </w:tc>
        <w:tc>
          <w:tcPr>
            <w:tcW w:w="2215" w:type="pct"/>
            <w:gridSpan w:val="3"/>
            <w:vAlign w:val="center"/>
          </w:tcPr>
          <w:p w14:paraId="0F560A59" w14:textId="2E8C9D6B" w:rsidR="00DF506E" w:rsidRDefault="00520E5F">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sidR="00A55C08">
              <w:rPr>
                <w:rFonts w:cs="Arial"/>
              </w:rPr>
            </w:r>
            <w:r w:rsidR="00A55C08">
              <w:rPr>
                <w:rFonts w:cs="Arial"/>
              </w:rPr>
              <w:fldChar w:fldCharType="separate"/>
            </w:r>
            <w:r>
              <w:rPr>
                <w:rFonts w:cs="Arial"/>
              </w:rPr>
              <w:fldChar w:fldCharType="end"/>
            </w:r>
            <w:r w:rsidR="0049331E">
              <w:rPr>
                <w:rFonts w:cs="Arial"/>
              </w:rPr>
              <w:t xml:space="preserve"> Shipper</w:t>
            </w:r>
          </w:p>
        </w:tc>
        <w:tc>
          <w:tcPr>
            <w:tcW w:w="1559" w:type="pct"/>
            <w:gridSpan w:val="2"/>
            <w:vAlign w:val="center"/>
          </w:tcPr>
          <w:p w14:paraId="72D7C342" w14:textId="6D558361" w:rsidR="00DF506E" w:rsidRDefault="00520E5F">
            <w:pPr>
              <w:rPr>
                <w:rFonts w:cs="Arial"/>
              </w:rPr>
            </w:pPr>
            <w:r>
              <w:rPr>
                <w:color w:val="808080"/>
              </w:rPr>
              <w:t>Defer</w:t>
            </w:r>
          </w:p>
        </w:tc>
      </w:tr>
      <w:tr w:rsidR="00DF506E" w14:paraId="6F38258F" w14:textId="77777777">
        <w:trPr>
          <w:trHeight w:val="403"/>
        </w:trPr>
        <w:tc>
          <w:tcPr>
            <w:tcW w:w="1226" w:type="pct"/>
            <w:vMerge/>
            <w:shd w:val="clear" w:color="auto" w:fill="B2ECFB"/>
            <w:vAlign w:val="center"/>
          </w:tcPr>
          <w:p w14:paraId="498ABD41" w14:textId="77777777" w:rsidR="00DF506E" w:rsidRDefault="00DF506E"/>
        </w:tc>
        <w:tc>
          <w:tcPr>
            <w:tcW w:w="2215" w:type="pct"/>
            <w:gridSpan w:val="3"/>
            <w:vAlign w:val="center"/>
          </w:tcPr>
          <w:p w14:paraId="6A8B3DFA" w14:textId="77777777" w:rsidR="00DF506E" w:rsidRDefault="0049331E">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National Grid Transmission</w:t>
            </w:r>
          </w:p>
        </w:tc>
        <w:tc>
          <w:tcPr>
            <w:tcW w:w="1559" w:type="pct"/>
            <w:gridSpan w:val="2"/>
            <w:vAlign w:val="center"/>
          </w:tcPr>
          <w:p w14:paraId="7AD59814" w14:textId="77777777" w:rsidR="00DF506E" w:rsidRDefault="0049331E">
            <w:pPr>
              <w:rPr>
                <w:rFonts w:cs="Arial"/>
              </w:rPr>
            </w:pPr>
            <w:r>
              <w:rPr>
                <w:color w:val="808080"/>
              </w:rPr>
              <w:t>Please select.</w:t>
            </w:r>
          </w:p>
        </w:tc>
      </w:tr>
      <w:tr w:rsidR="00DF506E" w14:paraId="34A83885" w14:textId="77777777">
        <w:trPr>
          <w:trHeight w:val="403"/>
        </w:trPr>
        <w:tc>
          <w:tcPr>
            <w:tcW w:w="1226" w:type="pct"/>
            <w:vMerge/>
            <w:shd w:val="clear" w:color="auto" w:fill="B2ECFB"/>
            <w:vAlign w:val="center"/>
          </w:tcPr>
          <w:p w14:paraId="5805C72C" w14:textId="77777777" w:rsidR="00DF506E" w:rsidRDefault="00DF506E"/>
        </w:tc>
        <w:tc>
          <w:tcPr>
            <w:tcW w:w="2215" w:type="pct"/>
            <w:gridSpan w:val="3"/>
            <w:vAlign w:val="center"/>
          </w:tcPr>
          <w:p w14:paraId="70B6D64C" w14:textId="77777777" w:rsidR="00DF506E" w:rsidRDefault="0049331E">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Distribution Network Operator</w:t>
            </w:r>
          </w:p>
        </w:tc>
        <w:tc>
          <w:tcPr>
            <w:tcW w:w="1559" w:type="pct"/>
            <w:gridSpan w:val="2"/>
            <w:vAlign w:val="center"/>
          </w:tcPr>
          <w:p w14:paraId="3148105B" w14:textId="77777777" w:rsidR="00DF506E" w:rsidRDefault="0049331E">
            <w:pPr>
              <w:rPr>
                <w:rFonts w:cs="Arial"/>
              </w:rPr>
            </w:pPr>
            <w:r>
              <w:rPr>
                <w:color w:val="808080"/>
              </w:rPr>
              <w:t>Please select.</w:t>
            </w:r>
          </w:p>
        </w:tc>
      </w:tr>
      <w:tr w:rsidR="00DF506E" w14:paraId="6986CC1A" w14:textId="77777777">
        <w:trPr>
          <w:trHeight w:val="403"/>
        </w:trPr>
        <w:tc>
          <w:tcPr>
            <w:tcW w:w="1226" w:type="pct"/>
            <w:vMerge/>
            <w:shd w:val="clear" w:color="auto" w:fill="B2ECFB"/>
            <w:vAlign w:val="center"/>
          </w:tcPr>
          <w:p w14:paraId="348D0867" w14:textId="77777777" w:rsidR="00DF506E" w:rsidRDefault="00DF506E"/>
        </w:tc>
        <w:tc>
          <w:tcPr>
            <w:tcW w:w="2215" w:type="pct"/>
            <w:gridSpan w:val="3"/>
            <w:vAlign w:val="center"/>
          </w:tcPr>
          <w:p w14:paraId="21883934" w14:textId="77777777" w:rsidR="00DF506E" w:rsidRDefault="0049331E">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IGT</w:t>
            </w:r>
          </w:p>
        </w:tc>
        <w:tc>
          <w:tcPr>
            <w:tcW w:w="1559" w:type="pct"/>
            <w:gridSpan w:val="2"/>
            <w:vAlign w:val="center"/>
          </w:tcPr>
          <w:p w14:paraId="020734F2" w14:textId="77777777" w:rsidR="00DF506E" w:rsidRDefault="0049331E">
            <w:pPr>
              <w:rPr>
                <w:rFonts w:cs="Arial"/>
              </w:rPr>
            </w:pPr>
            <w:r>
              <w:rPr>
                <w:color w:val="808080"/>
              </w:rPr>
              <w:t>Please select.</w:t>
            </w:r>
          </w:p>
        </w:tc>
      </w:tr>
      <w:tr w:rsidR="00DF506E" w14:paraId="2744337D" w14:textId="77777777">
        <w:trPr>
          <w:trHeight w:val="403"/>
        </w:trPr>
        <w:tc>
          <w:tcPr>
            <w:tcW w:w="1226" w:type="pct"/>
            <w:shd w:val="clear" w:color="auto" w:fill="B2ECFB"/>
            <w:vAlign w:val="center"/>
          </w:tcPr>
          <w:p w14:paraId="7350F762" w14:textId="77777777" w:rsidR="00DF506E" w:rsidRDefault="0049331E">
            <w:pPr>
              <w:jc w:val="right"/>
              <w:rPr>
                <w:rFonts w:cs="Arial"/>
              </w:rPr>
            </w:pPr>
            <w:r>
              <w:rPr>
                <w:rFonts w:cs="Arial"/>
              </w:rPr>
              <w:t>Meeting Date:</w:t>
            </w:r>
          </w:p>
        </w:tc>
        <w:tc>
          <w:tcPr>
            <w:tcW w:w="3774" w:type="pct"/>
            <w:gridSpan w:val="5"/>
            <w:vAlign w:val="center"/>
          </w:tcPr>
          <w:p w14:paraId="042F57B3" w14:textId="6BEB6DE5" w:rsidR="00DF506E" w:rsidRDefault="00520E5F">
            <w:pPr>
              <w:rPr>
                <w:rFonts w:cs="Arial"/>
              </w:rPr>
            </w:pPr>
            <w:r>
              <w:rPr>
                <w:color w:val="808080"/>
              </w:rPr>
              <w:t>11/05/2022</w:t>
            </w:r>
          </w:p>
        </w:tc>
      </w:tr>
      <w:tr w:rsidR="00DF506E" w14:paraId="158CDBDD" w14:textId="77777777">
        <w:trPr>
          <w:trHeight w:val="403"/>
        </w:trPr>
        <w:tc>
          <w:tcPr>
            <w:tcW w:w="1226" w:type="pct"/>
            <w:shd w:val="clear" w:color="auto" w:fill="B2ECFB"/>
            <w:vAlign w:val="center"/>
          </w:tcPr>
          <w:p w14:paraId="7E78047E" w14:textId="77777777" w:rsidR="00DF506E" w:rsidRDefault="0049331E">
            <w:pPr>
              <w:jc w:val="right"/>
              <w:rPr>
                <w:rFonts w:cs="Arial"/>
              </w:rPr>
            </w:pPr>
            <w:r>
              <w:rPr>
                <w:rFonts w:cs="Arial"/>
              </w:rPr>
              <w:t>Release Date:</w:t>
            </w:r>
          </w:p>
        </w:tc>
        <w:tc>
          <w:tcPr>
            <w:tcW w:w="3774" w:type="pct"/>
            <w:gridSpan w:val="5"/>
            <w:vAlign w:val="center"/>
          </w:tcPr>
          <w:p w14:paraId="5D515DEB" w14:textId="57AA9E1A" w:rsidR="00DF506E" w:rsidRDefault="0049331E">
            <w:pPr>
              <w:rPr>
                <w:rFonts w:cs="Arial"/>
              </w:rPr>
            </w:pPr>
            <w:r>
              <w:rPr>
                <w:rFonts w:cs="Arial"/>
              </w:rPr>
              <w:t xml:space="preserve">Release: </w:t>
            </w:r>
            <w:r w:rsidR="00520E5F">
              <w:rPr>
                <w:rFonts w:cs="Arial"/>
              </w:rPr>
              <w:t>Proposed November 22</w:t>
            </w:r>
          </w:p>
        </w:tc>
      </w:tr>
    </w:tbl>
    <w:p w14:paraId="57DB5871" w14:textId="77777777" w:rsidR="00DF506E" w:rsidRDefault="00DF506E"/>
    <w:p w14:paraId="14DCD8DF" w14:textId="3F9FC81B" w:rsidR="00DF506E" w:rsidRDefault="0049331E">
      <w:r>
        <w:t xml:space="preserve">Please send the completed representation response to </w:t>
      </w:r>
      <w:hyperlink r:id="rId11">
        <w:r>
          <w:rPr>
            <w:color w:val="6440A3"/>
            <w:u w:val="single"/>
          </w:rPr>
          <w:t>uklink@xoserve.com</w:t>
        </w:r>
      </w:hyperlink>
      <w:r>
        <w:t xml:space="preserve"> </w:t>
      </w:r>
    </w:p>
    <w:p w14:paraId="7778931D" w14:textId="77777777" w:rsidR="00DF506E" w:rsidRDefault="00DF506E"/>
    <w:sectPr w:rsidR="00DF50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D7AE" w14:textId="77777777" w:rsidR="00A55C08" w:rsidRDefault="00A55C08">
      <w:pPr>
        <w:spacing w:after="0" w:line="240" w:lineRule="auto"/>
      </w:pPr>
      <w:r>
        <w:separator/>
      </w:r>
    </w:p>
  </w:endnote>
  <w:endnote w:type="continuationSeparator" w:id="0">
    <w:p w14:paraId="4C7B6B28" w14:textId="77777777" w:rsidR="00A55C08" w:rsidRDefault="00A5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B717" w14:textId="77777777" w:rsidR="00DF506E" w:rsidRDefault="00DF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27F0" w14:textId="77777777" w:rsidR="00DF506E" w:rsidRDefault="0049331E">
    <w:pPr>
      <w:pStyle w:val="Footer"/>
    </w:pPr>
    <w:r>
      <w:t>CP</w:t>
    </w:r>
    <w:r>
      <w:rPr>
        <w:noProof/>
      </w:rPr>
      <mc:AlternateContent>
        <mc:Choice Requires="wps">
          <w:drawing>
            <wp:anchor distT="0" distB="0" distL="114300" distR="114300" simplePos="0" relativeHeight="251658243" behindDoc="0" locked="0" layoutInCell="1" allowOverlap="1" wp14:anchorId="310C9A1F" wp14:editId="4B815D9E">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9D52" w14:textId="77777777" w:rsidR="00DF506E" w:rsidRDefault="00DF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8F33" w14:textId="77777777" w:rsidR="00A55C08" w:rsidRDefault="00A55C08">
      <w:pPr>
        <w:spacing w:after="0" w:line="240" w:lineRule="auto"/>
      </w:pPr>
      <w:r>
        <w:separator/>
      </w:r>
    </w:p>
  </w:footnote>
  <w:footnote w:type="continuationSeparator" w:id="0">
    <w:p w14:paraId="2C9CEDA8" w14:textId="77777777" w:rsidR="00A55C08" w:rsidRDefault="00A55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C9BE" w14:textId="77777777" w:rsidR="00DF506E" w:rsidRDefault="00DF5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6AF7" w14:textId="77777777" w:rsidR="00DF506E" w:rsidRDefault="0049331E">
    <w:pPr>
      <w:pStyle w:val="Header"/>
    </w:pPr>
    <w:r>
      <w:rPr>
        <w:noProof/>
      </w:rPr>
      <mc:AlternateContent>
        <mc:Choice Requires="wps">
          <w:drawing>
            <wp:anchor distT="0" distB="0" distL="114300" distR="114300" simplePos="0" relativeHeight="251658244" behindDoc="0" locked="0" layoutInCell="1" allowOverlap="1" wp14:anchorId="07C19F48" wp14:editId="2A0844D4">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pic="http://schemas.openxmlformats.org/drawingml/2006/picture" xmlns:a="http://schemas.openxmlformats.org/drawingml/2006/main" xmlns:c="http://schemas.openxmlformats.org/drawingml/2006/chart"/>
      </mc:AlternateContent>
    </w:r>
    <w:r>
      <w:rPr>
        <w:noProof/>
      </w:rPr>
      <mc:AlternateContent>
        <mc:Choice Requires="wps">
          <w:drawing>
            <wp:anchor distT="0" distB="0" distL="114300" distR="114300" simplePos="0" relativeHeight="251658242" behindDoc="0" locked="0" layoutInCell="1" allowOverlap="1" wp14:anchorId="1A455149" wp14:editId="704C0FF2">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018D" w14:textId="77777777" w:rsidR="00DF506E" w:rsidRDefault="00DF5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31542"/>
    <w:multiLevelType w:val="hybridMultilevel"/>
    <w:tmpl w:val="8DC2E922"/>
    <w:name w:val="Style43"/>
    <w:styleLink w:val="Style43"/>
    <w:lvl w:ilvl="0" w:tplc="42C4D340">
      <w:numFmt w:val="bullet"/>
      <w:lvlText w:val=""/>
      <w:lvlJc w:val="left"/>
      <w:pPr>
        <w:ind w:left="720" w:hanging="360"/>
      </w:pPr>
      <w:rPr>
        <w:rFonts w:ascii="Symbol" w:eastAsia="Times New Roman" w:hAnsi="Symbol" w:cs="Arial"/>
      </w:rPr>
    </w:lvl>
    <w:lvl w:ilvl="1" w:tplc="C360EB02">
      <w:start w:val="1"/>
      <w:numFmt w:val="lowerLetter"/>
      <w:lvlText w:val="%2."/>
      <w:lvlJc w:val="left"/>
      <w:pPr>
        <w:ind w:left="1440" w:hanging="360"/>
      </w:pPr>
    </w:lvl>
    <w:lvl w:ilvl="2" w:tplc="6A303BB6">
      <w:start w:val="1"/>
      <w:numFmt w:val="lowerRoman"/>
      <w:lvlText w:val="%3."/>
      <w:lvlJc w:val="right"/>
      <w:pPr>
        <w:ind w:left="2160" w:hanging="180"/>
      </w:pPr>
    </w:lvl>
    <w:lvl w:ilvl="3" w:tplc="076C39F4">
      <w:start w:val="1"/>
      <w:numFmt w:val="decimal"/>
      <w:lvlText w:val="%4."/>
      <w:lvlJc w:val="left"/>
      <w:pPr>
        <w:ind w:left="2880" w:hanging="360"/>
      </w:pPr>
    </w:lvl>
    <w:lvl w:ilvl="4" w:tplc="B4687F3A">
      <w:start w:val="1"/>
      <w:numFmt w:val="lowerLetter"/>
      <w:lvlText w:val="%5."/>
      <w:lvlJc w:val="left"/>
      <w:pPr>
        <w:ind w:left="3600" w:hanging="360"/>
      </w:pPr>
    </w:lvl>
    <w:lvl w:ilvl="5" w:tplc="350C8B90">
      <w:start w:val="1"/>
      <w:numFmt w:val="lowerRoman"/>
      <w:lvlText w:val="%6."/>
      <w:lvlJc w:val="right"/>
      <w:pPr>
        <w:ind w:left="4320" w:hanging="180"/>
      </w:pPr>
    </w:lvl>
    <w:lvl w:ilvl="6" w:tplc="8AE4DD62">
      <w:start w:val="1"/>
      <w:numFmt w:val="decimal"/>
      <w:lvlText w:val="%7."/>
      <w:lvlJc w:val="left"/>
      <w:pPr>
        <w:ind w:left="5040" w:hanging="360"/>
      </w:pPr>
    </w:lvl>
    <w:lvl w:ilvl="7" w:tplc="72B273DA">
      <w:start w:val="1"/>
      <w:numFmt w:val="lowerLetter"/>
      <w:lvlText w:val="%8."/>
      <w:lvlJc w:val="left"/>
      <w:pPr>
        <w:ind w:left="5760" w:hanging="360"/>
      </w:pPr>
    </w:lvl>
    <w:lvl w:ilvl="8" w:tplc="F6B04FB2">
      <w:start w:val="1"/>
      <w:numFmt w:val="lowerRoman"/>
      <w:lvlText w:val="%9."/>
      <w:lvlJc w:val="right"/>
      <w:pPr>
        <w:ind w:left="6480" w:hanging="180"/>
      </w:pPr>
    </w:lvl>
  </w:abstractNum>
  <w:abstractNum w:abstractNumId="1" w15:restartNumberingAfterBreak="0">
    <w:nsid w:val="72BB4BEE"/>
    <w:multiLevelType w:val="hybridMultilevel"/>
    <w:tmpl w:val="80E6722A"/>
    <w:name w:val="Style431"/>
    <w:styleLink w:val="Style431"/>
    <w:lvl w:ilvl="0" w:tplc="305E03CA">
      <w:numFmt w:val="bullet"/>
      <w:lvlText w:val=""/>
      <w:lvlJc w:val="left"/>
      <w:pPr>
        <w:ind w:left="720" w:hanging="360"/>
      </w:pPr>
      <w:rPr>
        <w:rFonts w:ascii="Symbol" w:eastAsia="Times New Roman" w:hAnsi="Symbol" w:cs="Arial"/>
      </w:rPr>
    </w:lvl>
    <w:lvl w:ilvl="1" w:tplc="BBAA1B50">
      <w:start w:val="1"/>
      <w:numFmt w:val="bullet"/>
      <w:lvlText w:val="o"/>
      <w:lvlJc w:val="left"/>
      <w:pPr>
        <w:ind w:left="1440" w:hanging="360"/>
      </w:pPr>
      <w:rPr>
        <w:rFonts w:ascii="Courier New" w:hAnsi="Courier New" w:cs="Courier New"/>
      </w:rPr>
    </w:lvl>
    <w:lvl w:ilvl="2" w:tplc="55EEDB7C">
      <w:start w:val="1"/>
      <w:numFmt w:val="bullet"/>
      <w:lvlText w:val=""/>
      <w:lvlJc w:val="left"/>
      <w:pPr>
        <w:ind w:left="2160" w:hanging="360"/>
      </w:pPr>
      <w:rPr>
        <w:rFonts w:ascii="Wingdings" w:hAnsi="Wingdings"/>
      </w:rPr>
    </w:lvl>
    <w:lvl w:ilvl="3" w:tplc="BC9066B2">
      <w:start w:val="1"/>
      <w:numFmt w:val="bullet"/>
      <w:lvlText w:val=""/>
      <w:lvlJc w:val="left"/>
      <w:pPr>
        <w:ind w:left="2880" w:hanging="360"/>
      </w:pPr>
      <w:rPr>
        <w:rFonts w:ascii="Symbol" w:hAnsi="Symbol"/>
      </w:rPr>
    </w:lvl>
    <w:lvl w:ilvl="4" w:tplc="1C74DB6C">
      <w:start w:val="1"/>
      <w:numFmt w:val="bullet"/>
      <w:lvlText w:val="o"/>
      <w:lvlJc w:val="left"/>
      <w:pPr>
        <w:ind w:left="3600" w:hanging="360"/>
      </w:pPr>
      <w:rPr>
        <w:rFonts w:ascii="Courier New" w:hAnsi="Courier New" w:cs="Courier New"/>
      </w:rPr>
    </w:lvl>
    <w:lvl w:ilvl="5" w:tplc="3D427856">
      <w:start w:val="1"/>
      <w:numFmt w:val="bullet"/>
      <w:lvlText w:val=""/>
      <w:lvlJc w:val="left"/>
      <w:pPr>
        <w:ind w:left="4320" w:hanging="360"/>
      </w:pPr>
      <w:rPr>
        <w:rFonts w:ascii="Wingdings" w:hAnsi="Wingdings"/>
      </w:rPr>
    </w:lvl>
    <w:lvl w:ilvl="6" w:tplc="18DE6674">
      <w:start w:val="1"/>
      <w:numFmt w:val="bullet"/>
      <w:lvlText w:val=""/>
      <w:lvlJc w:val="left"/>
      <w:pPr>
        <w:ind w:left="5040" w:hanging="360"/>
      </w:pPr>
      <w:rPr>
        <w:rFonts w:ascii="Symbol" w:hAnsi="Symbol"/>
      </w:rPr>
    </w:lvl>
    <w:lvl w:ilvl="7" w:tplc="C5C0013A">
      <w:start w:val="1"/>
      <w:numFmt w:val="bullet"/>
      <w:lvlText w:val="o"/>
      <w:lvlJc w:val="left"/>
      <w:pPr>
        <w:ind w:left="5760" w:hanging="360"/>
      </w:pPr>
      <w:rPr>
        <w:rFonts w:ascii="Courier New" w:hAnsi="Courier New" w:cs="Courier New"/>
      </w:rPr>
    </w:lvl>
    <w:lvl w:ilvl="8" w:tplc="8B940F62">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6E"/>
    <w:rsid w:val="0018232C"/>
    <w:rsid w:val="0043187A"/>
    <w:rsid w:val="0049331E"/>
    <w:rsid w:val="004B029F"/>
    <w:rsid w:val="0050015A"/>
    <w:rsid w:val="00520E5F"/>
    <w:rsid w:val="00917165"/>
    <w:rsid w:val="00A55C08"/>
    <w:rsid w:val="00DF506E"/>
    <w:rsid w:val="00FE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900B8"/>
  <w15:docId w15:val="{17EA6470-22D8-4230-A17E-F930A3A5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Revision">
    <w:name w:val="Revision"/>
    <w:qFormat/>
    <w:pPr>
      <w:spacing w:after="0" w:line="240" w:lineRule="auto"/>
    </w:pPr>
  </w:style>
  <w:style w:type="character" w:styleId="UnresolvedMention">
    <w:name w:val="Unresolved Mention"/>
    <w:basedOn w:val="DefaultParagraphFont"/>
    <w:qFormat/>
    <w:rPr>
      <w:color w:val="605E5C"/>
      <w:shd w:val="clear" w:color="auto" w:fill="E1DFDD"/>
    </w:rPr>
  </w:style>
  <w:style w:type="table" w:styleId="GridTable5Dark-Accent1">
    <w:name w:val="Grid Table 5 Dark Accent 1"/>
    <w:basedOn w:val="TableNormal"/>
    <w:qFormat/>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7E7"/>
      </w:tcPr>
    </w:tblStylePr>
    <w:tblStylePr w:type="band1Horz">
      <w:tblPr/>
      <w:tcPr>
        <w:shd w:val="clear" w:color="auto" w:fill="B4C7E7"/>
      </w:tcPr>
    </w:tblStylePr>
  </w:style>
  <w:style w:type="table" w:customStyle="1" w:styleId="TableGrid1">
    <w:name w:val="Table Grid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3">
    <w:name w:val="Style43"/>
    <w:qFormat/>
    <w:pPr>
      <w:numPr>
        <w:numId w:val="1"/>
      </w:numPr>
    </w:pPr>
  </w:style>
  <w:style w:type="numbering" w:customStyle="1" w:styleId="Style431">
    <w:name w:val="Style431"/>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link@xoserv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uklink@xoserv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78092BEA-61EA-4358-85F7-8FEC845B1BA7}">
  <ds:schemaRefs>
    <ds:schemaRef ds:uri="http://schemas.microsoft.com/sharepoint/v3/contenttype/forms"/>
  </ds:schemaRefs>
</ds:datastoreItem>
</file>

<file path=customXml/itemProps2.xml><?xml version="1.0" encoding="utf-8"?>
<ds:datastoreItem xmlns:ds="http://schemas.openxmlformats.org/officeDocument/2006/customXml" ds:itemID="{9304EA75-709B-47F0-8B8D-2682F8F2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3F447-0EA8-4C63-BD3E-3BCEF215BA32}">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1465</Words>
  <Characters>8353</Characters>
  <Application>Microsoft Office Word</Application>
  <DocSecurity>0</DocSecurity>
  <Lines>69</Lines>
  <Paragraphs>19</Paragraphs>
  <ScaleCrop>false</ScaleCrop>
  <Company>National Grid</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cp:revision>10</cp:revision>
  <cp:lastPrinted>2022-05-12T10:56:00Z</cp:lastPrinted>
  <dcterms:created xsi:type="dcterms:W3CDTF">2022-05-12T10:54:00Z</dcterms:created>
  <dcterms:modified xsi:type="dcterms:W3CDTF">2022-05-27T07:44:00Z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