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fontTable.xml" ContentType="application/vnd.openxmlformats-officedocument.wordprocessingml.fontTable+xml"/>
  <Override PartName="/word/glossary/settings.xml" ContentType="application/vnd.openxmlformats-officedocument.wordprocessingml.settings+xml"/>
  <Override PartName="/word/glossary/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6e5138b9d9984b7e" /><Relationship Type="http://schemas.openxmlformats.org/package/2006/relationships/metadata/core-properties" Target="/docProps/core.xml" Id="Ree7b1a5b3c644f53" /><Relationship Type="http://schemas.openxmlformats.org/officeDocument/2006/relationships/extended-properties" Target="/docProps/app.xml" Id="Rb9d2b55f4a834633" /><Relationship Type="http://schemas.openxmlformats.org/officeDocument/2006/relationships/custom-properties" Target="/docProps/custom.xml" Id="R01b3752df9084fa9"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Detailed Design Change Pack</w:t>
      </w:r>
    </w:p>
    <w:p>
      <w:pPr>
        <w:pStyle w:val="heading 1"/>
      </w:pPr>
      <w:r>
        <w:t>Communication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Comm Reference:</w:t>
            </w:r>
          </w:p>
        </w:tc>
        <w:tc>
          <w:tcPr>
            <w:tcW w:type="pct" w:w="3777"/>
            <w:vAlign w:val="center"/>
          </w:tcPr>
          <w:p>
            <w:pPr>
              <w:rPr>
                <w:rFonts w:cs="Arial"/>
              </w:rPr>
            </w:pPr>
            <w:r>
              <w:rPr>
                <w:rFonts w:cs="Arial"/>
              </w:rPr>
              <w:t xml:space="preserve"> 3034.1 - MT - PO</w:t>
            </w:r>
          </w:p>
        </w:tc>
      </w:tr>
      <w:tr>
        <w:trPr>
          <w:trHeight w:hRule="atLeast" w:val="403"/>
        </w:trPr>
        <w:tc>
          <w:tcPr>
            <w:shd w:val="clear" w:fill="B3EDFB"/>
            <w:tcW w:type="pct" w:w="1223"/>
            <w:vAlign w:val="center"/>
          </w:tcPr>
          <w:p>
            <w:pPr>
              <w:rPr>
                <w:rFonts w:cs="Arial"/>
              </w:rPr>
              <w:jc w:val="right"/>
            </w:pPr>
            <w:r>
              <w:rPr>
                <w:rFonts w:cs="Arial"/>
              </w:rPr>
              <w:t>Comm Title:</w:t>
            </w:r>
          </w:p>
        </w:tc>
        <w:tc>
          <w:tcPr>
            <w:tcW w:type="pct" w:w="3777"/>
            <w:vAlign w:val="center"/>
          </w:tcPr>
          <w:p>
            <w:pPr>
              <w:rPr>
                <w:rFonts w:cs="Arial"/>
              </w:rPr>
            </w:pPr>
            <w:r>
              <w:rPr>
                <w:rFonts w:cs="Arial"/>
              </w:rPr>
              <w:t>XRN4900 Biomethane Sites with Reduced Propane Injection</w:t>
            </w:r>
          </w:p>
        </w:tc>
      </w:tr>
      <w:tr>
        <w:trPr>
          <w:trHeight w:hRule="atLeast" w:val="403"/>
        </w:trPr>
        <w:tc>
          <w:tcPr>
            <w:shd w:val="clear" w:fill="B3EDFB"/>
            <w:tcW w:type="pct" w:w="1223"/>
            <w:vAlign w:val="center"/>
          </w:tcPr>
          <w:p>
            <w:pPr>
              <w:rPr>
                <w:rFonts w:cs="Arial"/>
              </w:rPr>
              <w:jc w:val="right"/>
            </w:pPr>
            <w:r>
              <w:rPr>
                <w:rFonts w:cs="Arial"/>
              </w:rPr>
              <w:t>Comm Date:</w:t>
            </w:r>
          </w:p>
        </w:tc>
        <w:tc>
          <w:tcPr>
            <w:tcW w:type="pct" w:w="3777"/>
            <w:vAlign w:val="center"/>
          </w:tcPr>
          <w:p>
            <w:pPr>
              <w:rPr>
                <w:rFonts w:cs="Arial"/>
              </w:rPr>
            </w:pPr>
            <w:r>
              <w:rPr>
                <w:rFonts w:cs="Arial"/>
              </w:rPr>
              <w:t>16/05/2022</w:t>
            </w:r>
          </w:p>
        </w:tc>
      </w:tr>
    </w:tbl>
    <w:p>
      <w:pPr/>
    </w:p>
    <w:p>
      <w:pPr>
        <w:rPr>
          <w:b w:val="1"/>
          <w:bCs w:val="1"/>
          <w:color w:val="3E5AA8"/>
          <w:sz w:val="28"/>
          <w:szCs w:val="28"/>
        </w:rPr>
        <w:spacing w:after="0"/>
      </w:pPr>
      <w:r>
        <w:rPr>
          <w:b w:val="1"/>
          <w:bCs w:val="1"/>
          <w:color w:val="3E5AA8"/>
          <w:sz w:val="28"/>
          <w:szCs w:val="28"/>
        </w:rPr>
        <w:t>Change Representation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Action Required:</w:t>
            </w:r>
          </w:p>
        </w:tc>
        <w:tc>
          <w:tcPr>
            <w:tcW w:type="pct" w:w="3777"/>
            <w:vAlign w:val="center"/>
          </w:tcPr>
          <w:p>
            <w:pPr>
              <w:rPr>
                <w:rFonts w:cs="Arial"/>
              </w:rPr>
            </w:pPr>
            <w:r>
              <w:rPr>
                <w:rFonts w:cs="Arial"/>
              </w:rPr>
              <w:t>For representation</w:t>
            </w:r>
          </w:p>
        </w:tc>
      </w:tr>
      <w:tr>
        <w:trPr>
          <w:trHeight w:hRule="atLeast" w:val="403"/>
        </w:trPr>
        <w:tc>
          <w:tcPr>
            <w:shd w:val="clear" w:fill="B3EDFB"/>
            <w:tcW w:type="pct" w:w="1223"/>
            <w:vAlign w:val="center"/>
          </w:tcPr>
          <w:p>
            <w:pPr>
              <w:rPr>
                <w:rFonts w:cs="Arial"/>
              </w:rPr>
              <w:jc w:val="right"/>
            </w:pPr>
            <w:r>
              <w:rPr>
                <w:rFonts w:cs="Arial"/>
              </w:rPr>
              <w:t>Close Out Date:</w:t>
            </w:r>
          </w:p>
        </w:tc>
        <w:tc>
          <w:tcPr>
            <w:tcW w:type="pct" w:w="3777"/>
            <w:vAlign w:val="center"/>
          </w:tcPr>
          <w:p>
            <w:pPr>
              <w:rPr>
                <w:rFonts w:cs="Arial"/>
              </w:rPr>
            </w:pPr>
            <w:r>
              <w:rPr>
                <w:rFonts w:cs="Arial"/>
              </w:rPr>
              <w:t>30/05/2022</w:t>
            </w:r>
          </w:p>
        </w:tc>
      </w:tr>
    </w:tbl>
    <w:p>
      <w:pPr>
        <w:pStyle w:val="heading 1"/>
      </w:pPr>
      <w:r>
        <w:t>Change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 xml:space="preserve">Xoserve Reference Number: </w:t>
            </w:r>
          </w:p>
        </w:tc>
        <w:tc>
          <w:tcPr>
            <w:tcW w:type="pct" w:w="3777"/>
            <w:vAlign w:val="center"/>
          </w:tcPr>
          <w:p>
            <w:pPr>
              <w:rPr>
                <w:rFonts w:cs="Arial"/>
              </w:rPr>
            </w:pPr>
            <w:r>
              <w:rPr>
                <w:rFonts w:cs="Arial"/>
              </w:rPr>
              <w:t>XRN4900</w:t>
            </w:r>
          </w:p>
        </w:tc>
      </w:tr>
      <w:tr>
        <w:trPr>
          <w:trHeight w:hRule="atLeast" w:val="403"/>
        </w:trPr>
        <w:tc>
          <w:tcPr>
            <w:shd w:val="clear" w:fill="B3EDFB"/>
            <w:tcW w:type="pct" w:w="1223"/>
            <w:vAlign w:val="center"/>
          </w:tcPr>
          <w:p>
            <w:pPr>
              <w:rPr>
                <w:rFonts w:cs="Arial"/>
              </w:rPr>
              <w:jc w:val="right"/>
            </w:pPr>
            <w:r>
              <w:rPr>
                <w:rFonts w:cs="Arial"/>
              </w:rPr>
              <w:t>Change Class:</w:t>
            </w:r>
          </w:p>
        </w:tc>
        <w:tc>
          <w:tcPr>
            <w:tcW w:type="pct" w:w="3777"/>
            <w:vAlign w:val="center"/>
          </w:tcPr>
          <w:p>
            <w:pPr>
              <w:rPr>
                <w:rFonts w:cs="Arial"/>
              </w:rPr>
            </w:pPr>
            <w:r>
              <w:rPr>
                <w:rFonts w:cs="Arial"/>
              </w:rPr>
              <w:t>Functional System</w:t>
            </w:r>
          </w:p>
        </w:tc>
      </w:tr>
      <w:tr>
        <w:trPr>
          <w:trHeight w:hRule="atLeast" w:val="403"/>
        </w:trPr>
        <w:tc>
          <w:tcPr>
            <w:shd w:val="clear" w:fill="B3EDFB"/>
            <w:tcW w:type="pct" w:w="1223"/>
            <w:vAlign w:val="center"/>
          </w:tcPr>
          <w:p>
            <w:pPr>
              <w:rPr>
                <w:rFonts w:cs="Arial"/>
              </w:rPr>
              <w:jc w:val="right"/>
            </w:pPr>
            <w:r>
              <w:rPr>
                <w:rFonts w:cs="Arial"/>
              </w:rPr>
              <w:t>*ChMC Constituency Impacted:</w:t>
            </w:r>
          </w:p>
        </w:tc>
        <w:tc>
          <w:tcPr>
            <w:tcW w:type="pct" w:w="3777"/>
            <w:vAlign w:val="center"/>
          </w:tcPr>
          <w:p>
            <w:pPr>
              <w:rPr>
                <w:rFonts w:cs="Arial"/>
              </w:rPr>
            </w:pPr>
            <w:r>
              <w:rPr>
                <w:rFonts w:cs="Arial"/>
              </w:rPr>
              <w:t>Shipper Users</w:t>
            </w:r>
          </w:p>
          <w:p>
            <w:pPr>
              <w:rPr>
                <w:rFonts w:cs="Arial"/>
              </w:rPr>
            </w:pPr>
            <w:r>
              <w:rPr>
                <w:rFonts w:cs="Arial"/>
              </w:rPr>
              <w:t>Distribution Network Operators (DNOs)</w:t>
            </w:r>
          </w:p>
        </w:tc>
      </w:tr>
      <w:tr>
        <w:trPr>
          <w:trHeight w:hRule="atLeast" w:val="403"/>
        </w:trPr>
        <w:tc>
          <w:tcPr>
            <w:shd w:val="clear" w:fill="B3EDFB"/>
            <w:tcW w:type="pct" w:w="1223"/>
            <w:vAlign w:val="center"/>
          </w:tcPr>
          <w:p>
            <w:pPr>
              <w:rPr>
                <w:rFonts w:cs="Arial"/>
              </w:rPr>
              <w:jc w:val="right"/>
            </w:pPr>
            <w:r>
              <w:rPr>
                <w:rFonts w:cs="Arial"/>
              </w:rPr>
              <w:t xml:space="preserve">Change Owner: </w:t>
            </w:r>
          </w:p>
        </w:tc>
        <w:tc>
          <w:tcPr>
            <w:tcW w:type="pct" w:w="3777"/>
            <w:vAlign w:val="center"/>
          </w:tcPr>
          <w:p>
            <w:pPr/>
            <w:r>
              <w:t>Steve Pownall</w:t>
            </w:r>
          </w:p>
          <w:p>
            <w:pPr/>
            <w:r>
              <w:t xml:space="preserve">Customer Change </w:t>
            </w:r>
            <w:r>
              <w:t>Co-ordinator</w:t>
            </w:r>
          </w:p>
          <w:p>
            <w:pPr/>
            <w:hyperlink r:id="R754ebab05603424b">
              <w:r>
                <w:rPr>
                  <w:rStyle w:val="Hyperlink"/>
                </w:rPr>
                <w:t>steve.pownall@xoserve.com</w:t>
              </w:r>
            </w:hyperlink>
          </w:p>
        </w:tc>
      </w:tr>
      <w:tr>
        <w:trPr>
          <w:trHeight w:hRule="atLeast" w:val="403"/>
        </w:trPr>
        <w:tc>
          <w:tcPr>
            <w:shd w:val="clear" w:fill="B3EDFB"/>
            <w:tcW w:type="pct" w:w="1223"/>
            <w:vAlign w:val="center"/>
          </w:tcPr>
          <w:p>
            <w:pPr>
              <w:rPr>
                <w:rFonts w:cs="Arial"/>
              </w:rPr>
              <w:jc w:val="right"/>
            </w:pPr>
            <w:r>
              <w:rPr>
                <w:rFonts w:cs="Arial"/>
              </w:rPr>
              <w:t>Background and Context:</w:t>
            </w:r>
          </w:p>
        </w:tc>
        <w:tc>
          <w:tcPr>
            <w:tcW w:type="pct" w:w="3777"/>
            <w:vAlign w:val="center"/>
          </w:tcPr>
          <w:p>
            <w:pPr>
              <w:rPr>
                <w:rFonts w:eastAsia="Calibri"/>
                <w:lang w:val="en-US"/>
              </w:rPr>
            </w:pPr>
            <w:r>
              <w:rPr>
                <w:rFonts w:eastAsia="Calibri"/>
                <w:lang w:val="en-US"/>
              </w:rPr>
              <w:t>Distribution Networks have identified an opportunity to reduce carbon emissions and costs to consumers, by removing propane that is required</w:t>
            </w:r>
            <w:r>
              <w:rPr>
                <w:rFonts w:eastAsia="Calibri"/>
                <w:lang w:val="en-US"/>
              </w:rPr>
              <w:t xml:space="preserve"> to be added to biomethane to enrich the Calorific Value (CV) before the gas is entered into the Local Distribution Zone (LDZ). </w:t>
            </w:r>
          </w:p>
          <w:p>
            <w:pPr>
              <w:rPr>
                <w:rFonts w:eastAsia="Calibri"/>
                <w:lang w:val="en-US"/>
              </w:rPr>
            </w:pPr>
          </w:p>
          <w:p>
            <w:pPr>
              <w:rPr>
                <w:rFonts w:eastAsia="Calibri"/>
                <w:lang w:val="en-US"/>
              </w:rPr>
            </w:pPr>
            <w:r>
              <w:rPr>
                <w:rFonts w:eastAsia="Calibri"/>
                <w:lang w:val="en-US"/>
              </w:rPr>
              <w:t>At present, biomethane entry points are required to inject propane to varying contents, so that the energy value of the gas me</w:t>
            </w:r>
            <w:r>
              <w:rPr>
                <w:rFonts w:eastAsia="Calibri"/>
                <w:lang w:val="en-US"/>
              </w:rPr>
              <w:t xml:space="preserve">ets the current Local Distribution Zone (LDZ) average daily Calorific Value (Flow Weighted Average Calorific Value or FWACV). </w:t>
            </w:r>
          </w:p>
          <w:p>
            <w:pPr>
              <w:rPr>
                <w:rFonts w:eastAsia="Calibri"/>
                <w:lang w:val="en-US"/>
              </w:rPr>
            </w:pPr>
          </w:p>
          <w:p>
            <w:pPr>
              <w:rPr>
                <w:rFonts w:eastAsia="Calibri"/>
                <w:lang w:val="en-US"/>
              </w:rPr>
            </w:pPr>
            <w:r>
              <w:rPr>
                <w:rFonts w:eastAsia="Calibri"/>
                <w:lang w:val="en-US"/>
              </w:rPr>
              <w:t xml:space="preserve">Removing propane from biomethane will reduce the Calorific Value </w:t>
            </w:r>
            <w:r>
              <w:rPr>
                <w:rFonts w:eastAsia="Calibri"/>
                <w:lang w:val="en-US"/>
              </w:rPr>
              <w:t>of gas being supplied to impacted Supply Meter Points. This in turn will see a greater volume of gas passing through the meter to generate the same amount of energy as natural gas.</w:t>
            </w:r>
          </w:p>
          <w:p>
            <w:pPr>
              <w:rPr>
                <w:rFonts w:eastAsia="Calibri"/>
                <w:lang w:val="en-US"/>
              </w:rPr>
            </w:pPr>
          </w:p>
          <w:p>
            <w:pPr>
              <w:rPr>
                <w:lang w:val="en-US"/>
              </w:rPr>
            </w:pPr>
            <w:r>
              <w:rPr>
                <w:lang w:val="en-US"/>
              </w:rPr>
              <w:t xml:space="preserve">The CV of biomethane without propane is around 37 mega joules per cubic </w:t>
            </w:r>
            <w:r>
              <w:rPr>
                <w:lang w:val="en-US"/>
              </w:rPr>
              <w:t>me</w:t>
            </w:r>
            <w:r>
              <w:rPr>
                <w:lang w:val="en-US"/>
              </w:rPr>
              <w:t>tre</w:t>
            </w:r>
            <w:r>
              <w:rPr>
                <w:lang w:val="en-US"/>
              </w:rPr>
              <w:t xml:space="preserve"> (mg/cm³) whereas the CV for Natural Gas (known as the FWACV, Billing CV or LDZ CV) is around 39 mg/cm³. If the energy, used by Supply Meter Points receiving biomethane without propane, is calculated using the FWACV the energy would be overstated. There</w:t>
            </w:r>
            <w:r>
              <w:rPr>
                <w:lang w:val="en-US"/>
              </w:rPr>
              <w:t xml:space="preserve">fore, when calculating energy for impacted Supply Meter Points the CV of biomethane without propane must be used. </w:t>
            </w:r>
          </w:p>
          <w:p>
            <w:pPr>
              <w:rPr>
                <w:rFonts w:eastAsia="Calibri"/>
                <w:lang w:val="en-US"/>
              </w:rPr>
            </w:pPr>
          </w:p>
          <w:p>
            <w:pPr>
              <w:rPr>
                <w:rFonts w:eastAsia="Calibri"/>
                <w:lang w:val="en-US"/>
              </w:rPr>
            </w:pPr>
            <w:r>
              <w:rPr>
                <w:rFonts w:eastAsia="Calibri"/>
                <w:lang w:val="en-US"/>
              </w:rPr>
              <w:t xml:space="preserve">The solution, detailed in Change Design Description, has been designed to ensure that: </w:t>
            </w:r>
          </w:p>
          <w:p>
            <w:pPr>
              <w:rPr>
                <w:rFonts w:eastAsia="Calibri"/>
                <w:lang w:val="en-US"/>
              </w:rPr>
              <w:numPr>
                <w:ilvl w:val="0"/>
                <w:numId w:val="1"/>
              </w:numPr>
              <w:pStyle w:val="List Paragraph"/>
            </w:pPr>
            <w:r>
              <w:rPr>
                <w:rFonts w:cs="Arial"/>
              </w:rPr>
              <w:t>The energy is calculated</w:t>
            </w:r>
            <w:r>
              <w:rPr>
                <w:rFonts w:cs="Arial"/>
              </w:rPr>
              <w:t xml:space="preserve"> accurately for Class 1 and Class 2 Supply Meter Points supplied with biomethane energy that has not had propane added</w:t>
            </w:r>
          </w:p>
          <w:p>
            <w:pPr>
              <w:rPr>
                <w:rFonts w:eastAsia="Calibri"/>
                <w:lang w:val="en-US"/>
              </w:rPr>
              <w:numPr>
                <w:ilvl w:val="0"/>
                <w:numId w:val="1"/>
              </w:numPr>
              <w:pStyle w:val="List Paragraph"/>
              <w:spacing w:after="92" w:lineRule="auto" w:line="216"/>
            </w:pPr>
            <w:r>
              <w:rPr>
                <w:rFonts w:eastAsia="Calibri"/>
                <w:lang w:val="en-US"/>
              </w:rPr>
              <w:t>Provide the Calorific Value to Shippers to ensure the end consumers using biomethane without propane are charged accurately</w:t>
            </w:r>
          </w:p>
          <w:p>
            <w:pPr>
              <w:rPr>
                <w:rFonts w:eastAsia="Calibri"/>
                <w:lang w:val="en-US"/>
              </w:rPr>
            </w:pPr>
            <w:r>
              <w:rPr>
                <w:rFonts w:eastAsia="Calibri"/>
                <w:lang w:val="en-US"/>
              </w:rPr>
              <w:t>To enable bio</w:t>
            </w:r>
            <w:r>
              <w:rPr>
                <w:rFonts w:eastAsia="Calibri"/>
                <w:lang w:val="en-US"/>
              </w:rPr>
              <w:t>methane plants to supply energy to Supply Meter Points (SMPs) without adding propane they must be able to meet the following criteria:</w:t>
            </w:r>
          </w:p>
          <w:p>
            <w:pPr>
              <w:rPr>
                <w:rFonts w:eastAsia="Calibri"/>
                <w:lang w:val="en-US"/>
              </w:rPr>
              <w:numPr>
                <w:ilvl w:val="0"/>
                <w:numId w:val="2"/>
              </w:numPr>
              <w:pStyle w:val="List Paragraph"/>
            </w:pPr>
            <w:r>
              <w:rPr>
                <w:rFonts w:eastAsia="Calibri"/>
                <w:lang w:val="en-US"/>
              </w:rPr>
              <w:t xml:space="preserve">The Supply Meter Points receiving biomethane without propane are in Class 1 or Class 2. </w:t>
            </w:r>
          </w:p>
          <w:p>
            <w:pPr>
              <w:rPr>
                <w:rFonts w:eastAsia="Calibri"/>
                <w:lang w:val="en-US"/>
              </w:rPr>
              <w:numPr>
                <w:ilvl w:val="0"/>
                <w:numId w:val="2"/>
              </w:numPr>
              <w:pStyle w:val="List Paragraph"/>
            </w:pPr>
            <w:r>
              <w:rPr>
                <w:rFonts w:eastAsia="Calibri"/>
                <w:lang w:val="en-US"/>
              </w:rPr>
              <w:t>Due to how energy is allocated a</w:t>
            </w:r>
            <w:r>
              <w:rPr>
                <w:rFonts w:eastAsia="Calibri"/>
                <w:lang w:val="en-US"/>
              </w:rPr>
              <w:t>nd reconciled for Class 3 and Class 4 this solution cannot be used for these classes</w:t>
            </w:r>
          </w:p>
          <w:p>
            <w:pPr>
              <w:rPr>
                <w:rFonts w:eastAsia="Calibri"/>
                <w:lang w:val="en-US"/>
              </w:rPr>
              <w:numPr>
                <w:ilvl w:val="0"/>
                <w:numId w:val="2"/>
              </w:numPr>
              <w:pStyle w:val="List Paragraph"/>
            </w:pPr>
            <w:r>
              <w:rPr>
                <w:rFonts w:eastAsia="Calibri"/>
                <w:lang w:val="en-US"/>
              </w:rPr>
              <w:t>Any surplus biomethane can be injected with propane before entering the wider LDZ</w:t>
            </w:r>
          </w:p>
          <w:p>
            <w:pPr>
              <w:rPr>
                <w:rFonts w:eastAsia="Calibri"/>
                <w:lang w:val="en-US"/>
              </w:rPr>
              <w:pStyle w:val="List Paragraph"/>
            </w:pPr>
          </w:p>
          <w:p>
            <w:pPr>
              <w:rPr>
                <w:rFonts w:eastAsia="Calibri"/>
                <w:lang w:val="en-US"/>
              </w:rPr>
            </w:pPr>
            <w:r>
              <w:rPr>
                <w:rFonts w:eastAsia="Calibri"/>
                <w:lang w:val="en-US"/>
              </w:rPr>
              <w:t>Please note if a biomethane plant meets the above criteria before they supply any biomet</w:t>
            </w:r>
            <w:r>
              <w:rPr>
                <w:rFonts w:eastAsia="Calibri"/>
                <w:lang w:val="en-US"/>
              </w:rPr>
              <w:t xml:space="preserve">hane without propane there will need to be changes made to CDSP systems which will need to follow the </w:t>
            </w:r>
            <w:r>
              <w:rPr>
                <w:rFonts w:eastAsia="Calibri"/>
                <w:lang w:val="en-US"/>
              </w:rPr>
              <w:t>Industry</w:t>
            </w:r>
            <w:r>
              <w:rPr>
                <w:rFonts w:eastAsia="Calibri"/>
                <w:lang w:val="en-US"/>
              </w:rPr>
              <w:t xml:space="preserve"> change processes.  </w:t>
            </w:r>
          </w:p>
          <w:p>
            <w:pPr>
              <w:rPr>
                <w:rFonts w:eastAsia="Calibri"/>
                <w:lang w:val="en-US"/>
              </w:rPr>
              <w:spacing w:after="92" w:lineRule="auto" w:line="216"/>
            </w:pPr>
          </w:p>
          <w:p>
            <w:pPr>
              <w:rPr>
                <w:rFonts w:eastAsia="Calibri"/>
                <w:lang w:val="en-US"/>
              </w:rPr>
              <w:spacing w:after="92" w:lineRule="auto" w:line="216"/>
            </w:pPr>
            <w:r>
              <w:rPr>
                <w:rFonts w:eastAsia="Calibri"/>
                <w:lang w:val="en-US"/>
              </w:rPr>
              <w:t xml:space="preserve">The Change Proposal for XRN4900 can be accessed </w:t>
            </w:r>
            <w:hyperlink r:id="Rc58eba57f4784710">
              <w:r>
                <w:rPr>
                  <w:rStyle w:val="Hyperlink"/>
                  <w:rFonts w:eastAsia="Calibri"/>
                  <w:lang w:val="en-US"/>
                </w:rPr>
                <w:t>here</w:t>
              </w:r>
            </w:hyperlink>
            <w:r>
              <w:rPr>
                <w:rFonts w:eastAsia="Calibri"/>
                <w:lang w:val="en-US"/>
              </w:rPr>
              <w:t>.</w:t>
            </w:r>
          </w:p>
        </w:tc>
      </w:tr>
    </w:tbl>
    <w:p>
      <w:pPr>
        <w:pStyle w:val="heading 1"/>
      </w:pPr>
      <w:r>
        <w:t>Change Impact Assessment Dashboard (UK Link)</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Functional:</w:t>
            </w:r>
          </w:p>
        </w:tc>
        <w:tc>
          <w:tcPr>
            <w:shd w:val="clear" w:fill="FFFFFF"/>
            <w:tcW w:type="pct" w:w="3777"/>
            <w:vAlign w:val="center"/>
            <w:tcBorders>
              <w:left w:val="single" w:sz="4" w:space="0" w:color="auto"/>
              <w:top w:val="single" w:sz="4" w:space="0" w:color="auto"/>
              <w:right w:val="single" w:sz="4" w:space="0" w:color="auto"/>
              <w:bottom w:val="single" w:sz="4" w:space="0" w:color="auto"/>
            </w:tcBorders>
          </w:tcPr>
          <w:p>
            <w:pPr>
              <w:rPr>
                <w:rFonts w:cs="Arial"/>
              </w:rPr>
            </w:pPr>
          </w:p>
        </w:tc>
      </w:tr>
      <w:tr>
        <w:trPr>
          <w:trHeight w:hRule="atLeast" w:val="403"/>
        </w:trPr>
        <w:tc>
          <w:tcPr>
            <w:shd w:val="clear" w:fill="B3EDFB"/>
            <w:tcW w:type="pct" w:w="1223"/>
            <w:vAlign w:val="center"/>
          </w:tcPr>
          <w:p>
            <w:pPr>
              <w:rPr>
                <w:rFonts w:cs="Arial"/>
              </w:rPr>
              <w:jc w:val="right"/>
            </w:pPr>
            <w:r>
              <w:rPr>
                <w:rFonts w:cs="Arial"/>
              </w:rPr>
              <w:t>Non-Functional:</w:t>
            </w:r>
          </w:p>
        </w:tc>
        <w:tc>
          <w:tcPr>
            <w:shd w:val="clear" w:fill="FFFFFF"/>
            <w:tcW w:type="pct" w:w="3777"/>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None</w:t>
            </w:r>
          </w:p>
        </w:tc>
      </w:tr>
      <w:tr>
        <w:trPr>
          <w:trHeight w:hRule="atLeast" w:val="403"/>
        </w:trPr>
        <w:tc>
          <w:tcPr>
            <w:shd w:val="clear" w:fill="B3EDFB"/>
            <w:tcW w:type="pct" w:w="1223"/>
            <w:vAlign w:val="center"/>
          </w:tcPr>
          <w:p>
            <w:pPr>
              <w:rPr>
                <w:rFonts w:cs="Arial"/>
              </w:rPr>
              <w:jc w:val="right"/>
            </w:pPr>
            <w:r>
              <w:rPr>
                <w:rFonts w:cs="Arial"/>
              </w:rPr>
              <w:t>Application:</w:t>
            </w:r>
          </w:p>
        </w:tc>
        <w:tc>
          <w:tcPr>
            <w:shd w:val="clear" w:fill="FFFFFF"/>
            <w:tcW w:type="pct" w:w="3777"/>
            <w:vAlign w:val="center"/>
            <w:tcBorders>
              <w:left w:val="single" w:sz="4" w:space="0" w:color="auto"/>
              <w:top w:val="single" w:sz="4" w:space="0" w:color="auto"/>
              <w:right w:val="single" w:sz="4" w:space="0" w:color="auto"/>
              <w:bottom w:val="single" w:sz="4" w:space="0" w:color="auto"/>
            </w:tcBorders>
          </w:tcPr>
          <w:p>
            <w:pPr>
              <w:rPr>
                <w:shd w:val="clear" w:fill="FFFF00"/>
                <w:rFonts w:cs="Arial"/>
                <w:highlight w:val="yellow"/>
              </w:rPr>
            </w:pPr>
            <w:r>
              <w:rPr>
                <w:rFonts w:cs="Arial"/>
              </w:rPr>
              <w:t>SAP ISU; SFTP; MOVEIT; AMT</w:t>
            </w:r>
          </w:p>
        </w:tc>
      </w:tr>
      <w:tr>
        <w:trPr>
          <w:trHeight w:hRule="atLeast" w:val="403"/>
        </w:trPr>
        <w:tc>
          <w:tcPr>
            <w:shd w:val="clear" w:fill="B3EDFB"/>
            <w:tcW w:type="pct" w:w="1223"/>
            <w:vAlign w:val="center"/>
          </w:tcPr>
          <w:p>
            <w:pPr>
              <w:rPr>
                <w:rFonts w:cs="Arial"/>
              </w:rPr>
              <w:jc w:val="right"/>
            </w:pPr>
            <w:r>
              <w:rPr>
                <w:rFonts w:cs="Arial"/>
              </w:rPr>
              <w:t>User(s):</w:t>
            </w:r>
          </w:p>
        </w:tc>
        <w:tc>
          <w:tcPr>
            <w:shd w:val="clear" w:fill="FFFFFF"/>
            <w:tcW w:type="pct" w:w="3777"/>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Distribution Network Operators (DNOs)</w:t>
            </w:r>
          </w:p>
          <w:p>
            <w:pPr>
              <w:rPr>
                <w:rFonts w:cs="Arial"/>
              </w:rPr>
            </w:pPr>
            <w:r>
              <w:rPr>
                <w:rFonts w:cs="Arial"/>
              </w:rPr>
              <w:t>Shipper Users</w:t>
            </w:r>
          </w:p>
        </w:tc>
      </w:tr>
      <w:tr>
        <w:trPr>
          <w:trHeight w:hRule="atLeast" w:val="403"/>
        </w:trPr>
        <w:tc>
          <w:tcPr>
            <w:shd w:val="clear" w:fill="B3EDFB"/>
            <w:tcW w:type="pct" w:w="1223"/>
            <w:vAlign w:val="center"/>
          </w:tcPr>
          <w:p>
            <w:pPr>
              <w:rPr>
                <w:rFonts w:cs="Arial"/>
              </w:rPr>
              <w:jc w:val="right"/>
            </w:pPr>
            <w:r>
              <w:rPr>
                <w:rFonts w:cs="Arial"/>
              </w:rPr>
              <w:t>Documentation:</w:t>
            </w:r>
          </w:p>
        </w:tc>
        <w:tc>
          <w:tcPr>
            <w:shd w:val="clear" w:fill="FFFFFF"/>
            <w:tcW w:type="pct" w:w="3777"/>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File formats, file hierarchies, DN rejection codes</w:t>
            </w:r>
          </w:p>
        </w:tc>
      </w:tr>
      <w:tr>
        <w:trPr>
          <w:trHeight w:hRule="atLeast" w:val="403"/>
        </w:trPr>
        <w:tc>
          <w:tcPr>
            <w:shd w:val="clear" w:fill="B3EDFB"/>
            <w:tcW w:type="pct" w:w="1223"/>
            <w:vAlign w:val="center"/>
          </w:tcPr>
          <w:p>
            <w:pPr>
              <w:rPr>
                <w:rFonts w:cs="Arial"/>
              </w:rPr>
              <w:jc w:val="right"/>
            </w:pPr>
            <w:r>
              <w:rPr>
                <w:rFonts w:cs="Arial"/>
              </w:rPr>
              <w:t>Other:</w:t>
            </w:r>
          </w:p>
        </w:tc>
        <w:tc>
          <w:tcPr>
            <w:shd w:val="clear" w:fill="FFFFFF"/>
            <w:tcW w:type="pct" w:w="3777"/>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None</w:t>
            </w:r>
          </w:p>
        </w:tc>
      </w:tr>
    </w:tbl>
    <w:p>
      <w:pPr>
        <w:spacing w:after="0"/>
      </w:pPr>
    </w:p>
    <w:tbl>
      <w:tblPr>
        <w:tblStyle w:val="Table Grid"/>
        <w:tblLayout w:type="fixed"/>
        <w:tblInd w:type="dxa" w:w="-34"/>
        <w:tblW w:type="pct" w:w="5018"/>
        <w:tblLook w:firstColumn="1" w:firstRow="1" w:lastColumn="0" w:lastRow="0" w:noHBand="0" w:noVBand="1"/>
      </w:tblPr>
      <w:tblGrid>
        <w:gridCol w:w="965"/>
        <w:gridCol w:w="1898"/>
        <w:gridCol w:w="2269"/>
        <w:gridCol w:w="1842"/>
        <w:gridCol w:w="2074"/>
      </w:tblGrid>
      <w:tr>
        <w:trPr>
          <w:trHeight w:hRule="atLeast" w:val="403"/>
        </w:trPr>
        <w:tc>
          <w:tcPr>
            <w:shd w:val="clear" w:fill="B3EDFB"/>
            <w:tcW w:type="pct" w:w="5000"/>
            <w:vAlign w:val="center"/>
            <w:gridSpan w:val="5"/>
          </w:tcPr>
          <w:p>
            <w:pPr>
              <w:rPr>
                <w:rFonts w:cs="Arial"/>
              </w:rPr>
              <w:jc w:val="center"/>
            </w:pPr>
            <w:r>
              <w:rPr>
                <w:rFonts w:cs="Arial"/>
              </w:rPr>
              <w:t>Files</w:t>
            </w:r>
          </w:p>
        </w:tc>
      </w:tr>
      <w:tr>
        <w:trPr>
          <w:trHeight w:hRule="atLeast" w:val="403"/>
        </w:trPr>
        <w:tc>
          <w:tcPr>
            <w:shd w:val="clear" w:fill="B3EDFB"/>
            <w:tcW w:type="pct" w:w="533"/>
            <w:vAlign w:val="center"/>
          </w:tcPr>
          <w:p>
            <w:pPr>
              <w:rPr>
                <w:rFonts w:cs="Arial"/>
              </w:rPr>
              <w:jc w:val="center"/>
            </w:pPr>
            <w:r>
              <w:rPr>
                <w:rFonts w:cs="Arial"/>
              </w:rPr>
              <w:t>File</w:t>
            </w:r>
          </w:p>
        </w:tc>
        <w:tc>
          <w:tcPr>
            <w:shd w:val="clear" w:fill="B3EDFB"/>
            <w:tcW w:type="pct" w:w="1049"/>
            <w:vAlign w:val="center"/>
          </w:tcPr>
          <w:p>
            <w:pPr>
              <w:rPr>
                <w:rFonts w:cs="Arial"/>
              </w:rPr>
              <w:jc w:val="center"/>
            </w:pPr>
            <w:r>
              <w:rPr>
                <w:rFonts w:cs="Arial"/>
              </w:rPr>
              <w:t>Parent Record</w:t>
            </w:r>
          </w:p>
        </w:tc>
        <w:tc>
          <w:tcPr>
            <w:shd w:val="clear" w:fill="B3EDFB"/>
            <w:tcW w:type="pct" w:w="1254"/>
            <w:vAlign w:val="center"/>
          </w:tcPr>
          <w:p>
            <w:pPr>
              <w:rPr>
                <w:rFonts w:cs="Arial"/>
              </w:rPr>
              <w:jc w:val="center"/>
            </w:pPr>
            <w:r>
              <w:rPr>
                <w:rFonts w:cs="Arial"/>
              </w:rPr>
              <w:t>Record</w:t>
            </w:r>
          </w:p>
        </w:tc>
        <w:tc>
          <w:tcPr>
            <w:shd w:val="clear" w:fill="B3EDFB"/>
            <w:tcW w:type="pct" w:w="1018"/>
            <w:vAlign w:val="center"/>
          </w:tcPr>
          <w:p>
            <w:pPr>
              <w:rPr>
                <w:rFonts w:cs="Arial"/>
              </w:rPr>
              <w:jc w:val="center"/>
            </w:pPr>
            <w:r>
              <w:rPr>
                <w:rFonts w:cs="Arial"/>
              </w:rPr>
              <w:t>Data Attribute</w:t>
            </w:r>
          </w:p>
        </w:tc>
        <w:tc>
          <w:tcPr>
            <w:shd w:val="clear" w:fill="B3EDFB"/>
            <w:tcW w:type="pct" w:w="1146"/>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403"/>
        </w:trPr>
        <w:tc>
          <w:tcPr>
            <w:shd w:val="clear" w:fill="FFFFFF"/>
            <w:tcW w:type="pct" w:w="533"/>
            <w:vAlign w:val="center"/>
          </w:tcPr>
          <w:p>
            <w:pPr>
              <w:rPr>
                <w:rFonts w:cs="Arial"/>
              </w:rPr>
              <w:jc w:val="center"/>
            </w:pPr>
            <w:r>
              <w:rPr>
                <w:rFonts w:cs="Arial"/>
              </w:rPr>
              <w:t>CVD</w:t>
            </w:r>
          </w:p>
        </w:tc>
        <w:tc>
          <w:tcPr>
            <w:shd w:val="clear" w:fill="FFFFFF"/>
            <w:tcW w:type="pct" w:w="1049"/>
            <w:vAlign w:val="center"/>
          </w:tcPr>
          <w:p>
            <w:pPr>
              <w:rPr>
                <w:rFonts w:cs="Arial"/>
              </w:rPr>
              <w:jc w:val="center"/>
            </w:pPr>
            <w:r>
              <w:rPr>
                <w:rFonts w:cs="Arial"/>
              </w:rPr>
              <w:t>n/a</w:t>
            </w:r>
          </w:p>
        </w:tc>
        <w:tc>
          <w:tcPr>
            <w:shd w:val="clear" w:fill="FFFFFF"/>
            <w:tcW w:type="pct" w:w="1254"/>
            <w:vAlign w:val="center"/>
          </w:tcPr>
          <w:p>
            <w:pPr>
              <w:rPr>
                <w:rFonts w:cs="Arial"/>
              </w:rPr>
              <w:jc w:val="center"/>
            </w:pPr>
            <w:r>
              <w:rPr>
                <w:rFonts w:cs="Arial"/>
              </w:rPr>
              <w:t>n/a</w:t>
            </w:r>
          </w:p>
        </w:tc>
        <w:tc>
          <w:tcPr>
            <w:shd w:val="clear" w:fill="FFFFFF"/>
            <w:tcW w:type="pct" w:w="1018"/>
            <w:vAlign w:val="center"/>
          </w:tcPr>
          <w:p>
            <w:pPr>
              <w:rPr>
                <w:color w:val="000000"/>
                <w:rFonts w:cs="Arial"/>
              </w:rPr>
              <w:jc w:val="center"/>
            </w:pPr>
            <w:r>
              <w:rPr>
                <w:color w:val="000000"/>
                <w:rFonts w:cs="Arial"/>
              </w:rPr>
              <w:t>n/a</w:t>
            </w:r>
          </w:p>
        </w:tc>
        <w:tc>
          <w:tcPr>
            <w:shd w:val="clear" w:fill="FFFFFF"/>
            <w:tcW w:type="pct" w:w="1146"/>
            <w:vAlign w:val="center"/>
          </w:tcPr>
          <w:p>
            <w:pPr>
              <w:rPr>
                <w:color w:val="FF0000"/>
                <w:rFonts w:cs="Arial"/>
              </w:rPr>
              <w:jc w:val="center"/>
            </w:pPr>
            <w:r>
              <w:rPr>
                <w:rFonts w:cs="Arial"/>
              </w:rPr>
              <w:t>Hierarchy</w:t>
            </w:r>
          </w:p>
        </w:tc>
      </w:tr>
      <w:tr>
        <w:trPr>
          <w:trHeight w:hRule="atLeast" w:val="403"/>
        </w:trPr>
        <w:tc>
          <w:tcPr>
            <w:shd w:val="clear" w:fill="FFFFFF"/>
            <w:tcW w:type="pct" w:w="533"/>
            <w:vAlign w:val="center"/>
          </w:tcPr>
          <w:p>
            <w:pPr>
              <w:rPr>
                <w:rFonts w:cs="Arial"/>
              </w:rPr>
              <w:jc w:val="center"/>
            </w:pPr>
            <w:r>
              <w:rPr>
                <w:rFonts w:cs="Arial"/>
              </w:rPr>
              <w:t>CVD</w:t>
            </w:r>
          </w:p>
        </w:tc>
        <w:tc>
          <w:tcPr>
            <w:shd w:val="clear" w:fill="FFFFFF"/>
            <w:tcW w:type="pct" w:w="1049"/>
            <w:vAlign w:val="center"/>
          </w:tcPr>
          <w:p>
            <w:pPr>
              <w:rPr>
                <w:rFonts w:cs="Arial"/>
              </w:rPr>
              <w:jc w:val="center"/>
            </w:pPr>
            <w:r>
              <w:rPr>
                <w:rFonts w:cs="Arial"/>
              </w:rPr>
              <w:t>n/a</w:t>
            </w:r>
          </w:p>
        </w:tc>
        <w:tc>
          <w:tcPr>
            <w:shd w:val="clear" w:fill="FFFFFF"/>
            <w:tcW w:type="pct" w:w="1254"/>
            <w:vAlign w:val="center"/>
          </w:tcPr>
          <w:p>
            <w:pPr>
              <w:rPr>
                <w:rFonts w:cs="Arial"/>
              </w:rPr>
              <w:jc w:val="center"/>
            </w:pPr>
            <w:r>
              <w:rPr>
                <w:rFonts w:cs="Arial"/>
              </w:rPr>
              <w:t>C95</w:t>
            </w:r>
          </w:p>
        </w:tc>
        <w:tc>
          <w:tcPr>
            <w:shd w:val="clear" w:fill="FFFFFF"/>
            <w:tcW w:type="pct" w:w="1018"/>
            <w:vAlign w:val="center"/>
          </w:tcPr>
          <w:p>
            <w:pPr>
              <w:rPr>
                <w:color w:val="000000"/>
                <w:rFonts w:cs="Arial"/>
              </w:rPr>
              <w:jc w:val="center"/>
            </w:pPr>
            <w:r>
              <w:rPr>
                <w:color w:val="000000"/>
                <w:rFonts w:cs="Arial"/>
              </w:rPr>
              <w:t xml:space="preserve">new record </w:t>
            </w:r>
          </w:p>
        </w:tc>
        <w:tc>
          <w:tcPr>
            <w:shd w:val="clear" w:fill="FFFFFF"/>
            <w:tcW w:type="pct" w:w="1146"/>
            <w:vAlign w:val="center"/>
          </w:tcPr>
          <w:p>
            <w:pPr>
              <w:rPr>
                <w:color w:val="FF0000"/>
                <w:rFonts w:cs="Arial"/>
              </w:rPr>
              <w:jc w:val="center"/>
            </w:pPr>
            <w:r>
              <w:rPr>
                <w:rFonts w:cs="Arial"/>
              </w:rPr>
              <w:t>Format</w:t>
            </w:r>
          </w:p>
        </w:tc>
      </w:tr>
      <w:tr>
        <w:trPr>
          <w:trHeight w:hRule="atLeast" w:val="403"/>
        </w:trPr>
        <w:tc>
          <w:tcPr>
            <w:shd w:val="clear" w:fill="FFFFFF"/>
            <w:tcW w:type="pct" w:w="533"/>
            <w:vAlign w:val="center"/>
          </w:tcPr>
          <w:p>
            <w:pPr>
              <w:rPr>
                <w:rFonts w:cs="Arial"/>
              </w:rPr>
              <w:jc w:val="center"/>
            </w:pPr>
            <w:r>
              <w:rPr>
                <w:rFonts w:cs="Arial"/>
              </w:rPr>
              <w:t>CVN</w:t>
            </w:r>
          </w:p>
        </w:tc>
        <w:tc>
          <w:tcPr>
            <w:shd w:val="clear" w:fill="FFFFFF"/>
            <w:tcW w:type="pct" w:w="1049"/>
            <w:vAlign w:val="center"/>
          </w:tcPr>
          <w:p>
            <w:pPr>
              <w:rPr>
                <w:rFonts w:cs="Arial"/>
              </w:rPr>
              <w:jc w:val="center"/>
            </w:pPr>
            <w:r>
              <w:rPr>
                <w:rFonts w:cs="Arial"/>
              </w:rPr>
              <w:t>n/a</w:t>
            </w:r>
          </w:p>
        </w:tc>
        <w:tc>
          <w:tcPr>
            <w:shd w:val="clear" w:fill="FFFFFF"/>
            <w:tcW w:type="pct" w:w="1254"/>
            <w:vAlign w:val="center"/>
          </w:tcPr>
          <w:p>
            <w:pPr>
              <w:rPr>
                <w:rFonts w:cs="Arial"/>
              </w:rPr>
              <w:jc w:val="center"/>
            </w:pPr>
            <w:r>
              <w:rPr>
                <w:rFonts w:cs="Arial"/>
              </w:rPr>
              <w:t>n/a</w:t>
            </w:r>
          </w:p>
        </w:tc>
        <w:tc>
          <w:tcPr>
            <w:shd w:val="clear" w:fill="FFFFFF"/>
            <w:tcW w:type="pct" w:w="1018"/>
            <w:vAlign w:val="center"/>
          </w:tcPr>
          <w:p>
            <w:pPr>
              <w:rPr>
                <w:color w:val="000000"/>
                <w:rFonts w:cs="Arial"/>
              </w:rPr>
              <w:jc w:val="center"/>
            </w:pPr>
            <w:r>
              <w:rPr>
                <w:color w:val="000000"/>
                <w:rFonts w:cs="Arial"/>
              </w:rPr>
              <w:t>n/a</w:t>
            </w:r>
          </w:p>
        </w:tc>
        <w:tc>
          <w:tcPr>
            <w:shd w:val="clear" w:fill="FFFFFF"/>
            <w:tcW w:type="pct" w:w="1146"/>
            <w:vAlign w:val="center"/>
          </w:tcPr>
          <w:p>
            <w:pPr>
              <w:rPr>
                <w:color w:val="FF0000"/>
                <w:rFonts w:cs="Arial"/>
              </w:rPr>
              <w:jc w:val="center"/>
            </w:pPr>
            <w:r>
              <w:rPr>
                <w:rFonts w:cs="Arial"/>
              </w:rPr>
              <w:t>Hierarchy</w:t>
            </w:r>
          </w:p>
        </w:tc>
      </w:tr>
      <w:tr>
        <w:trPr>
          <w:trHeight w:hRule="atLeast" w:val="403"/>
        </w:trPr>
        <w:tc>
          <w:tcPr>
            <w:shd w:val="clear" w:fill="FFFFFF"/>
            <w:tcW w:type="pct" w:w="533"/>
            <w:vAlign w:val="center"/>
          </w:tcPr>
          <w:p>
            <w:pPr>
              <w:rPr>
                <w:rFonts w:cs="Arial"/>
              </w:rPr>
              <w:jc w:val="center"/>
            </w:pPr>
            <w:r>
              <w:rPr>
                <w:rFonts w:cs="Arial"/>
              </w:rPr>
              <w:t>CVN</w:t>
            </w:r>
          </w:p>
        </w:tc>
        <w:tc>
          <w:tcPr>
            <w:shd w:val="clear" w:fill="FFFFFF"/>
            <w:tcW w:type="pct" w:w="1049"/>
            <w:vAlign w:val="center"/>
          </w:tcPr>
          <w:p>
            <w:pPr>
              <w:rPr>
                <w:rFonts w:cs="Arial"/>
              </w:rPr>
              <w:jc w:val="center"/>
            </w:pPr>
            <w:r>
              <w:rPr>
                <w:rFonts w:cs="Arial"/>
              </w:rPr>
              <w:t>n/a</w:t>
            </w:r>
          </w:p>
        </w:tc>
        <w:tc>
          <w:tcPr>
            <w:shd w:val="clear" w:fill="FFFFFF"/>
            <w:tcW w:type="pct" w:w="1254"/>
            <w:vAlign w:val="center"/>
          </w:tcPr>
          <w:p>
            <w:pPr>
              <w:rPr>
                <w:rFonts w:cs="Arial"/>
              </w:rPr>
              <w:jc w:val="center"/>
            </w:pPr>
            <w:r>
              <w:rPr>
                <w:rFonts w:cs="Arial"/>
              </w:rPr>
              <w:t>C97</w:t>
            </w:r>
          </w:p>
        </w:tc>
        <w:tc>
          <w:tcPr>
            <w:shd w:val="clear" w:fill="FFFFFF"/>
            <w:tcW w:type="pct" w:w="1018"/>
            <w:vAlign w:val="center"/>
          </w:tcPr>
          <w:p>
            <w:pPr>
              <w:rPr>
                <w:color w:val="000000"/>
                <w:rFonts w:cs="Arial"/>
              </w:rPr>
              <w:jc w:val="center"/>
            </w:pPr>
            <w:r>
              <w:rPr>
                <w:color w:val="000000"/>
                <w:rFonts w:cs="Arial"/>
              </w:rPr>
              <w:t>new record</w:t>
            </w:r>
          </w:p>
        </w:tc>
        <w:tc>
          <w:tcPr>
            <w:shd w:val="clear" w:fill="FFFFFF"/>
            <w:tcW w:type="pct" w:w="1146"/>
            <w:vAlign w:val="center"/>
          </w:tcPr>
          <w:p>
            <w:pPr>
              <w:rPr>
                <w:color w:val="FF0000"/>
                <w:rFonts w:cs="Arial"/>
              </w:rPr>
              <w:jc w:val="center"/>
            </w:pPr>
            <w:r>
              <w:rPr>
                <w:rFonts w:cs="Arial"/>
              </w:rPr>
              <w:t>Format</w:t>
            </w:r>
          </w:p>
        </w:tc>
      </w:tr>
      <w:tr>
        <w:trPr>
          <w:trHeight w:hRule="atLeast" w:val="403"/>
        </w:trPr>
        <w:tc>
          <w:tcPr>
            <w:shd w:val="clear" w:fill="FFFFFF"/>
            <w:tcW w:type="pct" w:w="533"/>
            <w:vAlign w:val="center"/>
          </w:tcPr>
          <w:p>
            <w:pPr>
              <w:rPr>
                <w:rFonts w:cs="Arial"/>
              </w:rPr>
              <w:jc w:val="center"/>
            </w:pPr>
            <w:r>
              <w:rPr>
                <w:rFonts w:cs="Arial"/>
              </w:rPr>
              <w:t>CVR</w:t>
            </w:r>
          </w:p>
        </w:tc>
        <w:tc>
          <w:tcPr>
            <w:shd w:val="clear" w:fill="FFFFFF"/>
            <w:tcW w:type="pct" w:w="1049"/>
            <w:vAlign w:val="center"/>
          </w:tcPr>
          <w:p>
            <w:pPr>
              <w:rPr>
                <w:rFonts w:cs="Arial"/>
              </w:rPr>
              <w:jc w:val="center"/>
            </w:pPr>
            <w:r>
              <w:rPr>
                <w:rFonts w:cs="Arial"/>
              </w:rPr>
              <w:t>n/a</w:t>
            </w:r>
          </w:p>
        </w:tc>
        <w:tc>
          <w:tcPr>
            <w:shd w:val="clear" w:fill="FFFFFF"/>
            <w:tcW w:type="pct" w:w="1254"/>
            <w:vAlign w:val="center"/>
          </w:tcPr>
          <w:p>
            <w:pPr>
              <w:rPr>
                <w:rFonts w:cs="Arial"/>
              </w:rPr>
              <w:jc w:val="center"/>
            </w:pPr>
            <w:r>
              <w:rPr>
                <w:rFonts w:cs="Arial"/>
              </w:rPr>
              <w:t>n/a</w:t>
            </w:r>
          </w:p>
        </w:tc>
        <w:tc>
          <w:tcPr>
            <w:shd w:val="clear" w:fill="FFFFFF"/>
            <w:tcW w:type="pct" w:w="1018"/>
            <w:vAlign w:val="center"/>
          </w:tcPr>
          <w:p>
            <w:pPr>
              <w:rPr>
                <w:color w:val="000000"/>
                <w:rFonts w:cs="Arial"/>
              </w:rPr>
              <w:jc w:val="center"/>
            </w:pPr>
            <w:r>
              <w:rPr>
                <w:color w:val="000000"/>
                <w:rFonts w:cs="Arial"/>
              </w:rPr>
              <w:t>n/a</w:t>
            </w:r>
          </w:p>
        </w:tc>
        <w:tc>
          <w:tcPr>
            <w:shd w:val="clear" w:fill="FFFFFF"/>
            <w:tcW w:type="pct" w:w="1146"/>
            <w:vAlign w:val="center"/>
          </w:tcPr>
          <w:p>
            <w:pPr>
              <w:rPr>
                <w:color w:val="FF0000"/>
                <w:rFonts w:cs="Arial"/>
              </w:rPr>
              <w:jc w:val="center"/>
            </w:pPr>
            <w:r>
              <w:rPr>
                <w:rFonts w:cs="Arial"/>
              </w:rPr>
              <w:t>Hierarchy</w:t>
            </w:r>
          </w:p>
        </w:tc>
      </w:tr>
      <w:tr>
        <w:trPr>
          <w:trHeight w:hRule="atLeast" w:val="403"/>
        </w:trPr>
        <w:tc>
          <w:tcPr>
            <w:shd w:val="clear" w:fill="FFFFFF"/>
            <w:tcW w:type="pct" w:w="533"/>
            <w:vAlign w:val="center"/>
          </w:tcPr>
          <w:p>
            <w:pPr>
              <w:rPr>
                <w:rFonts w:cs="Arial"/>
              </w:rPr>
              <w:jc w:val="center"/>
            </w:pPr>
            <w:r>
              <w:rPr>
                <w:rFonts w:cs="Arial"/>
              </w:rPr>
              <w:t>CVR</w:t>
            </w:r>
          </w:p>
        </w:tc>
        <w:tc>
          <w:tcPr>
            <w:shd w:val="clear" w:fill="FFFFFF"/>
            <w:tcW w:type="pct" w:w="1049"/>
            <w:vAlign w:val="center"/>
          </w:tcPr>
          <w:p>
            <w:pPr>
              <w:rPr>
                <w:rFonts w:cs="Arial"/>
              </w:rPr>
              <w:jc w:val="center"/>
            </w:pPr>
            <w:r>
              <w:rPr>
                <w:rFonts w:cs="Arial"/>
              </w:rPr>
              <w:t>n/a</w:t>
            </w:r>
          </w:p>
        </w:tc>
        <w:tc>
          <w:tcPr>
            <w:shd w:val="clear" w:fill="FFFFFF"/>
            <w:tcW w:type="pct" w:w="1254"/>
            <w:vAlign w:val="center"/>
          </w:tcPr>
          <w:p>
            <w:pPr>
              <w:rPr>
                <w:rFonts w:cs="Arial"/>
              </w:rPr>
              <w:jc w:val="center"/>
            </w:pPr>
            <w:r>
              <w:rPr>
                <w:rFonts w:cs="Arial"/>
              </w:rPr>
              <w:t>C96</w:t>
            </w:r>
          </w:p>
        </w:tc>
        <w:tc>
          <w:tcPr>
            <w:shd w:val="clear" w:fill="FFFFFF"/>
            <w:tcW w:type="pct" w:w="1018"/>
            <w:vAlign w:val="center"/>
          </w:tcPr>
          <w:p>
            <w:pPr>
              <w:rPr>
                <w:color w:val="000000"/>
                <w:rFonts w:cs="Arial"/>
              </w:rPr>
              <w:jc w:val="center"/>
            </w:pPr>
            <w:r>
              <w:rPr>
                <w:color w:val="000000"/>
                <w:rFonts w:cs="Arial"/>
              </w:rPr>
              <w:t>new record</w:t>
            </w:r>
          </w:p>
        </w:tc>
        <w:tc>
          <w:tcPr>
            <w:shd w:val="clear" w:fill="FFFFFF"/>
            <w:tcW w:type="pct" w:w="1146"/>
            <w:vAlign w:val="center"/>
          </w:tcPr>
          <w:p>
            <w:pPr>
              <w:rPr>
                <w:color w:val="FF0000"/>
                <w:rFonts w:cs="Arial"/>
              </w:rPr>
              <w:jc w:val="center"/>
            </w:pPr>
            <w:r>
              <w:rPr>
                <w:rFonts w:cs="Arial"/>
              </w:rPr>
              <w:t>Format</w:t>
            </w:r>
          </w:p>
        </w:tc>
      </w:tr>
    </w:tbl>
    <w:p>
      <w:pPr>
        <w:pStyle w:val="heading 1"/>
      </w:pPr>
      <w:r>
        <w:t>Change Design Description</w:t>
      </w:r>
    </w:p>
    <w:tbl>
      <w:tblPr>
        <w:tblStyle w:val="Table Grid"/>
        <w:tblInd w:type="dxa" w:w="-34"/>
        <w:tblW w:type="auto" w:w="0"/>
        <w:tblLook w:firstColumn="1" w:firstRow="1" w:lastColumn="0" w:lastRow="0" w:noHBand="0" w:noVBand="1"/>
      </w:tblPr>
      <w:tblGrid>
        <w:gridCol w:w="9050"/>
      </w:tblGrid>
      <w:tr>
        <w:trPr>
          <w:trHeight w:hRule="atLeast" w:val="841"/>
        </w:trPr>
        <w:tc>
          <w:tcPr>
            <w:tcW w:type="auto" w:w="0"/>
          </w:tcPr>
          <w:p>
            <w:pPr>
              <w:rPr>
                <w:rFonts w:eastAsia="Calibri"/>
                <w:lang w:val="en-US"/>
              </w:rPr>
            </w:pPr>
          </w:p>
          <w:p>
            <w:pPr/>
            <w:r>
              <w:rPr>
                <w:rFonts w:eastAsia="Calibri"/>
                <w:lang w:val="en-US"/>
              </w:rPr>
              <w:t>A biomethane plant</w:t>
            </w:r>
            <w:r>
              <w:rPr>
                <w:rFonts w:eastAsia="Calibri"/>
                <w:lang w:val="en-US"/>
              </w:rPr>
              <w:t xml:space="preserve">, on SGNs Network has been identified as the first biomethane plant that will supply energy to Supply Meter Points without adding propane. This </w:t>
            </w:r>
            <w:r>
              <w:t xml:space="preserve">Detailed Design Change Pack contains the specific data relating to Girvan. </w:t>
            </w:r>
          </w:p>
          <w:p>
            <w:pPr>
              <w:rPr>
                <w:rFonts w:eastAsia="Calibri"/>
                <w:lang w:val="en-US"/>
              </w:rPr>
            </w:pPr>
          </w:p>
          <w:p>
            <w:pPr>
              <w:rPr>
                <w:b w:val="1"/>
                <w:bCs w:val="1"/>
                <w:rFonts w:eastAsia="Calibri"/>
                <w:lang w:val="en-US"/>
              </w:rPr>
            </w:pPr>
            <w:r>
              <w:rPr>
                <w:b w:val="1"/>
                <w:bCs w:val="1"/>
                <w:rFonts w:eastAsia="Calibri"/>
                <w:lang w:val="en-US"/>
              </w:rPr>
              <w:t xml:space="preserve">Girvan </w:t>
            </w:r>
          </w:p>
          <w:p>
            <w:pPr>
              <w:rPr>
                <w:rFonts w:eastAsia="Calibri"/>
                <w:lang w:val="en-US"/>
              </w:rPr>
              <w:jc w:val="both"/>
            </w:pPr>
            <w:r>
              <w:rPr>
                <w:rFonts w:eastAsia="Calibri"/>
                <w:lang w:val="en-US"/>
              </w:rPr>
              <w:t>Girvan, located in Scotland</w:t>
            </w:r>
            <w:r>
              <w:rPr>
                <w:rFonts w:eastAsia="Calibri"/>
                <w:lang w:val="en-US"/>
              </w:rPr>
              <w:t xml:space="preserve">’s LDZ, currently provides biomethane with propane to a small number of industrial Supply Meter Points in Class 1 and Class 2. Enough biomethane is produced to fully meet the energy needs of these Supply Meter Points. Any surplus energy is used within the </w:t>
            </w:r>
            <w:r>
              <w:rPr>
                <w:rFonts w:eastAsia="Calibri"/>
                <w:lang w:val="en-US"/>
              </w:rPr>
              <w:t>LDZ.</w:t>
            </w:r>
          </w:p>
          <w:p>
            <w:pPr>
              <w:rPr>
                <w:rFonts w:eastAsia="Calibri"/>
                <w:lang w:val="en-US"/>
              </w:rPr>
              <w:jc w:val="both"/>
            </w:pPr>
          </w:p>
          <w:p>
            <w:pPr>
              <w:rPr>
                <w:rFonts w:eastAsia="Calibri"/>
                <w:lang w:val="en-US"/>
              </w:rPr>
              <w:jc w:val="both"/>
            </w:pPr>
            <w:r>
              <w:rPr>
                <w:rFonts w:eastAsia="Calibri"/>
                <w:lang w:val="en-US"/>
              </w:rPr>
              <w:t>To enable biomethane without propane to be supplied to the Supply Meter Points several changes will be undertaken on site by the biomethane producer and SGN. These changes will ens</w:t>
            </w:r>
            <w:r>
              <w:rPr>
                <w:rFonts w:eastAsia="Calibri"/>
                <w:lang w:val="en-US"/>
              </w:rPr>
              <w:t xml:space="preserve">ure that volume and CV is accurately recorded for biomethane without propane, biomethane with propane and what is delivered to the impacted Supply Meter Points.    </w:t>
            </w:r>
          </w:p>
          <w:p>
            <w:pPr>
              <w:rPr>
                <w:rFonts w:eastAsia="Calibri"/>
                <w:lang w:val="en-US"/>
              </w:rPr>
              <w:jc w:val="both"/>
            </w:pPr>
          </w:p>
          <w:p>
            <w:pPr>
              <w:rPr>
                <w:rFonts w:eastAsia="Calibri"/>
                <w:lang w:val="en-US"/>
              </w:rPr>
            </w:pPr>
            <w:r>
              <w:rPr>
                <w:rFonts w:eastAsia="Calibri"/>
                <w:lang w:val="en-US"/>
              </w:rPr>
              <w:t>The Supply Meter Points will be supplied primarily with biomethane without propane. In the</w:t>
            </w:r>
            <w:r>
              <w:rPr>
                <w:rFonts w:eastAsia="Calibri"/>
                <w:lang w:val="en-US"/>
              </w:rPr>
              <w:t xml:space="preserve"> event the biomethane plant cannot supply biomethane gas, the Supply Meter Points will be supplied with natural gas, taken from the LDZ. Any surplus biomethane produced will be fed into the wider LDZ once it has had propane added.</w:t>
            </w:r>
          </w:p>
          <w:p>
            <w:pPr>
              <w:rPr>
                <w:rFonts w:eastAsia="Calibri"/>
                <w:lang w:val="en-US"/>
              </w:rPr>
              <w:jc w:val="both"/>
            </w:pPr>
          </w:p>
          <w:p>
            <w:pPr>
              <w:rPr>
                <w:rFonts w:cs="Arial"/>
              </w:rPr>
              <w:jc w:val="both"/>
            </w:pPr>
            <w:r>
              <w:rPr>
                <w:lang w:val="en-US"/>
              </w:rPr>
              <w:t xml:space="preserve">A simplified pictorial </w:t>
            </w:r>
            <w:r>
              <w:rPr>
                <w:lang w:val="en-US"/>
              </w:rPr>
              <w:t>v</w:t>
            </w:r>
            <w:r>
              <w:rPr>
                <w:lang w:val="en-US"/>
              </w:rPr>
              <w:t>isualisation</w:t>
            </w:r>
            <w:r>
              <w:rPr>
                <w:lang w:val="en-US"/>
              </w:rPr>
              <w:t xml:space="preserve"> of new volume and CV measuring equipment, known as a Chromatograph, required at Girvan is shown below (please note this is </w:t>
            </w:r>
            <w:r>
              <w:rPr>
                <w:rFonts w:cs="Arial"/>
              </w:rPr>
              <w:t>for illustrative purposes only)</w:t>
            </w:r>
          </w:p>
          <w:p>
            <w:pPr>
              <w:rPr>
                <w:rFonts w:eastAsia="Calibri"/>
                <w:lang w:val="en-US"/>
              </w:rPr>
            </w:pPr>
            <w:r>
              <w:rPr>
                <w:rFonts w:eastAsia="Calibri"/>
                <w:lang w:val="en-US"/>
              </w:rPr>
              <w:t xml:space="preserve"> </w:t>
            </w:r>
          </w:p>
          <w:p>
            <w:pPr>
              <w:rPr>
                <w:rFonts w:eastAsia="Calibri"/>
                <w:lang w:val="en-US"/>
              </w:rPr>
            </w:pPr>
          </w:p>
          <w:p>
            <w:pPr>
              <w:rPr>
                <w:rFonts w:eastAsia="Calibri"/>
                <w:lang w:val="en-US"/>
              </w:rPr>
            </w:pPr>
            <w:r>
              <mc:AlternateContent>
                <mc:Choice Requires="wps">
                  <w:drawing>
                    <wp:inline>
                      <wp:extent cx="5709285" cy="3283585"/>
                      <wp:docPr id="1" name="drawingObject1"/>
                      <wp:cNvGraphicFramePr/>
                      <a:graphic>
                        <a:graphicData uri="http://schemas.openxmlformats.org/drawingml/2006/picture">
                          <pic:pic>
                            <pic:nvPicPr>
                              <pic:cNvPr id="2" name="Picture 2"/>
                              <pic:cNvPicPr/>
                            </pic:nvPicPr>
                            <pic:blipFill>
                              <a:blip r:embed="R38285f5b8f9f4d22"/>
                              <a:stretch/>
                            </pic:blipFill>
                            <pic:spPr>
                              <a:xfrm rot="0">
                                <a:ext cx="5709285" cy="3283585"/>
                              </a:xfrm>
                              <a:custGeom>
                                <a:avLst/>
                                <a:rect l="0" t="0" r="0" b="0"/>
                                <a:pathLst>
                                  <a:path w="274320000" h="274320000">
                                    <a:moveTo>
                                      <a:pt x="0" y="0"/>
                                    </a:moveTo>
                                    <a:lnTo>
                                      <a:pt x="0" y="274320000"/>
                                    </a:lnTo>
                                    <a:lnTo>
                                      <a:pt x="274320000" y="274320000"/>
                                    </a:lnTo>
                                    <a:lnTo>
                                      <a:pt x="274320000" y="0"/>
                                    </a:lnTo>
                                    <a:close/>
                                  </a:path>
                                </a:pathLst>
                              </a:custGeom>
                              <a:noFill/>
                            </pic:spPr>
                          </pic:pic>
                        </a:graphicData>
                      </a:graphic>
                    </wp:inline>
                  </w:drawing>
                </mc:Choice>
                <mc:Fallback/>
              </mc:AlternateContent>
            </w:r>
          </w:p>
          <w:p>
            <w:pPr>
              <w:rPr>
                <w:rFonts w:eastAsia="Calibri"/>
                <w:lang w:val="en-US"/>
              </w:rPr>
            </w:pPr>
          </w:p>
          <w:p>
            <w:pPr>
              <w:rPr>
                <w:rFonts w:eastAsia="Calibri"/>
                <w:lang w:val="en-US"/>
              </w:rPr>
            </w:pPr>
          </w:p>
          <w:p>
            <w:pPr>
              <w:rPr>
                <w:lang w:val="en-US"/>
              </w:rPr>
            </w:pPr>
            <w:r>
              <w:rPr>
                <w:lang w:val="en-US"/>
              </w:rPr>
              <w:t xml:space="preserve">As can be seen from the above </w:t>
            </w:r>
            <w:r>
              <w:rPr>
                <w:lang w:val="en-US"/>
              </w:rPr>
              <w:t>visualisation</w:t>
            </w:r>
            <w:r>
              <w:rPr>
                <w:lang w:val="en-US"/>
              </w:rPr>
              <w:t xml:space="preserve"> there will be at least 3 Chromatograp</w:t>
            </w:r>
            <w:r>
              <w:rPr>
                <w:lang w:val="en-US"/>
              </w:rPr>
              <w:t xml:space="preserve">hs, measuring volume and CV, and a Gas Directional Flow Meter at the </w:t>
            </w:r>
            <w:r>
              <w:rPr>
                <w:lang w:val="en-US"/>
              </w:rPr>
              <w:t>site;</w:t>
            </w:r>
            <w:r>
              <w:rPr>
                <w:lang w:val="en-US"/>
              </w:rPr>
              <w:t xml:space="preserve">  </w:t>
            </w:r>
          </w:p>
          <w:p>
            <w:pPr>
              <w:rPr>
                <w:rFonts w:eastAsia="Calibri"/>
                <w:lang w:val="en-US"/>
              </w:rPr>
            </w:pPr>
          </w:p>
          <w:p>
            <w:pPr>
              <w:rPr>
                <w:rFonts w:eastAsia="Calibri"/>
                <w:lang w:val="en-US"/>
              </w:rPr>
              <w:numPr>
                <w:ilvl w:val="0"/>
                <w:numId w:val="3"/>
              </w:numPr>
              <w:pStyle w:val="List Paragraph"/>
            </w:pPr>
            <w:r>
              <w:rPr>
                <w:rFonts w:eastAsia="Calibri"/>
                <w:lang w:val="en-US"/>
              </w:rPr>
              <w:t>Directional Flow Meter – this will determine whether the gas flows to the Girvan Supply Meter Points or to the wider LDZ. Depending on the flow, propane will only be added when r</w:t>
            </w:r>
            <w:r>
              <w:rPr>
                <w:rFonts w:eastAsia="Calibri"/>
                <w:lang w:val="en-US"/>
              </w:rPr>
              <w:t xml:space="preserve">equired </w:t>
            </w:r>
            <w:r>
              <w:rPr>
                <w:rFonts w:eastAsia="Calibri"/>
                <w:lang w:val="en-US"/>
              </w:rPr>
              <w:t>i.e.</w:t>
            </w:r>
            <w:r>
              <w:rPr>
                <w:rFonts w:eastAsia="Calibri"/>
                <w:lang w:val="en-US"/>
              </w:rPr>
              <w:t xml:space="preserve"> when the energy enters the wider LDZ. </w:t>
            </w:r>
          </w:p>
          <w:p>
            <w:pPr>
              <w:rPr>
                <w:rFonts w:eastAsia="Calibri"/>
                <w:lang w:val="en-US"/>
              </w:rPr>
              <w:pStyle w:val="List Paragraph"/>
            </w:pPr>
          </w:p>
          <w:p>
            <w:pPr>
              <w:rPr>
                <w:rFonts w:eastAsia="Calibri"/>
                <w:lang w:val="en-US"/>
              </w:rPr>
              <w:numPr>
                <w:ilvl w:val="0"/>
                <w:numId w:val="3"/>
              </w:numPr>
              <w:pStyle w:val="List Paragraph"/>
            </w:pPr>
            <w:r>
              <w:rPr>
                <w:rFonts w:eastAsia="Calibri"/>
                <w:lang w:val="en-US"/>
              </w:rPr>
              <w:t>Chromatograph A – This will record the volume and CV of the biomethane plant of the biomethane without propane before it is supplied to the Supply Meter Points or mixed with propane</w:t>
            </w:r>
          </w:p>
          <w:p>
            <w:pPr>
              <w:rPr>
                <w:rFonts w:eastAsia="Calibri"/>
                <w:lang w:val="en-US"/>
              </w:rPr>
              <w:pStyle w:val="List Paragraph"/>
            </w:pPr>
          </w:p>
          <w:p>
            <w:pPr>
              <w:rPr>
                <w:rFonts w:eastAsia="Calibri"/>
                <w:lang w:val="en-US"/>
              </w:rPr>
              <w:numPr>
                <w:ilvl w:val="0"/>
                <w:numId w:val="3"/>
              </w:numPr>
              <w:pStyle w:val="List Paragraph"/>
            </w:pPr>
            <w:r>
              <w:rPr>
                <w:rFonts w:eastAsia="Calibri"/>
                <w:lang w:val="en-US"/>
              </w:rPr>
              <w:t>Chromatograph B – Th</w:t>
            </w:r>
            <w:r>
              <w:rPr>
                <w:rFonts w:eastAsia="Calibri"/>
                <w:lang w:val="en-US"/>
              </w:rPr>
              <w:t xml:space="preserve">is will record the volume and CV of gas being supplied to the Supply Meter Points. The gas that flows through this Chromatograph can be biomethane without propane, biomethane with propane or natural gas taken from the LDZ (when the biomethane plant is not </w:t>
            </w:r>
            <w:r>
              <w:rPr>
                <w:rFonts w:eastAsia="Calibri"/>
                <w:lang w:val="en-US"/>
              </w:rPr>
              <w:t>producing). As this will record the CV regardless of the gas being consumed this CV can be used to calculate energy even when the biomethane plant is offline</w:t>
            </w:r>
          </w:p>
          <w:p>
            <w:pPr>
              <w:rPr>
                <w:rFonts w:eastAsia="Calibri"/>
                <w:lang w:val="en-US"/>
              </w:rPr>
              <w:pStyle w:val="List Paragraph"/>
            </w:pPr>
          </w:p>
          <w:p>
            <w:pPr>
              <w:rPr>
                <w:rFonts w:eastAsia="Calibri"/>
                <w:lang w:val="en-US"/>
              </w:rPr>
              <w:numPr>
                <w:ilvl w:val="0"/>
                <w:numId w:val="3"/>
              </w:numPr>
              <w:pStyle w:val="List Paragraph"/>
            </w:pPr>
            <w:r>
              <w:rPr>
                <w:rFonts w:eastAsia="Calibri"/>
                <w:lang w:val="en-US"/>
              </w:rPr>
              <w:t>Chromatograph C – This will record the volume and CV once the biomethane gas has propane added before the gas enters the wider LDZ. For awareness a target CV will continue to be issued by SGN to ensure that biomethane flowing to Chromatograph C contains en</w:t>
            </w:r>
            <w:r>
              <w:rPr>
                <w:rFonts w:eastAsia="Calibri"/>
                <w:lang w:val="en-US"/>
              </w:rPr>
              <w:t xml:space="preserve">ough propane to meet the FWACV levels as per existing processes.   </w:t>
            </w:r>
          </w:p>
          <w:p>
            <w:pPr/>
          </w:p>
          <w:p>
            <w:pPr>
              <w:rPr>
                <w:b w:val="1"/>
                <w:bCs w:val="1"/>
                <w:rFonts w:cs="Arial"/>
                <w:u w:val="single"/>
              </w:rPr>
              <w:jc w:val="both"/>
            </w:pPr>
            <w:r>
              <w:rPr>
                <w:b w:val="1"/>
                <w:bCs w:val="1"/>
                <w:rFonts w:cs="Arial"/>
                <w:u w:val="single"/>
              </w:rPr>
              <w:t xml:space="preserve">Identifying impacted Supply Meter Points </w:t>
            </w:r>
          </w:p>
          <w:p>
            <w:pPr>
              <w:rPr>
                <w:rFonts w:cs="Arial"/>
              </w:rPr>
              <w:jc w:val="both"/>
            </w:pPr>
          </w:p>
          <w:p>
            <w:pPr>
              <w:rPr>
                <w:rFonts w:cs="Arial"/>
              </w:rPr>
            </w:pPr>
            <w:r>
              <w:rPr>
                <w:rFonts w:cs="Arial"/>
              </w:rPr>
              <w:t xml:space="preserve">SGN has provided a list of Supply Meter Points to the CDSP that will receive biomethane without propane. </w:t>
            </w:r>
          </w:p>
          <w:p>
            <w:pPr>
              <w:rPr>
                <w:rFonts w:cs="Arial"/>
              </w:rPr>
            </w:pPr>
          </w:p>
          <w:p>
            <w:pPr/>
            <w:r>
              <w:rPr>
                <w:rFonts w:cs="Arial"/>
              </w:rPr>
              <w:t>The Supply Meter Points will be assig</w:t>
            </w:r>
            <w:r>
              <w:rPr>
                <w:rFonts w:cs="Arial"/>
              </w:rPr>
              <w:t xml:space="preserve">ned to the Girvan project and the project information </w:t>
            </w:r>
            <w:r>
              <w:t xml:space="preserve">will be shown in Data Enquiry Service (DES) available in Community and Portfolio view as below  </w:t>
            </w:r>
          </w:p>
          <w:p>
            <w:pPr>
              <w:jc w:val="both"/>
              <w:ind w:left="348"/>
            </w:pPr>
          </w:p>
          <w:p>
            <w:pPr>
              <w:rPr>
                <w:rFonts w:cs="Arial"/>
              </w:rPr>
              <w:numPr>
                <w:ilvl w:val="0"/>
                <w:numId w:val="4"/>
              </w:numPr>
              <w:pStyle w:val="List Paragraph"/>
              <w:jc w:val="both"/>
            </w:pPr>
            <w:r>
              <w:rPr>
                <w:rFonts w:cs="Arial"/>
              </w:rPr>
              <w:t>Network Project Name: SGN Girvan Biomethane</w:t>
            </w:r>
          </w:p>
          <w:p>
            <w:pPr>
              <w:rPr>
                <w:rFonts w:cs="Arial"/>
              </w:rPr>
              <w:numPr>
                <w:ilvl w:val="0"/>
                <w:numId w:val="4"/>
              </w:numPr>
              <w:pStyle w:val="List Paragraph"/>
              <w:jc w:val="both"/>
            </w:pPr>
            <w:r>
              <w:rPr>
                <w:rFonts w:cs="Arial"/>
              </w:rPr>
              <w:t>Network Indicator: GIRVBSGN</w:t>
            </w:r>
          </w:p>
          <w:p>
            <w:pPr>
              <w:rPr>
                <w:rFonts w:cs="Arial"/>
              </w:rPr>
              <w:numPr>
                <w:ilvl w:val="0"/>
                <w:numId w:val="4"/>
              </w:numPr>
              <w:pStyle w:val="List Paragraph"/>
              <w:jc w:val="both"/>
            </w:pPr>
            <w:r>
              <w:rPr>
                <w:rFonts w:cs="Arial"/>
              </w:rPr>
              <w:t>Network Project Start Date: this</w:t>
            </w:r>
            <w:r>
              <w:rPr>
                <w:rFonts w:cs="Arial"/>
              </w:rPr>
              <w:t xml:space="preserve"> will be the date the end consumer will first receive biomethane without propane</w:t>
            </w:r>
          </w:p>
          <w:p>
            <w:pPr>
              <w:rPr>
                <w:rFonts w:cs="Arial"/>
              </w:rPr>
              <w:numPr>
                <w:ilvl w:val="0"/>
                <w:numId w:val="4"/>
              </w:numPr>
              <w:pStyle w:val="List Paragraph"/>
              <w:jc w:val="both"/>
            </w:pPr>
            <w:r>
              <w:rPr>
                <w:rFonts w:cs="Arial"/>
              </w:rPr>
              <w:t xml:space="preserve">Network Project End Date: this will be show as 31 Dec 9999. Please note this project is enduring and therefore does not have an end date. </w:t>
            </w:r>
          </w:p>
          <w:p>
            <w:pPr>
              <w:rPr>
                <w:rFonts w:cs="Arial"/>
              </w:rPr>
              <w:jc w:val="both"/>
            </w:pPr>
          </w:p>
          <w:p>
            <w:pPr>
              <w:rPr>
                <w:rFonts w:cs="Arial"/>
              </w:rPr>
              <w:jc w:val="both"/>
            </w:pPr>
            <w:r>
              <w:rPr>
                <w:rFonts w:cs="Arial"/>
              </w:rPr>
              <w:t xml:space="preserve">Please find the example screenshot </w:t>
            </w:r>
            <w:r>
              <w:rPr>
                <w:rFonts w:cs="Arial"/>
              </w:rPr>
              <w:t>for how the information will be shown in DES (the dates shown are for illustrative purposes only)</w:t>
            </w:r>
          </w:p>
          <w:p>
            <w:pPr>
              <w:rPr>
                <w:rFonts w:cs="Arial"/>
              </w:rPr>
              <w:jc w:val="both"/>
            </w:pPr>
          </w:p>
          <w:p>
            <w:pPr>
              <w:rPr>
                <w:b w:val="1"/>
                <w:bCs w:val="1"/>
                <w:rFonts w:cs="Arial"/>
                <w:u w:val="single"/>
              </w:rPr>
              <w:jc w:val="both"/>
            </w:pPr>
            <w:r>
              <w:rPr>
                <w:b w:val="1"/>
                <w:bCs w:val="1"/>
                <w:rFonts w:cs="Arial"/>
                <w:u w:val="single"/>
              </w:rPr>
              <mc:AlternateContent>
                <mc:Choice Requires="wps">
                  <w:drawing>
                    <wp:inline>
                      <wp:extent cx="5486399" cy="1998617"/>
                      <wp:docPr id="3" name="drawingObject3"/>
                      <wp:cNvGraphicFramePr/>
                      <a:graphic>
                        <a:graphicData uri="http://schemas.openxmlformats.org/drawingml/2006/picture">
                          <pic:pic>
                            <pic:nvPicPr>
                              <pic:cNvPr id="4" name="Picture 4"/>
                              <pic:cNvPicPr/>
                            </pic:nvPicPr>
                            <pic:blipFill>
                              <a:blip r:embed="Rd7774f9946984ba0"/>
                              <a:stretch/>
                            </pic:blipFill>
                            <pic:spPr>
                              <a:xfrm rot="0">
                                <a:ext cx="5486399" cy="1998617"/>
                              </a:xfrm>
                              <a:prstGeom prst="rect">
                                <a:avLst/>
                              </a:prstGeom>
                              <a:noFill/>
                            </pic:spPr>
                          </pic:pic>
                        </a:graphicData>
                      </a:graphic>
                    </wp:inline>
                  </w:drawing>
                </mc:Choice>
                <mc:Fallback/>
              </mc:AlternateContent>
            </w:r>
          </w:p>
          <w:p>
            <w:pPr>
              <w:rPr>
                <w:b w:val="1"/>
                <w:bCs w:val="1"/>
                <w:rFonts w:cs="Arial"/>
                <w:u w:val="single"/>
              </w:rPr>
              <w:jc w:val="both"/>
            </w:pPr>
          </w:p>
          <w:p>
            <w:pPr>
              <w:rPr>
                <w:rFonts w:cs="Arial"/>
              </w:rPr>
              <w:jc w:val="both"/>
            </w:pPr>
            <w:r>
              <w:rPr>
                <w:rFonts w:cs="Arial"/>
              </w:rPr>
              <w:t xml:space="preserve">For awareness </w:t>
            </w:r>
          </w:p>
          <w:p>
            <w:pPr>
              <w:rPr>
                <w:rFonts w:cs="Arial"/>
              </w:rPr>
              <w:numPr>
                <w:ilvl w:val="0"/>
                <w:numId w:val="5"/>
              </w:numPr>
              <w:pStyle w:val="List Paragraph"/>
              <w:jc w:val="both"/>
            </w:pPr>
            <w:r>
              <w:rPr>
                <w:rFonts w:cs="Arial"/>
              </w:rPr>
              <w:t xml:space="preserve">XRN5298 (H100 Fife Project - Phase 1) will introduce a notification to the registered Shipper when </w:t>
            </w:r>
            <w:r>
              <w:rPr>
                <w:rFonts w:cs="Arial"/>
              </w:rPr>
              <w:t>there is a change of Shipper and/or Supplier and the Supply Meter Point is part of a Network Project – this will include Supply Meter Points that are assigned to the Girvan project. For the avoidance of doubt with the introduction of CSS a change of Suppli</w:t>
            </w:r>
            <w:r>
              <w:rPr>
                <w:rFonts w:cs="Arial"/>
              </w:rPr>
              <w:t xml:space="preserve">er will be notified to the CDSP as a switch notification. More information on XRN5298, including this notification, can be found </w:t>
            </w:r>
            <w:hyperlink r:id="R7e1356ebb48747f9">
              <w:r>
                <w:rPr>
                  <w:rStyle w:val="Hyperlink"/>
                  <w:rFonts w:cs="Arial"/>
                </w:rPr>
                <w:t>here</w:t>
              </w:r>
            </w:hyperlink>
            <w:r>
              <w:rPr>
                <w:rFonts w:cs="Arial"/>
              </w:rPr>
              <w:t>.</w:t>
            </w:r>
            <w:r>
              <w:rPr>
                <w:rFonts w:cs="Arial"/>
              </w:rPr>
              <w:t xml:space="preserve"> </w:t>
            </w:r>
          </w:p>
          <w:p>
            <w:pPr>
              <w:rPr>
                <w:rFonts w:cs="Arial"/>
              </w:rPr>
              <w:numPr>
                <w:ilvl w:val="0"/>
                <w:numId w:val="5"/>
              </w:numPr>
              <w:pStyle w:val="List Paragraph"/>
              <w:jc w:val="both"/>
            </w:pPr>
            <w:r>
              <w:rPr>
                <w:rFonts w:cs="Arial"/>
              </w:rPr>
              <w:t xml:space="preserve">With the introduction of the Retail Energy Code v3 DES will be incorporated within the Gas Enquiry Service (GES) managed by </w:t>
            </w:r>
            <w:r>
              <w:rPr>
                <w:rFonts w:cs="Arial"/>
              </w:rPr>
              <w:t>RECCo</w:t>
            </w:r>
            <w:r>
              <w:rPr>
                <w:rFonts w:cs="Arial"/>
              </w:rPr>
              <w:t>.</w:t>
            </w:r>
          </w:p>
          <w:p>
            <w:pPr>
              <w:rPr>
                <w:rFonts w:cs="Arial"/>
              </w:rPr>
              <w:numPr>
                <w:ilvl w:val="0"/>
                <w:numId w:val="5"/>
              </w:numPr>
              <w:pStyle w:val="List Paragraph"/>
              <w:jc w:val="both"/>
            </w:pPr>
            <w:r>
              <w:rPr>
                <w:rFonts w:cs="Arial"/>
              </w:rPr>
              <w:t>There is no change to any functionality in DES – these fields are currently contained within DES and will be populated with</w:t>
            </w:r>
            <w:r>
              <w:rPr>
                <w:rFonts w:cs="Arial"/>
              </w:rPr>
              <w:t xml:space="preserve"> the Girvan project details.</w:t>
            </w:r>
          </w:p>
          <w:p>
            <w:pPr>
              <w:rPr>
                <w:b w:val="1"/>
                <w:bCs w:val="1"/>
                <w:rFonts w:cs="Arial"/>
                <w:u w:val="single"/>
              </w:rPr>
              <w:jc w:val="both"/>
            </w:pPr>
          </w:p>
          <w:p>
            <w:pPr>
              <w:rPr>
                <w:b w:val="1"/>
                <w:bCs w:val="1"/>
                <w:rFonts w:cs="Arial"/>
                <w:u w:val="single"/>
              </w:rPr>
              <w:jc w:val="both"/>
            </w:pPr>
            <w:r>
              <w:rPr>
                <w:b w:val="1"/>
                <w:bCs w:val="1"/>
                <w:rFonts w:cs="Arial"/>
                <w:u w:val="single"/>
              </w:rPr>
              <w:t xml:space="preserve">Receiving the Girvan CV </w:t>
            </w:r>
          </w:p>
          <w:p>
            <w:pPr>
              <w:rPr>
                <w:rFonts w:cs="Arial"/>
              </w:rPr>
              <w:jc w:val="both"/>
            </w:pPr>
          </w:p>
          <w:p>
            <w:pPr>
              <w:rPr>
                <w:rFonts w:cs="Arial"/>
              </w:rPr>
            </w:pPr>
            <w:r>
              <w:rPr>
                <w:rFonts w:cs="Arial"/>
              </w:rPr>
              <w:t xml:space="preserve">To enable the CV, being used by the impacted Supply Meter Points, the CDSP will receive a daily CV from the DNO, in this case SGN.  </w:t>
            </w:r>
          </w:p>
          <w:p>
            <w:pPr>
              <w:rPr>
                <w:rFonts w:cs="Arial"/>
              </w:rPr>
              <w:jc w:val="both"/>
            </w:pPr>
          </w:p>
          <w:p>
            <w:pPr>
              <w:rPr>
                <w:b w:val="1"/>
                <w:bCs w:val="1"/>
                <w:rFonts w:cs="Arial"/>
              </w:rPr>
              <w:jc w:val="both"/>
            </w:pPr>
            <w:r>
              <w:rPr>
                <w:b w:val="1"/>
                <w:bCs w:val="1"/>
                <w:rFonts w:cs="Arial"/>
              </w:rPr>
              <w:t xml:space="preserve">New Inbound CALORIFIC_VALUE_DAILY (.CVD) File </w:t>
            </w:r>
          </w:p>
          <w:p>
            <w:pPr>
              <w:rPr>
                <w:rFonts w:cs="Arial"/>
              </w:rPr>
              <w:jc w:val="both"/>
            </w:pPr>
          </w:p>
          <w:p>
            <w:pPr>
              <w:rPr>
                <w:rFonts w:cs="Arial"/>
              </w:rPr>
            </w:pPr>
            <w:r>
              <w:rPr>
                <w:rFonts w:cs="Arial"/>
              </w:rPr>
              <w:t xml:space="preserve">A new </w:t>
            </w:r>
            <w:r>
              <w:rPr>
                <w:rFonts w:cs="Arial"/>
              </w:rPr>
              <w:t>inbound file .CVD (CALORIFIC_VALUE_DAILY.CVD) will be received by 9.30am each day containing the Girvan CV for the previous day (known as the Gas Flow Day) using SFTP and MOVEIT.</w:t>
            </w:r>
          </w:p>
          <w:p>
            <w:pPr>
              <w:rPr>
                <w:rFonts w:cs="Arial"/>
              </w:rPr>
            </w:pPr>
          </w:p>
          <w:p>
            <w:pPr>
              <w:rPr>
                <w:rFonts w:cs="Arial"/>
              </w:rPr>
            </w:pPr>
            <w:r>
              <w:rPr>
                <w:rFonts w:cs="Arial"/>
              </w:rPr>
              <w:t>A Girvan CV can be provided or amended within the Close Out Period (Gas Flow</w:t>
            </w:r>
            <w:r>
              <w:rPr>
                <w:rFonts w:cs="Arial"/>
              </w:rPr>
              <w:t xml:space="preserve"> Day +1 to Gas Flow Day +5) within this file. The latest time a Girvan CV can be received on Gas Flow Day +5 is 3pm. </w:t>
            </w:r>
          </w:p>
          <w:p>
            <w:pPr>
              <w:rPr>
                <w:rFonts w:cs="Arial"/>
              </w:rPr>
            </w:pPr>
          </w:p>
          <w:p>
            <w:pPr>
              <w:rPr>
                <w:rFonts w:cs="Arial"/>
              </w:rPr>
            </w:pPr>
            <w:r>
              <w:rPr>
                <w:rFonts w:cs="Arial"/>
              </w:rPr>
              <w:t>The file can be issued by either SGN or an SGN appointed service provider. Please note that although the file can be issued by an appoint</w:t>
            </w:r>
            <w:r>
              <w:rPr>
                <w:rFonts w:cs="Arial"/>
              </w:rPr>
              <w:t xml:space="preserve">ed service provider the CDSP will treat this as if the file has been received by SGN. </w:t>
            </w:r>
          </w:p>
          <w:p>
            <w:pPr>
              <w:rPr>
                <w:rFonts w:cs="Arial"/>
              </w:rPr>
            </w:pPr>
          </w:p>
          <w:p>
            <w:pPr>
              <w:rPr>
                <w:rFonts w:cs="Arial"/>
              </w:rPr>
            </w:pPr>
            <w:r>
              <w:rPr>
                <w:rFonts w:cs="Arial"/>
              </w:rPr>
              <w:t>The .CVD hierarchy and file format have been attached below</w:t>
            </w:r>
          </w:p>
          <w:p>
            <w:pPr>
              <w:rPr>
                <w:rFonts w:cs="Arial"/>
              </w:rPr>
            </w:pPr>
          </w:p>
          <w:p>
            <w:pPr>
              <w:rPr>
                <w:rFonts w:cs="Arial"/>
              </w:rPr>
            </w:pPr>
            <w:hyperlink r:id="Re25fbe27f17a467a">
              <w:r>
                <w:rPr>
                  <w:rStyle w:val="Hyperlink"/>
                  <w:rFonts w:cs="Arial"/>
                </w:rPr>
                <w:t>.CVD Hierarchy v1FA</w:t>
              </w:r>
            </w:hyperlink>
          </w:p>
          <w:p>
            <w:pPr>
              <w:rPr>
                <w:rFonts w:cs="Arial"/>
              </w:rPr>
            </w:pPr>
          </w:p>
          <w:p>
            <w:pPr>
              <w:rPr>
                <w:rFonts w:cs="Arial"/>
              </w:rPr>
              <w:jc w:val="both"/>
            </w:pPr>
            <w:hyperlink r:id="R349e25f25304429a">
              <w:r>
                <w:rPr>
                  <w:rStyle w:val="Hyperlink"/>
                  <w:rFonts w:cs="Arial"/>
                </w:rPr>
                <w:t>CVD CALORIFIC_VALUE_DAILY v1FA</w:t>
              </w:r>
            </w:hyperlink>
          </w:p>
          <w:p>
            <w:pPr>
              <w:rPr>
                <w:rFonts w:cs="Arial"/>
              </w:rPr>
              <w:jc w:val="both"/>
            </w:pPr>
          </w:p>
          <w:p>
            <w:pPr>
              <w:rPr>
                <w:rFonts w:cs="Arial"/>
              </w:rPr>
              <w:jc w:val="both"/>
            </w:pPr>
          </w:p>
          <w:p>
            <w:pPr>
              <w:rPr>
                <w:rFonts w:cs="Arial"/>
              </w:rPr>
              <w:jc w:val="both"/>
            </w:pPr>
            <w:r>
              <w:rPr>
                <w:rFonts w:cs="Arial"/>
              </w:rPr>
              <w:t>For the avoidance of doubt there are no changes to the .CVV file, received in UK Link, with the FWACV and this will continue to be r</w:t>
            </w:r>
            <w:r>
              <w:rPr>
                <w:rFonts w:cs="Arial"/>
              </w:rPr>
              <w:t xml:space="preserve">eceived as per existing processes.  </w:t>
            </w:r>
          </w:p>
          <w:p>
            <w:pPr>
              <w:rPr>
                <w:rFonts w:cs="Arial"/>
              </w:rPr>
              <w:jc w:val="both"/>
            </w:pPr>
          </w:p>
          <w:p>
            <w:pPr>
              <w:rPr>
                <w:rFonts w:cs="Arial"/>
              </w:rPr>
              <w:jc w:val="both"/>
            </w:pPr>
            <w:r>
              <w:rPr>
                <w:rFonts w:cs="Arial"/>
              </w:rPr>
              <w:t xml:space="preserve">On receipt of a .CVD file the following validations will be </w:t>
            </w:r>
            <w:r>
              <w:rPr>
                <w:rFonts w:cs="Arial"/>
              </w:rPr>
              <w:t>made;</w:t>
            </w:r>
            <w:r>
              <w:rPr>
                <w:rFonts w:cs="Arial"/>
              </w:rPr>
              <w:t xml:space="preserve"> </w:t>
            </w:r>
          </w:p>
          <w:p>
            <w:pPr>
              <w:rPr>
                <w:rFonts w:cs="Arial"/>
              </w:rPr>
              <w:jc w:val="both"/>
            </w:pPr>
          </w:p>
          <w:p>
            <w:pPr>
              <w:rPr>
                <w:rFonts w:ascii="Arial" w:hAnsi="Arial" w:cs="Arial" w:eastAsia="Times New Roman"/>
                <w:sz w:val="22"/>
                <w:szCs w:val="22"/>
                <w:u w:val="single"/>
              </w:rPr>
              <w:pStyle w:val="Correla Body Copy"/>
            </w:pPr>
            <w:r>
              <w:rPr>
                <w:rFonts w:ascii="Arial" w:hAnsi="Arial" w:cs="Arial" w:eastAsia="Times New Roman"/>
                <w:sz w:val="22"/>
                <w:szCs w:val="22"/>
                <w:u w:val="single"/>
              </w:rPr>
              <w:t xml:space="preserve">Header Record Validations </w:t>
            </w:r>
          </w:p>
          <w:p>
            <w:pPr>
              <w:rPr>
                <w:rFonts w:ascii="Arial" w:hAnsi="Arial" w:cs="Arial" w:eastAsia="Times New Roman"/>
                <w:sz w:val="22"/>
                <w:szCs w:val="22"/>
              </w:rPr>
              <w:pStyle w:val="Correla Body Copy"/>
              <w:spacing w:after="0"/>
            </w:pPr>
            <w:r>
              <w:rPr>
                <w:rFonts w:ascii="Arial" w:hAnsi="Arial" w:cs="Arial" w:eastAsia="Times New Roman"/>
                <w:sz w:val="22"/>
                <w:szCs w:val="22"/>
              </w:rPr>
              <w:t>The following validations will be completed on the Header Record</w:t>
            </w:r>
          </w:p>
          <w:p>
            <w:pPr>
              <w:rPr>
                <w:rFonts w:ascii="Arial" w:hAnsi="Arial" w:cs="Arial" w:eastAsia="Times New Roman"/>
                <w:sz w:val="22"/>
                <w:szCs w:val="22"/>
              </w:rPr>
              <w:pStyle w:val="Correla Body Copy"/>
              <w:spacing w:after="0"/>
            </w:pPr>
          </w:p>
          <w:p>
            <w:pPr>
              <w:rPr>
                <w:rFonts w:ascii="Arial" w:hAnsi="Arial" w:cs="Arial" w:eastAsia="Times New Roman"/>
                <w:sz w:val="22"/>
                <w:szCs w:val="22"/>
              </w:rPr>
              <w:numPr>
                <w:ilvl w:val="0"/>
                <w:numId w:val="5"/>
              </w:numPr>
              <w:pStyle w:val="Correla Body Copy"/>
              <w:spacing w:after="0"/>
            </w:pPr>
            <w:r>
              <w:rPr>
                <w:rFonts w:ascii="Arial" w:hAnsi="Arial" w:cs="Arial" w:eastAsia="Times New Roman"/>
                <w:sz w:val="22"/>
                <w:szCs w:val="22"/>
              </w:rPr>
              <w:t>FILE_TYPE, CREATION_DATE, CREATION TIME, GENERATION_NUMBER are populated. Where these are not populated the file will be rejected with reason code FWCV0006.</w:t>
            </w:r>
          </w:p>
          <w:p>
            <w:pPr>
              <w:rPr>
                <w:rFonts w:ascii="Arial" w:hAnsi="Arial" w:cs="Arial" w:eastAsia="Times New Roman"/>
                <w:sz w:val="22"/>
                <w:szCs w:val="22"/>
              </w:rPr>
              <w:numPr>
                <w:ilvl w:val="0"/>
                <w:numId w:val="5"/>
              </w:numPr>
              <w:pStyle w:val="Correla Body Copy"/>
              <w:spacing w:after="0"/>
            </w:pPr>
            <w:r>
              <w:rPr>
                <w:rFonts w:ascii="Arial" w:hAnsi="Arial" w:cs="Arial" w:eastAsia="Times New Roman"/>
                <w:sz w:val="22"/>
                <w:szCs w:val="22"/>
              </w:rPr>
              <w:t>Header Code should be populated w</w:t>
            </w:r>
            <w:r>
              <w:rPr>
                <w:rFonts w:ascii="Arial" w:hAnsi="Arial" w:cs="Arial" w:eastAsia="Times New Roman"/>
                <w:sz w:val="22"/>
                <w:szCs w:val="22"/>
              </w:rPr>
              <w:t>ith ‘A00’. If any other value is provided the file will be rejected with reason code FWCV0008</w:t>
            </w:r>
          </w:p>
          <w:p>
            <w:pPr>
              <w:rPr>
                <w:rFonts w:ascii="Arial" w:hAnsi="Arial" w:cs="Arial" w:eastAsia="Times New Roman"/>
                <w:sz w:val="22"/>
                <w:szCs w:val="22"/>
              </w:rPr>
              <w:numPr>
                <w:ilvl w:val="0"/>
                <w:numId w:val="5"/>
              </w:numPr>
              <w:pStyle w:val="Correla Body Copy"/>
              <w:spacing w:after="0"/>
            </w:pPr>
            <w:r>
              <w:rPr>
                <w:rFonts w:ascii="Arial" w:hAnsi="Arial" w:cs="Arial" w:eastAsia="Times New Roman"/>
                <w:sz w:val="22"/>
                <w:szCs w:val="22"/>
              </w:rPr>
              <w:t xml:space="preserve">Organisation ID should be populated with SGNs Organisation ID. If any other value is provided the file will be rejected with reason code FIL00013. </w:t>
            </w:r>
          </w:p>
          <w:p>
            <w:pPr>
              <w:rPr>
                <w:rFonts w:ascii="Arial" w:hAnsi="Arial" w:cs="Arial" w:eastAsia="Times New Roman"/>
                <w:sz w:val="22"/>
                <w:szCs w:val="22"/>
              </w:rPr>
              <w:pStyle w:val="Correla Body Copy"/>
            </w:pPr>
          </w:p>
          <w:p>
            <w:pPr>
              <w:rPr>
                <w:rFonts w:ascii="Arial" w:hAnsi="Arial" w:cs="Arial" w:eastAsia="Times New Roman"/>
                <w:sz w:val="22"/>
                <w:szCs w:val="22"/>
              </w:rPr>
              <w:pStyle w:val="Correla Body Copy"/>
            </w:pPr>
            <w:r>
              <w:rPr>
                <w:rFonts w:ascii="Arial" w:hAnsi="Arial" w:cs="Arial" w:eastAsia="Times New Roman"/>
                <w:sz w:val="22"/>
                <w:szCs w:val="22"/>
              </w:rPr>
              <w:t>If the Header</w:t>
            </w:r>
            <w:r>
              <w:rPr>
                <w:rFonts w:ascii="Arial" w:hAnsi="Arial" w:cs="Arial" w:eastAsia="Times New Roman"/>
                <w:sz w:val="22"/>
                <w:szCs w:val="22"/>
              </w:rPr>
              <w:t xml:space="preserve"> Record passes validations the Trailer Record is validated.</w:t>
            </w:r>
          </w:p>
          <w:p>
            <w:pPr>
              <w:rPr>
                <w:rFonts w:ascii="Arial" w:hAnsi="Arial" w:cs="Arial" w:eastAsia="Times New Roman"/>
                <w:sz w:val="22"/>
                <w:szCs w:val="22"/>
                <w:u w:val="single"/>
              </w:rPr>
              <w:pStyle w:val="Correla Body Copy"/>
            </w:pPr>
            <w:r>
              <w:rPr>
                <w:rFonts w:ascii="Arial" w:hAnsi="Arial" w:cs="Arial" w:eastAsia="Times New Roman"/>
                <w:sz w:val="22"/>
                <w:szCs w:val="22"/>
                <w:u w:val="single"/>
              </w:rPr>
              <w:t>Trailer Record Validations</w:t>
            </w:r>
          </w:p>
          <w:p>
            <w:pPr>
              <w:rPr>
                <w:rFonts w:ascii="Arial" w:hAnsi="Arial" w:cs="Arial" w:eastAsia="Times New Roman"/>
                <w:sz w:val="22"/>
                <w:szCs w:val="22"/>
              </w:rPr>
              <w:pStyle w:val="Correla Body Copy"/>
              <w:spacing w:after="0"/>
            </w:pPr>
            <w:r>
              <w:rPr>
                <w:rFonts w:ascii="Arial" w:hAnsi="Arial" w:cs="Arial" w:eastAsia="Times New Roman"/>
                <w:sz w:val="22"/>
                <w:szCs w:val="22"/>
              </w:rPr>
              <w:t>The following validations will be completed on the Trailer Record</w:t>
            </w:r>
          </w:p>
          <w:p>
            <w:pPr>
              <w:rPr>
                <w:rFonts w:ascii="Arial" w:hAnsi="Arial" w:cs="Arial" w:eastAsia="Times New Roman"/>
                <w:sz w:val="22"/>
                <w:szCs w:val="22"/>
              </w:rPr>
              <w:pStyle w:val="Correla Body Copy"/>
              <w:spacing w:after="0"/>
            </w:pPr>
          </w:p>
          <w:p>
            <w:pPr>
              <w:rPr>
                <w:rFonts w:ascii="Arial" w:hAnsi="Arial" w:cs="Arial" w:eastAsia="Times New Roman"/>
                <w:sz w:val="22"/>
                <w:szCs w:val="22"/>
              </w:rPr>
              <w:numPr>
                <w:ilvl w:val="0"/>
                <w:numId w:val="5"/>
              </w:numPr>
              <w:pStyle w:val="Correla Body Copy"/>
              <w:spacing w:after="0"/>
            </w:pPr>
            <w:r>
              <w:rPr>
                <w:rFonts w:ascii="Arial" w:hAnsi="Arial" w:cs="Arial" w:eastAsia="Times New Roman"/>
                <w:sz w:val="22"/>
                <w:szCs w:val="22"/>
              </w:rPr>
              <w:t>RECORD_TYPE, RECORDS_COUNT are populated. Where these are not populated the file will be rejected with</w:t>
            </w:r>
            <w:r>
              <w:rPr>
                <w:rFonts w:ascii="Arial" w:hAnsi="Arial" w:cs="Arial" w:eastAsia="Times New Roman"/>
                <w:sz w:val="22"/>
                <w:szCs w:val="22"/>
              </w:rPr>
              <w:t xml:space="preserve"> reason code FWCV0006.</w:t>
            </w:r>
          </w:p>
          <w:p>
            <w:pPr>
              <w:rPr>
                <w:rFonts w:ascii="Arial" w:hAnsi="Arial" w:cs="Arial" w:eastAsia="Times New Roman"/>
                <w:sz w:val="22"/>
                <w:szCs w:val="22"/>
              </w:rPr>
              <w:numPr>
                <w:ilvl w:val="0"/>
                <w:numId w:val="5"/>
              </w:numPr>
              <w:pStyle w:val="Correla Body Copy"/>
              <w:spacing w:after="0"/>
            </w:pPr>
            <w:r>
              <w:rPr>
                <w:rFonts w:ascii="Arial" w:hAnsi="Arial" w:cs="Arial" w:eastAsia="Times New Roman"/>
                <w:sz w:val="22"/>
                <w:szCs w:val="22"/>
              </w:rPr>
              <w:t>RECORD_TYPE should be Z99. If any other value is provided the file will be rejected with reason code FWCV0011.</w:t>
            </w:r>
          </w:p>
          <w:p>
            <w:pPr>
              <w:rPr>
                <w:rFonts w:cs="Arial"/>
              </w:rPr>
              <w:numPr>
                <w:ilvl w:val="0"/>
                <w:numId w:val="5"/>
              </w:numPr>
              <w:pStyle w:val="List Paragraph"/>
              <w:jc w:val="both"/>
            </w:pPr>
            <w:r>
              <w:rPr>
                <w:rFonts w:cs="Arial"/>
              </w:rPr>
              <w:t>RECORD_COUNT should be equal to the total records received in the file. If the record count does not match what is include</w:t>
            </w:r>
            <w:r>
              <w:rPr>
                <w:rFonts w:cs="Arial"/>
              </w:rPr>
              <w:t xml:space="preserve">d in the file, the file will be rejected with reason code FIL00018. </w:t>
            </w:r>
          </w:p>
          <w:p>
            <w:pPr>
              <w:rPr>
                <w:b w:val="1"/>
                <w:bCs w:val="1"/>
                <w:rFonts w:cs="Arial"/>
                <w:u w:val="single"/>
              </w:rPr>
              <w:jc w:val="both"/>
            </w:pPr>
          </w:p>
          <w:p>
            <w:pPr>
              <w:rPr>
                <w:rFonts w:ascii="Arial" w:hAnsi="Arial" w:cs="Arial" w:eastAsia="Times New Roman"/>
                <w:sz w:val="22"/>
                <w:szCs w:val="22"/>
              </w:rPr>
              <w:pStyle w:val="Correla Body Copy"/>
            </w:pPr>
            <w:r>
              <w:rPr>
                <w:rFonts w:ascii="Arial" w:hAnsi="Arial" w:cs="Arial" w:eastAsia="Times New Roman"/>
                <w:sz w:val="22"/>
                <w:szCs w:val="22"/>
              </w:rPr>
              <w:t xml:space="preserve">If the Trailer Record passes validations the Biomethane CV Data record is validated. </w:t>
            </w:r>
          </w:p>
          <w:p>
            <w:pPr>
              <w:rPr>
                <w:rFonts w:ascii="Arial" w:hAnsi="Arial" w:cs="Arial" w:eastAsia="Times New Roman"/>
                <w:sz w:val="22"/>
                <w:szCs w:val="22"/>
              </w:rPr>
              <w:pStyle w:val="Correla Body Copy"/>
            </w:pPr>
            <w:r>
              <w:rPr>
                <w:rFonts w:ascii="Arial" w:hAnsi="Arial" w:cs="Arial" w:eastAsia="Times New Roman"/>
                <w:sz w:val="22"/>
                <w:szCs w:val="22"/>
                <w:u w:val="single"/>
              </w:rPr>
              <w:t>BIOMETHANE CV DATA Record validations</w:t>
            </w:r>
          </w:p>
          <w:p>
            <w:pPr>
              <w:rPr>
                <w:rFonts w:ascii="Arial" w:hAnsi="Arial" w:cs="Arial" w:eastAsia="Times New Roman"/>
                <w:sz w:val="22"/>
                <w:szCs w:val="22"/>
              </w:rPr>
              <w:pStyle w:val="Correla Body Copy"/>
              <w:spacing w:after="0"/>
            </w:pPr>
            <w:r>
              <w:rPr>
                <w:rFonts w:ascii="Arial" w:hAnsi="Arial" w:cs="Arial" w:eastAsia="Times New Roman"/>
                <w:sz w:val="22"/>
                <w:szCs w:val="22"/>
              </w:rPr>
              <w:t xml:space="preserve">The following validations will be completed on the Biomethane </w:t>
            </w:r>
            <w:r>
              <w:rPr>
                <w:rFonts w:ascii="Arial" w:hAnsi="Arial" w:cs="Arial" w:eastAsia="Times New Roman"/>
                <w:sz w:val="22"/>
                <w:szCs w:val="22"/>
              </w:rPr>
              <w:t>CV Data Record</w:t>
            </w:r>
          </w:p>
          <w:p>
            <w:pPr>
              <w:rPr>
                <w:rFonts w:ascii="Arial" w:hAnsi="Arial" w:cs="Arial" w:eastAsia="Times New Roman"/>
                <w:sz w:val="22"/>
                <w:szCs w:val="22"/>
              </w:rPr>
              <w:pStyle w:val="Correla Body Copy"/>
              <w:spacing w:after="0"/>
            </w:pPr>
          </w:p>
          <w:p>
            <w:pPr>
              <w:rPr>
                <w:rFonts w:ascii="Arial" w:hAnsi="Arial" w:cs="Arial" w:eastAsia="Times New Roman"/>
                <w:sz w:val="22"/>
                <w:szCs w:val="22"/>
              </w:rPr>
              <w:numPr>
                <w:ilvl w:val="0"/>
                <w:numId w:val="5"/>
              </w:numPr>
              <w:pStyle w:val="Correla Body Copy"/>
              <w:spacing w:after="0"/>
            </w:pPr>
            <w:r>
              <w:rPr>
                <w:rFonts w:ascii="Arial" w:hAnsi="Arial" w:cs="Arial" w:eastAsia="Times New Roman"/>
                <w:sz w:val="22"/>
                <w:szCs w:val="22"/>
              </w:rPr>
              <w:t>TRANSACTION_TYPE, PROJECT_CODE, EFFECTIVE_DATE, CV. Where these are not populated the file will be rejected with reason code FWCV0006.</w:t>
            </w:r>
          </w:p>
          <w:p>
            <w:pPr>
              <w:rPr>
                <w:rFonts w:ascii="Arial" w:hAnsi="Arial" w:cs="Arial" w:eastAsia="Times New Roman"/>
                <w:sz w:val="22"/>
                <w:szCs w:val="22"/>
              </w:rPr>
              <w:numPr>
                <w:ilvl w:val="0"/>
                <w:numId w:val="5"/>
              </w:numPr>
              <w:pStyle w:val="Correla Body Copy"/>
              <w:spacing w:after="0"/>
            </w:pPr>
            <w:r>
              <w:rPr>
                <w:rFonts w:ascii="Arial" w:hAnsi="Arial" w:cs="Arial" w:eastAsia="Times New Roman"/>
                <w:sz w:val="22"/>
                <w:szCs w:val="22"/>
              </w:rPr>
              <w:t>TRANSACTION_TYPE should be populated with ‘C95’</w:t>
            </w:r>
            <w:r>
              <w:rPr>
                <w:rFonts w:ascii="Arial" w:hAnsi="Arial" w:cs="Arial" w:eastAsia="Times New Roman"/>
                <w:sz w:val="22"/>
                <w:szCs w:val="22"/>
              </w:rPr>
              <w:t xml:space="preserve">. If any other value is provided the file will be rejected with reason code FIL00110. </w:t>
            </w:r>
          </w:p>
          <w:p>
            <w:pPr>
              <w:rPr>
                <w:rFonts w:ascii="Arial" w:hAnsi="Arial" w:cs="Arial" w:eastAsia="Times New Roman"/>
                <w:sz w:val="22"/>
                <w:szCs w:val="22"/>
              </w:rPr>
              <w:numPr>
                <w:ilvl w:val="0"/>
                <w:numId w:val="5"/>
              </w:numPr>
              <w:pStyle w:val="Correla Body Copy"/>
              <w:spacing w:after="0"/>
            </w:pPr>
            <w:bookmarkStart w:id="0" w:name="_Hlk103232186"/>
            <w:r>
              <w:rPr>
                <w:rFonts w:ascii="Arial" w:hAnsi="Arial" w:cs="Arial" w:eastAsia="Times New Roman"/>
                <w:sz w:val="22"/>
                <w:szCs w:val="22"/>
              </w:rPr>
              <w:t>PROJECT_CODE should be populated with a valid project code held in UK Link. For the Supply Meter Points being supplied by Girvan this is ‘GIRVBSGN’. If a project code is</w:t>
            </w:r>
            <w:r>
              <w:rPr>
                <w:rFonts w:ascii="Arial" w:hAnsi="Arial" w:cs="Arial" w:eastAsia="Times New Roman"/>
                <w:sz w:val="22"/>
                <w:szCs w:val="22"/>
              </w:rPr>
              <w:t xml:space="preserve"> provided that is not held in UK Link the file will be rejected with reason code BCV00002. </w:t>
            </w:r>
            <w:bookmarkEnd w:id="0"/>
          </w:p>
          <w:p>
            <w:pPr>
              <w:rPr>
                <w:rFonts w:ascii="Arial" w:hAnsi="Arial" w:cs="Arial" w:eastAsia="Times New Roman"/>
                <w:sz w:val="22"/>
                <w:szCs w:val="22"/>
              </w:rPr>
              <w:numPr>
                <w:ilvl w:val="0"/>
                <w:numId w:val="5"/>
              </w:numPr>
              <w:pStyle w:val="Correla Body Copy"/>
              <w:spacing w:after="0"/>
            </w:pPr>
            <w:r>
              <w:rPr>
                <w:rFonts w:ascii="Arial" w:hAnsi="Arial" w:cs="Arial" w:eastAsia="Times New Roman"/>
                <w:sz w:val="22"/>
                <w:szCs w:val="22"/>
              </w:rPr>
              <w:t>GAS_FLOW_DAY validations</w:t>
            </w:r>
          </w:p>
          <w:p>
            <w:pPr>
              <w:rPr>
                <w:rFonts w:ascii="Arial" w:hAnsi="Arial" w:cs="Arial" w:eastAsia="Times New Roman"/>
                <w:sz w:val="22"/>
                <w:szCs w:val="22"/>
              </w:rPr>
              <w:numPr>
                <w:ilvl w:val="1"/>
                <w:numId w:val="6"/>
              </w:numPr>
              <w:pStyle w:val="Correla Body Copy"/>
              <w:spacing w:after="0"/>
            </w:pPr>
            <w:r>
              <w:rPr>
                <w:rFonts w:ascii="Arial" w:hAnsi="Arial" w:cs="Arial" w:eastAsia="Times New Roman"/>
                <w:sz w:val="22"/>
                <w:szCs w:val="22"/>
              </w:rPr>
              <w:t xml:space="preserve">The Gas Flow Day should be within the closeout period </w:t>
            </w:r>
            <w:r>
              <w:rPr>
                <w:rFonts w:ascii="Arial" w:hAnsi="Arial" w:cs="Arial" w:eastAsia="Times New Roman"/>
                <w:sz w:val="22"/>
                <w:szCs w:val="22"/>
              </w:rPr>
              <w:t>(Gas Flow Day +1 to Gas Flow Day +5 at 3pm)</w:t>
            </w:r>
          </w:p>
          <w:p>
            <w:pPr>
              <w:rPr>
                <w:rFonts w:ascii="Arial" w:hAnsi="Arial" w:cs="Arial" w:eastAsia="Times New Roman"/>
                <w:sz w:val="22"/>
                <w:szCs w:val="22"/>
              </w:rPr>
              <w:numPr>
                <w:ilvl w:val="1"/>
                <w:numId w:val="6"/>
              </w:numPr>
              <w:pStyle w:val="Correla Body Copy"/>
              <w:spacing w:after="0"/>
            </w:pPr>
            <w:r>
              <w:rPr>
                <w:rFonts w:ascii="Arial" w:hAnsi="Arial" w:cs="Arial" w:eastAsia="Times New Roman"/>
                <w:sz w:val="22"/>
                <w:szCs w:val="22"/>
              </w:rPr>
              <w:t>The Gas Flow Day is not for the same date as the received date or future dated. For example: a CV for Gas Flow Day 1</w:t>
            </w:r>
            <w:r>
              <w:rPr>
                <w:rFonts w:ascii="Arial" w:hAnsi="Arial" w:cs="Arial" w:eastAsia="Times New Roman"/>
                <w:sz w:val="22"/>
                <w:szCs w:val="22"/>
                <w:vertAlign w:val="superscript"/>
              </w:rPr>
              <w:t>st</w:t>
            </w:r>
            <w:r>
              <w:rPr>
                <w:rFonts w:ascii="Arial" w:hAnsi="Arial" w:cs="Arial" w:eastAsia="Times New Roman"/>
                <w:sz w:val="22"/>
                <w:szCs w:val="22"/>
              </w:rPr>
              <w:t xml:space="preserve"> January cannot be accepted before the </w:t>
            </w:r>
            <w:r>
              <w:rPr>
                <w:rFonts w:ascii="Arial" w:hAnsi="Arial" w:cs="Arial" w:eastAsia="Times New Roman"/>
                <w:sz w:val="22"/>
                <w:szCs w:val="22"/>
              </w:rPr>
              <w:t>2</w:t>
            </w:r>
            <w:r>
              <w:rPr>
                <w:rFonts w:ascii="Arial" w:hAnsi="Arial" w:cs="Arial" w:eastAsia="Times New Roman"/>
                <w:sz w:val="22"/>
                <w:szCs w:val="22"/>
                <w:vertAlign w:val="superscript"/>
              </w:rPr>
              <w:t>nd</w:t>
            </w:r>
            <w:r>
              <w:rPr>
                <w:rFonts w:ascii="Arial" w:hAnsi="Arial" w:cs="Arial" w:eastAsia="Times New Roman"/>
                <w:sz w:val="22"/>
                <w:szCs w:val="22"/>
              </w:rPr>
              <w:t xml:space="preserve"> January </w:t>
            </w:r>
          </w:p>
          <w:p>
            <w:pPr>
              <w:rPr>
                <w:rFonts w:ascii="Arial" w:hAnsi="Arial" w:cs="Arial" w:eastAsia="Times New Roman"/>
                <w:sz w:val="22"/>
                <w:szCs w:val="22"/>
              </w:rPr>
              <w:pStyle w:val="Correla Body Copy"/>
              <w:ind w:left="1080"/>
              <w:spacing w:after="0"/>
            </w:pPr>
            <w:r>
              <w:rPr>
                <w:rFonts w:ascii="Arial" w:hAnsi="Arial" w:cs="Arial" w:eastAsia="Times New Roman"/>
                <w:sz w:val="22"/>
                <w:szCs w:val="22"/>
              </w:rPr>
              <w:t xml:space="preserve">If either of these conditions are not met </w:t>
            </w:r>
            <w:r>
              <w:rPr>
                <w:rFonts w:ascii="Arial" w:hAnsi="Arial" w:cs="Arial" w:eastAsia="Times New Roman"/>
                <w:sz w:val="22"/>
                <w:szCs w:val="22"/>
              </w:rPr>
              <w:t>the file will be rejected with reason code FWCV0007.</w:t>
            </w:r>
          </w:p>
          <w:p>
            <w:pPr>
              <w:rPr>
                <w:rFonts w:ascii="Arial" w:hAnsi="Arial" w:cs="Arial" w:eastAsia="Times New Roman"/>
                <w:sz w:val="22"/>
                <w:szCs w:val="22"/>
              </w:rPr>
              <w:numPr>
                <w:ilvl w:val="0"/>
                <w:numId w:val="5"/>
              </w:numPr>
              <w:pStyle w:val="Correla Body Copy"/>
              <w:spacing w:after="0"/>
            </w:pPr>
            <w:r>
              <w:rPr>
                <w:rFonts w:ascii="Arial" w:hAnsi="Arial" w:cs="Arial" w:eastAsia="Times New Roman"/>
                <w:sz w:val="22"/>
                <w:szCs w:val="22"/>
              </w:rPr>
              <w:t xml:space="preserve">CV should be populated with a value =&gt; 36 and &lt;=43 which includes one decimal place for example a CV of 36.2. If the CV is outside this range the file will be rejected with reason code BCV00003. </w:t>
            </w:r>
          </w:p>
          <w:p>
            <w:pPr>
              <w:rPr>
                <w:rFonts w:ascii="Arial" w:hAnsi="Arial" w:cs="Arial" w:eastAsia="Times New Roman"/>
                <w:sz w:val="22"/>
                <w:szCs w:val="22"/>
              </w:rPr>
              <w:pStyle w:val="Correla Body Copy"/>
              <w:ind w:left="360"/>
              <w:spacing w:after="0"/>
            </w:pPr>
            <w:r>
              <w:rPr>
                <w:b w:val="1"/>
                <w:bCs w:val="1"/>
                <w:rFonts w:ascii="Arial" w:hAnsi="Arial" w:cs="Arial" w:eastAsia="Times New Roman"/>
                <w:sz w:val="22"/>
                <w:szCs w:val="22"/>
              </w:rPr>
              <w:t>Does th</w:t>
            </w:r>
            <w:r>
              <w:rPr>
                <w:b w:val="1"/>
                <w:bCs w:val="1"/>
                <w:rFonts w:ascii="Arial" w:hAnsi="Arial" w:cs="Arial" w:eastAsia="Times New Roman"/>
                <w:sz w:val="22"/>
                <w:szCs w:val="22"/>
              </w:rPr>
              <w:t xml:space="preserve">e range of CV (36-43) meet the needs of </w:t>
            </w:r>
            <w:r>
              <w:rPr>
                <w:b w:val="1"/>
                <w:bCs w:val="1"/>
                <w:rFonts w:ascii="Arial" w:hAnsi="Arial" w:cs="Arial" w:eastAsia="Times New Roman"/>
                <w:i w:val="1"/>
                <w:iCs w:val="1"/>
                <w:sz w:val="22"/>
                <w:szCs w:val="22"/>
              </w:rPr>
              <w:t>any</w:t>
            </w:r>
            <w:r>
              <w:rPr>
                <w:b w:val="1"/>
                <w:bCs w:val="1"/>
                <w:rFonts w:ascii="Arial" w:hAnsi="Arial" w:cs="Arial" w:eastAsia="Times New Roman"/>
                <w:sz w:val="22"/>
                <w:szCs w:val="22"/>
              </w:rPr>
              <w:t xml:space="preserve"> biomethane site? </w:t>
            </w:r>
            <w:r>
              <w:rPr>
                <w:rFonts w:ascii="Arial" w:hAnsi="Arial" w:cs="Arial" w:eastAsia="Times New Roman"/>
                <w:sz w:val="22"/>
                <w:szCs w:val="22"/>
              </w:rPr>
              <w:t>The CV range will be applied to any biomethane site using this solution in future therefore can all DNOs please consider if this range is sufficient and provide any comments within the consultati</w:t>
            </w:r>
            <w:r>
              <w:rPr>
                <w:rFonts w:ascii="Arial" w:hAnsi="Arial" w:cs="Arial" w:eastAsia="Times New Roman"/>
                <w:sz w:val="22"/>
                <w:szCs w:val="22"/>
              </w:rPr>
              <w:t xml:space="preserve">on response. </w:t>
            </w:r>
          </w:p>
          <w:p>
            <w:pPr>
              <w:rPr>
                <w:rFonts w:ascii="Arial" w:hAnsi="Arial" w:cs="Arial" w:eastAsia="Times New Roman"/>
                <w:sz w:val="22"/>
                <w:szCs w:val="22"/>
              </w:rPr>
              <w:pStyle w:val="Correla Body Copy"/>
              <w:spacing w:after="0"/>
            </w:pPr>
          </w:p>
          <w:p>
            <w:pPr>
              <w:rPr>
                <w:rFonts w:ascii="Arial" w:hAnsi="Arial" w:cs="Arial" w:eastAsia="Times New Roman"/>
                <w:sz w:val="22"/>
                <w:szCs w:val="22"/>
              </w:rPr>
              <w:pStyle w:val="Correla Body Copy"/>
              <w:spacing w:after="0"/>
            </w:pPr>
            <w:r>
              <w:rPr>
                <w:rFonts w:ascii="Arial" w:hAnsi="Arial" w:cs="Arial" w:eastAsia="Times New Roman"/>
                <w:sz w:val="22"/>
                <w:szCs w:val="22"/>
              </w:rPr>
              <w:t>Each file, including any that fail validations, will be stored in SAP ISU for auditing purposes and to support downstream processes specified below.</w:t>
            </w:r>
          </w:p>
          <w:p>
            <w:pPr>
              <w:rPr>
                <w:rFonts w:ascii="Arial" w:hAnsi="Arial" w:cs="Arial" w:eastAsia="Times New Roman"/>
                <w:sz w:val="22"/>
                <w:szCs w:val="22"/>
              </w:rPr>
              <w:pStyle w:val="Correla Body Copy"/>
              <w:ind w:left="1080"/>
              <w:spacing w:after="0"/>
            </w:pPr>
          </w:p>
          <w:p>
            <w:pPr>
              <w:rPr>
                <w:b w:val="1"/>
                <w:bCs w:val="1"/>
                <w:rFonts w:cs="Arial"/>
              </w:rPr>
              <w:jc w:val="both"/>
            </w:pPr>
            <w:r>
              <w:rPr>
                <w:b w:val="1"/>
                <w:bCs w:val="1"/>
                <w:rFonts w:cs="Arial"/>
              </w:rPr>
              <w:t>New Outbound CALORIFIC_VALUE_RESPONSE (.CVR) File</w:t>
            </w:r>
          </w:p>
          <w:p>
            <w:pPr>
              <w:rPr>
                <w:b w:val="1"/>
                <w:bCs w:val="1"/>
                <w:rFonts w:cs="Arial"/>
              </w:rPr>
              <w:jc w:val="both"/>
            </w:pPr>
          </w:p>
          <w:p>
            <w:pPr>
              <w:rPr>
                <w:rFonts w:cs="Arial"/>
              </w:rPr>
            </w:pPr>
            <w:r>
              <w:rPr>
                <w:rFonts w:cs="Arial"/>
              </w:rPr>
              <w:t xml:space="preserve">Any rejections will be sent to both SGN </w:t>
            </w:r>
            <w:r>
              <w:rPr>
                <w:rFonts w:cs="Arial"/>
              </w:rPr>
              <w:t xml:space="preserve">and SGNs appointed service provider using a new file format .CVR (CALORIFIC_VALUE_RESPONSE). This file format includes the existing </w:t>
            </w:r>
            <w:r>
              <w:rPr>
                <w:rFonts w:cs="Arial"/>
              </w:rPr>
              <w:t>S72 record. If there is more than one rejection required multiple S72 records will be issued. The .CVR file will be issued u</w:t>
            </w:r>
            <w:r>
              <w:rPr>
                <w:rFonts w:cs="Arial"/>
              </w:rPr>
              <w:t>sing SFTP and MOVEIT.</w:t>
            </w:r>
          </w:p>
          <w:p>
            <w:pPr>
              <w:rPr>
                <w:rFonts w:ascii="Arial" w:hAnsi="Arial" w:cs="Arial" w:eastAsia="Times New Roman"/>
                <w:sz w:val="22"/>
                <w:szCs w:val="22"/>
              </w:rPr>
              <w:pStyle w:val="Correla Body Copy"/>
              <w:ind w:left="1080"/>
              <w:spacing w:after="0"/>
            </w:pPr>
          </w:p>
          <w:p>
            <w:pPr>
              <w:rPr>
                <w:rFonts w:ascii="Arial" w:hAnsi="Arial" w:cs="Arial" w:eastAsia="Times New Roman"/>
                <w:sz w:val="22"/>
                <w:szCs w:val="22"/>
              </w:rPr>
              <w:pStyle w:val="Correla Body Copy"/>
            </w:pPr>
            <w:r>
              <w:rPr>
                <w:rFonts w:ascii="Arial" w:hAnsi="Arial" w:cs="Arial" w:eastAsia="Times New Roman"/>
                <w:sz w:val="22"/>
                <w:szCs w:val="22"/>
              </w:rPr>
              <w:t xml:space="preserve">Where a .CVD file has not been received for any Gas Flow Day within closeout a .CVR file will be issued for a missing CV (reason code BCV00001). This file will be issued each calendar </w:t>
            </w:r>
            <w:r>
              <w:rPr>
                <w:rFonts w:ascii="Arial" w:hAnsi="Arial" w:cs="Arial" w:eastAsia="Times New Roman"/>
                <w:sz w:val="22"/>
                <w:szCs w:val="22"/>
              </w:rPr>
              <w:t>day until either a valid CV is received or until closeout.</w:t>
            </w:r>
          </w:p>
          <w:p>
            <w:pPr>
              <w:rPr>
                <w:rFonts w:ascii="Arial" w:hAnsi="Arial" w:cs="Arial" w:eastAsia="Times New Roman"/>
                <w:sz w:val="22"/>
                <w:szCs w:val="22"/>
              </w:rPr>
              <w:pStyle w:val="Correla Body Copy"/>
            </w:pPr>
            <w:r>
              <w:rPr>
                <w:rFonts w:ascii="Arial" w:hAnsi="Arial" w:cs="Arial" w:eastAsia="Times New Roman"/>
                <w:sz w:val="22"/>
                <w:szCs w:val="22"/>
              </w:rPr>
              <w:t>Where a .CVD file has been rejected and no further valid CV received a .CVR file will be issued for the missing CV from the day after the rejected .CVD file. The file will then be issued each calen</w:t>
            </w:r>
            <w:r>
              <w:rPr>
                <w:rFonts w:ascii="Arial" w:hAnsi="Arial" w:cs="Arial" w:eastAsia="Times New Roman"/>
                <w:sz w:val="22"/>
                <w:szCs w:val="22"/>
              </w:rPr>
              <w:t>dar day until either a valid CV file is received or until closeout.</w:t>
            </w:r>
          </w:p>
          <w:p>
            <w:pPr>
              <w:rPr>
                <w:rFonts w:cs="Arial"/>
              </w:rPr>
            </w:pPr>
            <w:r>
              <w:rPr>
                <w:rFonts w:cs="Arial"/>
              </w:rPr>
              <w:t xml:space="preserve">For completeness there will be no file issued to SGN or SGNs appointed service provider if all validations have passed. </w:t>
            </w:r>
          </w:p>
          <w:p>
            <w:pPr>
              <w:rPr>
                <w:rFonts w:cs="Arial"/>
              </w:rPr>
            </w:pPr>
          </w:p>
          <w:p>
            <w:pPr>
              <w:rPr>
                <w:rFonts w:cs="Arial"/>
              </w:rPr>
            </w:pPr>
            <w:r>
              <w:rPr>
                <w:rFonts w:cs="Arial"/>
              </w:rPr>
              <w:t>The .CVR hierarchy and file format have been attached below</w:t>
            </w:r>
          </w:p>
          <w:p>
            <w:pPr>
              <w:rPr>
                <w:rFonts w:cs="Arial"/>
              </w:rPr>
            </w:pPr>
          </w:p>
          <w:p>
            <w:pPr>
              <w:rPr>
                <w:rFonts w:cs="Arial"/>
              </w:rPr>
            </w:pPr>
            <w:hyperlink r:id="R1df8218bd62c4219">
              <w:r>
                <w:rPr>
                  <w:rStyle w:val="Hyperlink"/>
                  <w:rFonts w:cs="Arial"/>
                </w:rPr>
                <w:t>CVR Hierarchy v1FA</w:t>
              </w:r>
            </w:hyperlink>
          </w:p>
          <w:p>
            <w:pPr>
              <w:rPr>
                <w:rFonts w:cs="Arial"/>
              </w:rPr>
            </w:pPr>
            <w:hyperlink r:id="Rb12d310c86f84981">
              <w:r>
                <w:rPr>
                  <w:rStyle w:val="Hyperlink"/>
                  <w:rFonts w:cs="Arial"/>
                </w:rPr>
                <w:t>CVR CALORIFIC_VALUE_RESPONSE v1FA</w:t>
              </w:r>
            </w:hyperlink>
          </w:p>
          <w:p>
            <w:pPr>
              <w:rPr>
                <w:rFonts w:cs="Arial"/>
              </w:rPr>
              <w:jc w:val="both"/>
            </w:pPr>
          </w:p>
          <w:p>
            <w:pPr>
              <w:rPr>
                <w:rFonts w:cs="Arial"/>
              </w:rPr>
              <w:jc w:val="both"/>
            </w:pPr>
            <w:r>
              <w:rPr>
                <w:rFonts w:cs="Arial"/>
              </w:rPr>
              <w:t xml:space="preserve">    </w:t>
            </w:r>
          </w:p>
          <w:p>
            <w:pPr>
              <w:rPr>
                <w:rFonts w:cs="Arial"/>
              </w:rPr>
              <w:jc w:val="both"/>
            </w:pPr>
          </w:p>
          <w:p>
            <w:pPr>
              <w:rPr>
                <w:rFonts w:cs="Arial"/>
              </w:rPr>
              <w:jc w:val="both"/>
            </w:pPr>
            <w:r>
              <w:rPr>
                <w:rFonts w:cs="Arial"/>
              </w:rPr>
              <w:t>The rejection codes a</w:t>
            </w:r>
            <w:r>
              <w:rPr>
                <w:rFonts w:cs="Arial"/>
              </w:rPr>
              <w:t xml:space="preserve">nd descriptions are </w:t>
            </w:r>
          </w:p>
          <w:p>
            <w:pPr>
              <w:rPr>
                <w:rFonts w:cs="Arial"/>
              </w:rPr>
              <w:jc w:val="both"/>
            </w:pPr>
          </w:p>
          <w:tbl>
            <w:tblPr>
              <w:tblCellMar>
                <w:left w:type="dxa" w:w="0"/>
                <w:top w:type="dxa" w:w="0"/>
                <w:right w:type="dxa" w:w="0"/>
                <w:bottom w:type="dxa" w:w="0"/>
              </w:tblCellMar>
              <w:tblW w:type="auto" w:w="0"/>
              <w:tblLook w:firstColumn="1" w:firstRow="1" w:lastColumn="0" w:lastRow="0" w:noHBand="0" w:noVBand="1"/>
              <w:tblBorders>
                <w:left w:val="single" w:sz="8" w:space="0" w:color="A3A3A3"/>
                <w:top w:val="single" w:sz="8" w:space="0" w:color="A3A3A3"/>
                <w:right w:val="single" w:sz="8" w:space="0" w:color="A3A3A3"/>
                <w:bottom w:val="single" w:sz="8" w:space="0" w:color="A3A3A3"/>
              </w:tblBorders>
            </w:tblPr>
            <w:tblGrid>
              <w:gridCol w:w="1403"/>
              <w:gridCol w:w="3899"/>
              <w:gridCol w:w="3253"/>
            </w:tblGrid>
            <w:tr>
              <w:trPr/>
              <w:tc>
                <w:tcPr>
                  <w:shd w:val="clear" w:fill="B4C7E7"/>
                  <w:tcMar>
                    <w:left w:type="dxa" w:w="80"/>
                    <w:top w:type="dxa" w:w="80"/>
                    <w:right w:type="dxa" w:w="80"/>
                    <w:bottom w:type="dxa" w:w="80"/>
                  </w:tcMar>
                  <w:tcW w:type="dxa" w:w="140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Reason Code</w:t>
                  </w:r>
                </w:p>
              </w:tc>
              <w:tc>
                <w:tcPr>
                  <w:shd w:val="clear" w:fill="B4C7E7"/>
                  <w:tcMar>
                    <w:left w:type="dxa" w:w="80"/>
                    <w:top w:type="dxa" w:w="80"/>
                    <w:right w:type="dxa" w:w="80"/>
                    <w:bottom w:type="dxa" w:w="80"/>
                  </w:tcMar>
                  <w:tcW w:type="dxa" w:w="3899"/>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Rejection Reason Description</w:t>
                  </w:r>
                </w:p>
              </w:tc>
              <w:tc>
                <w:tcPr>
                  <w:shd w:val="clear" w:fill="B4C7E7"/>
                  <w:tcW w:type="dxa" w:w="325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New or Existing Code</w:t>
                  </w:r>
                </w:p>
              </w:tc>
            </w:tr>
            <w:tr>
              <w:trPr/>
              <w:tc>
                <w:tcPr>
                  <w:tcMar>
                    <w:left w:type="dxa" w:w="80"/>
                    <w:top w:type="dxa" w:w="80"/>
                    <w:right w:type="dxa" w:w="80"/>
                    <w:bottom w:type="dxa" w:w="80"/>
                  </w:tcMar>
                  <w:tcW w:type="dxa" w:w="140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BCV00001</w:t>
                  </w:r>
                </w:p>
              </w:tc>
              <w:tc>
                <w:tcPr>
                  <w:tcMar>
                    <w:left w:type="dxa" w:w="80"/>
                    <w:top w:type="dxa" w:w="80"/>
                    <w:right w:type="dxa" w:w="80"/>
                    <w:bottom w:type="dxa" w:w="80"/>
                  </w:tcMar>
                  <w:tcW w:type="dxa" w:w="3899"/>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CV not received for the Gas Flow Day</w:t>
                  </w:r>
                </w:p>
              </w:tc>
              <w:tc>
                <w:tcPr>
                  <w:tcW w:type="dxa" w:w="325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New</w:t>
                  </w:r>
                </w:p>
              </w:tc>
            </w:tr>
            <w:tr>
              <w:trPr/>
              <w:tc>
                <w:tcPr>
                  <w:tcMar>
                    <w:left w:type="dxa" w:w="80"/>
                    <w:top w:type="dxa" w:w="80"/>
                    <w:right w:type="dxa" w:w="80"/>
                    <w:bottom w:type="dxa" w:w="80"/>
                  </w:tcMar>
                  <w:tcW w:type="dxa" w:w="140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BCV00002</w:t>
                  </w:r>
                </w:p>
              </w:tc>
              <w:tc>
                <w:tcPr>
                  <w:tcMar>
                    <w:left w:type="dxa" w:w="80"/>
                    <w:top w:type="dxa" w:w="80"/>
                    <w:right w:type="dxa" w:w="80"/>
                    <w:bottom w:type="dxa" w:w="80"/>
                  </w:tcMar>
                  <w:tcW w:type="dxa" w:w="3899"/>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Invalid Project Name</w:t>
                  </w:r>
                </w:p>
              </w:tc>
              <w:tc>
                <w:tcPr>
                  <w:tcW w:type="dxa" w:w="325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New</w:t>
                  </w:r>
                </w:p>
              </w:tc>
            </w:tr>
            <w:tr>
              <w:trPr/>
              <w:tc>
                <w:tcPr>
                  <w:tcMar>
                    <w:left w:type="dxa" w:w="80"/>
                    <w:top w:type="dxa" w:w="80"/>
                    <w:right w:type="dxa" w:w="80"/>
                    <w:bottom w:type="dxa" w:w="80"/>
                  </w:tcMar>
                  <w:tcW w:type="dxa" w:w="140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BCV00003</w:t>
                  </w:r>
                </w:p>
              </w:tc>
              <w:tc>
                <w:tcPr>
                  <w:tcMar>
                    <w:left w:type="dxa" w:w="80"/>
                    <w:top w:type="dxa" w:w="80"/>
                    <w:right w:type="dxa" w:w="80"/>
                    <w:bottom w:type="dxa" w:w="80"/>
                  </w:tcMar>
                  <w:tcW w:type="dxa" w:w="3899"/>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CV value out of range (36 – 43)</w:t>
                  </w:r>
                </w:p>
              </w:tc>
              <w:tc>
                <w:tcPr>
                  <w:tcW w:type="dxa" w:w="325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New</w:t>
                  </w:r>
                </w:p>
              </w:tc>
            </w:tr>
            <w:tr>
              <w:trPr/>
              <w:tc>
                <w:tcPr>
                  <w:tcMar>
                    <w:left w:type="dxa" w:w="80"/>
                    <w:top w:type="dxa" w:w="80"/>
                    <w:right w:type="dxa" w:w="80"/>
                    <w:bottom w:type="dxa" w:w="80"/>
                  </w:tcMar>
                  <w:tcW w:type="dxa" w:w="140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FWCV0006</w:t>
                  </w:r>
                </w:p>
              </w:tc>
              <w:tc>
                <w:tcPr>
                  <w:tcMar>
                    <w:left w:type="dxa" w:w="80"/>
                    <w:top w:type="dxa" w:w="80"/>
                    <w:right w:type="dxa" w:w="80"/>
                    <w:bottom w:type="dxa" w:w="80"/>
                  </w:tcMar>
                  <w:tcW w:type="dxa" w:w="3899"/>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Mandatory Field is missing</w:t>
                  </w:r>
                </w:p>
              </w:tc>
              <w:tc>
                <w:tcPr>
                  <w:tcW w:type="dxa" w:w="325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Existing – introduced as part of XRN5231 Provision of FWACV Service</w:t>
                  </w:r>
                </w:p>
              </w:tc>
            </w:tr>
            <w:tr>
              <w:trPr/>
              <w:tc>
                <w:tcPr>
                  <w:tcMar>
                    <w:left w:type="dxa" w:w="80"/>
                    <w:top w:type="dxa" w:w="80"/>
                    <w:right w:type="dxa" w:w="80"/>
                    <w:bottom w:type="dxa" w:w="80"/>
                  </w:tcMar>
                  <w:tcW w:type="dxa" w:w="140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FWCV0007</w:t>
                  </w:r>
                </w:p>
              </w:tc>
              <w:tc>
                <w:tcPr>
                  <w:tcMar>
                    <w:left w:type="dxa" w:w="80"/>
                    <w:top w:type="dxa" w:w="80"/>
                    <w:right w:type="dxa" w:w="80"/>
                    <w:bottom w:type="dxa" w:w="80"/>
                  </w:tcMar>
                  <w:tcW w:type="dxa" w:w="3899"/>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Gas day is outside closeout</w:t>
                  </w:r>
                </w:p>
              </w:tc>
              <w:tc>
                <w:tcPr>
                  <w:tcW w:type="dxa" w:w="325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Existing – introduced as part of XRN5231 Provision of FWACV Service</w:t>
                  </w:r>
                </w:p>
              </w:tc>
            </w:tr>
            <w:tr>
              <w:trPr/>
              <w:tc>
                <w:tcPr>
                  <w:tcMar>
                    <w:left w:type="dxa" w:w="80"/>
                    <w:top w:type="dxa" w:w="80"/>
                    <w:right w:type="dxa" w:w="80"/>
                    <w:bottom w:type="dxa" w:w="80"/>
                  </w:tcMar>
                  <w:tcW w:type="dxa" w:w="140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FWCV0008</w:t>
                  </w:r>
                </w:p>
              </w:tc>
              <w:tc>
                <w:tcPr>
                  <w:tcMar>
                    <w:left w:type="dxa" w:w="80"/>
                    <w:top w:type="dxa" w:w="80"/>
                    <w:right w:type="dxa" w:w="80"/>
                    <w:bottom w:type="dxa" w:w="80"/>
                  </w:tcMar>
                  <w:tcW w:type="dxa" w:w="3899"/>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Invalid Header Code</w:t>
                  </w:r>
                </w:p>
              </w:tc>
              <w:tc>
                <w:tcPr>
                  <w:tcW w:type="dxa" w:w="325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 xml:space="preserve">Existing – introduced as </w:t>
                  </w:r>
                  <w:r>
                    <w:rPr>
                      <w:rFonts w:cs="Arial"/>
                      <w:sz w:val="20"/>
                      <w:szCs w:val="20"/>
                    </w:rPr>
                    <w:t>part of XRN5231 Provision of FWACV Service</w:t>
                  </w:r>
                </w:p>
              </w:tc>
            </w:tr>
            <w:tr>
              <w:trPr/>
              <w:tc>
                <w:tcPr>
                  <w:tcMar>
                    <w:left w:type="dxa" w:w="80"/>
                    <w:top w:type="dxa" w:w="80"/>
                    <w:right w:type="dxa" w:w="80"/>
                    <w:bottom w:type="dxa" w:w="80"/>
                  </w:tcMar>
                  <w:tcW w:type="dxa" w:w="140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FWCV0011</w:t>
                  </w:r>
                </w:p>
              </w:tc>
              <w:tc>
                <w:tcPr>
                  <w:tcMar>
                    <w:left w:type="dxa" w:w="80"/>
                    <w:top w:type="dxa" w:w="80"/>
                    <w:right w:type="dxa" w:w="80"/>
                    <w:bottom w:type="dxa" w:w="80"/>
                  </w:tcMar>
                  <w:tcW w:type="dxa" w:w="3899"/>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Invalid Trailer Record</w:t>
                  </w:r>
                </w:p>
              </w:tc>
              <w:tc>
                <w:tcPr>
                  <w:tcW w:type="dxa" w:w="325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Existing – introduced as part of XRN5231 Provision of FWACV Service</w:t>
                  </w:r>
                </w:p>
              </w:tc>
            </w:tr>
            <w:tr>
              <w:trPr/>
              <w:tc>
                <w:tcPr>
                  <w:tcMar>
                    <w:left w:type="dxa" w:w="80"/>
                    <w:top w:type="dxa" w:w="80"/>
                    <w:right w:type="dxa" w:w="80"/>
                    <w:bottom w:type="dxa" w:w="80"/>
                  </w:tcMar>
                  <w:tcW w:type="dxa" w:w="140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FIL00013</w:t>
                  </w:r>
                </w:p>
              </w:tc>
              <w:tc>
                <w:tcPr>
                  <w:tcMar>
                    <w:left w:type="dxa" w:w="80"/>
                    <w:top w:type="dxa" w:w="80"/>
                    <w:right w:type="dxa" w:w="80"/>
                    <w:bottom w:type="dxa" w:w="80"/>
                  </w:tcMar>
                  <w:tcW w:type="dxa" w:w="3899"/>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Organisation Id on the Header cannot be found</w:t>
                  </w:r>
                </w:p>
              </w:tc>
              <w:tc>
                <w:tcPr>
                  <w:tcW w:type="dxa" w:w="325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Existing</w:t>
                  </w:r>
                </w:p>
              </w:tc>
            </w:tr>
            <w:tr>
              <w:trPr/>
              <w:tc>
                <w:tcPr>
                  <w:tcMar>
                    <w:left w:type="dxa" w:w="80"/>
                    <w:top w:type="dxa" w:w="80"/>
                    <w:right w:type="dxa" w:w="80"/>
                    <w:bottom w:type="dxa" w:w="80"/>
                  </w:tcMar>
                  <w:tcW w:type="dxa" w:w="140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FIL00018</w:t>
                  </w:r>
                </w:p>
              </w:tc>
              <w:tc>
                <w:tcPr>
                  <w:tcMar>
                    <w:left w:type="dxa" w:w="80"/>
                    <w:top w:type="dxa" w:w="80"/>
                    <w:right w:type="dxa" w:w="80"/>
                    <w:bottom w:type="dxa" w:w="80"/>
                  </w:tcMar>
                  <w:tcW w:type="dxa" w:w="3899"/>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 xml:space="preserve">Record count in Trailer record </w:t>
                  </w:r>
                  <w:r>
                    <w:rPr>
                      <w:rFonts w:cs="Arial"/>
                      <w:sz w:val="20"/>
                      <w:szCs w:val="20"/>
                    </w:rPr>
                    <w:t>not correct</w:t>
                  </w:r>
                </w:p>
              </w:tc>
              <w:tc>
                <w:tcPr>
                  <w:tcW w:type="dxa" w:w="325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Existing</w:t>
                  </w:r>
                </w:p>
              </w:tc>
            </w:tr>
            <w:tr>
              <w:trPr/>
              <w:tc>
                <w:tcPr>
                  <w:tcMar>
                    <w:left w:type="dxa" w:w="80"/>
                    <w:top w:type="dxa" w:w="80"/>
                    <w:right w:type="dxa" w:w="80"/>
                    <w:bottom w:type="dxa" w:w="80"/>
                  </w:tcMar>
                  <w:tcW w:type="dxa" w:w="140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FIL00110</w:t>
                  </w:r>
                </w:p>
              </w:tc>
              <w:tc>
                <w:tcPr>
                  <w:tcMar>
                    <w:left w:type="dxa" w:w="80"/>
                    <w:top w:type="dxa" w:w="80"/>
                    <w:right w:type="dxa" w:w="80"/>
                    <w:bottom w:type="dxa" w:w="80"/>
                  </w:tcMar>
                  <w:tcW w:type="dxa" w:w="3899"/>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Invalid Transaction type</w:t>
                  </w:r>
                </w:p>
              </w:tc>
              <w:tc>
                <w:tcPr>
                  <w:tcW w:type="dxa" w:w="3253"/>
                  <w:tcBorders>
                    <w:left w:val="single" w:sz="8" w:space="0" w:color="A3A3A3"/>
                    <w:top w:val="single" w:sz="8" w:space="0" w:color="A3A3A3"/>
                    <w:right w:val="single" w:sz="8" w:space="0" w:color="A3A3A3"/>
                    <w:bottom w:val="single" w:sz="8" w:space="0" w:color="A3A3A3"/>
                  </w:tcBorders>
                </w:tcPr>
                <w:p>
                  <w:pPr>
                    <w:rPr>
                      <w:rFonts w:cs="Arial"/>
                      <w:sz w:val="20"/>
                      <w:szCs w:val="20"/>
                    </w:rPr>
                    <w:spacing w:after="0" w:lineRule="auto" w:line="240"/>
                  </w:pPr>
                  <w:r>
                    <w:rPr>
                      <w:rFonts w:cs="Arial"/>
                      <w:sz w:val="20"/>
                      <w:szCs w:val="20"/>
                    </w:rPr>
                    <w:t>Existing</w:t>
                  </w:r>
                </w:p>
              </w:tc>
            </w:tr>
          </w:tbl>
          <w:p>
            <w:pPr>
              <w:rPr>
                <w:rFonts w:cs="Arial"/>
              </w:rPr>
            </w:pPr>
          </w:p>
          <w:p>
            <w:pPr>
              <w:rPr>
                <w:rFonts w:cs="Arial"/>
              </w:rPr>
            </w:pPr>
            <w:r>
              <w:rPr>
                <w:rFonts w:cs="Arial"/>
              </w:rPr>
              <w:t xml:space="preserve">These rejections, including the existing rejections </w:t>
            </w:r>
            <w:r>
              <w:rPr>
                <w:rFonts w:cs="Arial"/>
              </w:rPr>
              <w:t>(mentioned above) introduced as part of XRN5231 have been updated in the GT Rejection Codes and have been attached below</w:t>
            </w:r>
          </w:p>
          <w:p>
            <w:pPr>
              <w:rPr>
                <w:rFonts w:cs="Arial"/>
              </w:rPr>
              <w:jc w:val="both"/>
            </w:pPr>
          </w:p>
          <w:p>
            <w:pPr>
              <w:rPr>
                <w:rFonts w:cs="Arial"/>
              </w:rPr>
              <w:jc w:val="both"/>
            </w:pPr>
            <w:hyperlink r:id="Re9bd91bb50c445c3">
              <w:r>
                <w:rPr>
                  <w:rStyle w:val="Hyperlink"/>
                  <w:rFonts w:cs="Arial"/>
                </w:rPr>
                <w:t>GT Rejection Codes V2FA</w:t>
              </w:r>
            </w:hyperlink>
          </w:p>
          <w:p>
            <w:pPr>
              <w:rPr>
                <w:rFonts w:cs="Arial"/>
              </w:rPr>
              <w:jc w:val="both"/>
            </w:pPr>
          </w:p>
          <w:p>
            <w:pPr>
              <w:rPr>
                <w:b w:val="1"/>
                <w:bCs w:val="1"/>
                <w:rFonts w:cs="Arial"/>
                <w:u w:val="single"/>
              </w:rPr>
              <w:jc w:val="both"/>
            </w:pPr>
            <w:r>
              <w:rPr>
                <w:b w:val="1"/>
                <w:bCs w:val="1"/>
                <w:rFonts w:cs="Arial"/>
                <w:u w:val="single"/>
              </w:rPr>
              <w:t xml:space="preserve">Manually entering a Girvan CV </w:t>
            </w:r>
          </w:p>
          <w:p>
            <w:pPr>
              <w:rPr>
                <w:b w:val="1"/>
                <w:bCs w:val="1"/>
                <w:rFonts w:cs="Arial"/>
                <w:u w:val="single"/>
              </w:rPr>
              <w:jc w:val="both"/>
            </w:pPr>
          </w:p>
          <w:p>
            <w:pPr>
              <w:rPr>
                <w:rFonts w:ascii="Arial" w:hAnsi="Arial" w:cs="Arial" w:eastAsia="Times New Roman"/>
                <w:sz w:val="22"/>
                <w:szCs w:val="22"/>
              </w:rPr>
              <w:pStyle w:val="Correla Body Copy"/>
            </w:pPr>
            <w:r>
              <w:rPr>
                <w:rFonts w:ascii="Arial" w:hAnsi="Arial" w:cs="Arial" w:eastAsia="Times New Roman"/>
                <w:sz w:val="22"/>
                <w:szCs w:val="22"/>
              </w:rPr>
              <w:t>A new screen will be developed in SAP ISU to allow internal</w:t>
            </w:r>
            <w:r>
              <w:rPr>
                <w:b w:val="1"/>
                <w:bCs w:val="1"/>
                <w:rFonts w:ascii="Arial" w:hAnsi="Arial" w:cs="Arial" w:eastAsia="Times New Roman"/>
                <w:sz w:val="22"/>
                <w:szCs w:val="22"/>
              </w:rPr>
              <w:t xml:space="preserve"> </w:t>
            </w:r>
            <w:r>
              <w:rPr>
                <w:rFonts w:ascii="Arial" w:hAnsi="Arial" w:cs="Arial" w:eastAsia="Times New Roman"/>
                <w:sz w:val="22"/>
                <w:szCs w:val="22"/>
              </w:rPr>
              <w:t>authorised users to manually add the Girvan CV in UK Link. This functionality is only intended to be used when it is not possible to receive/process the new inbound</w:t>
            </w:r>
            <w:r>
              <w:rPr>
                <w:rFonts w:ascii="Arial" w:hAnsi="Arial" w:cs="Arial" w:eastAsia="Times New Roman"/>
                <w:sz w:val="22"/>
                <w:szCs w:val="22"/>
              </w:rPr>
              <w:t xml:space="preserve"> .CVD file. SGN will notify the CDSP when they require a CV to be manually entered. </w:t>
            </w:r>
          </w:p>
          <w:p>
            <w:pPr>
              <w:rPr>
                <w:rFonts w:ascii="Arial" w:hAnsi="Arial" w:cs="Arial" w:eastAsia="Times New Roman"/>
                <w:sz w:val="22"/>
                <w:szCs w:val="22"/>
              </w:rPr>
              <w:pStyle w:val="Correla Body Copy"/>
            </w:pPr>
            <w:r>
              <w:rPr>
                <w:rFonts w:ascii="Arial" w:hAnsi="Arial" w:cs="Arial" w:eastAsia="Times New Roman"/>
                <w:sz w:val="22"/>
                <w:szCs w:val="22"/>
              </w:rPr>
              <w:t xml:space="preserve">To enter a CV the following data is required and </w:t>
            </w:r>
            <w:r>
              <w:rPr>
                <w:rFonts w:ascii="Arial" w:hAnsi="Arial" w:cs="Arial" w:eastAsia="Times New Roman"/>
                <w:sz w:val="22"/>
                <w:szCs w:val="22"/>
              </w:rPr>
              <w:t>validated;</w:t>
            </w:r>
            <w:r>
              <w:rPr>
                <w:rFonts w:ascii="Arial" w:hAnsi="Arial" w:cs="Arial" w:eastAsia="Times New Roman"/>
                <w:sz w:val="22"/>
                <w:szCs w:val="22"/>
              </w:rPr>
              <w:t xml:space="preserve"> </w:t>
            </w:r>
          </w:p>
          <w:p>
            <w:pPr>
              <w:rPr>
                <w:rFonts w:ascii="Arial" w:hAnsi="Arial" w:cs="Arial" w:eastAsia="Times New Roman"/>
                <w:sz w:val="22"/>
                <w:szCs w:val="22"/>
              </w:rPr>
              <w:numPr>
                <w:ilvl w:val="0"/>
                <w:numId w:val="5"/>
              </w:numPr>
              <w:pStyle w:val="Correla Body Copy"/>
              <w:spacing w:after="0"/>
            </w:pPr>
            <w:r>
              <w:rPr>
                <w:rFonts w:ascii="Arial" w:hAnsi="Arial" w:cs="Arial" w:eastAsia="Times New Roman"/>
                <w:sz w:val="22"/>
                <w:szCs w:val="22"/>
              </w:rPr>
              <w:t>Project name – should be populated with a valid project code held in UK Link. For the Supply Meter Points bein</w:t>
            </w:r>
            <w:r>
              <w:rPr>
                <w:rFonts w:ascii="Arial" w:hAnsi="Arial" w:cs="Arial" w:eastAsia="Times New Roman"/>
                <w:sz w:val="22"/>
                <w:szCs w:val="22"/>
              </w:rPr>
              <w:t xml:space="preserve">g supplied by Girvan this is ‘GIRVBSGN’. </w:t>
            </w:r>
          </w:p>
          <w:p>
            <w:pPr>
              <w:rPr>
                <w:rFonts w:ascii="Arial" w:hAnsi="Arial" w:cs="Arial" w:eastAsia="Times New Roman"/>
                <w:sz w:val="22"/>
                <w:szCs w:val="22"/>
              </w:rPr>
              <w:numPr>
                <w:ilvl w:val="0"/>
                <w:numId w:val="5"/>
              </w:numPr>
              <w:pStyle w:val="Correla Body Copy"/>
              <w:spacing w:after="0"/>
            </w:pPr>
            <w:r>
              <w:rPr>
                <w:rFonts w:ascii="Arial" w:hAnsi="Arial" w:cs="Arial" w:eastAsia="Times New Roman"/>
                <w:sz w:val="22"/>
                <w:szCs w:val="22"/>
              </w:rPr>
              <w:t xml:space="preserve">Gas Flow Day – this must be within closeout (Gas Flow Day +5) </w:t>
            </w:r>
          </w:p>
          <w:p>
            <w:pPr>
              <w:rPr>
                <w:rFonts w:ascii="Arial" w:hAnsi="Arial" w:cs="Arial" w:eastAsia="Times New Roman"/>
                <w:sz w:val="22"/>
                <w:szCs w:val="22"/>
              </w:rPr>
              <w:numPr>
                <w:ilvl w:val="0"/>
                <w:numId w:val="5"/>
              </w:numPr>
              <w:pStyle w:val="Correla Body Copy"/>
              <w:spacing w:after="0"/>
            </w:pPr>
            <w:r>
              <w:rPr>
                <w:rFonts w:ascii="Arial" w:hAnsi="Arial" w:cs="Arial" w:eastAsia="Times New Roman"/>
                <w:sz w:val="22"/>
                <w:szCs w:val="22"/>
              </w:rPr>
              <w:t>CV - this cannot be entered outside of the range 36-43</w:t>
            </w:r>
          </w:p>
          <w:p>
            <w:pPr>
              <w:rPr>
                <w:rFonts w:ascii="Arial" w:hAnsi="Arial" w:cs="Arial" w:eastAsia="Times New Roman"/>
                <w:sz w:val="22"/>
                <w:szCs w:val="22"/>
              </w:rPr>
              <w:pStyle w:val="Correla Body Copy"/>
            </w:pPr>
          </w:p>
          <w:p>
            <w:pPr>
              <w:rPr>
                <w:rFonts w:ascii="Arial" w:hAnsi="Arial" w:cs="Arial" w:eastAsia="Times New Roman"/>
                <w:sz w:val="22"/>
                <w:szCs w:val="22"/>
              </w:rPr>
              <w:pStyle w:val="Correla Body Copy"/>
            </w:pPr>
            <w:r>
              <w:rPr>
                <w:rFonts w:ascii="Arial" w:hAnsi="Arial" w:cs="Arial" w:eastAsia="Times New Roman"/>
                <w:sz w:val="22"/>
                <w:szCs w:val="22"/>
              </w:rPr>
              <w:t>If any of the above fails validation the user will be presented with an error message and the C</w:t>
            </w:r>
            <w:r>
              <w:rPr>
                <w:rFonts w:ascii="Arial" w:hAnsi="Arial" w:cs="Arial" w:eastAsia="Times New Roman"/>
                <w:sz w:val="22"/>
                <w:szCs w:val="22"/>
              </w:rPr>
              <w:t xml:space="preserve">V will not be saved. </w:t>
            </w:r>
          </w:p>
          <w:p>
            <w:pPr>
              <w:rPr>
                <w:rFonts w:ascii="Arial" w:hAnsi="Arial" w:cs="Arial" w:eastAsia="Times New Roman"/>
                <w:sz w:val="22"/>
                <w:szCs w:val="22"/>
              </w:rPr>
              <w:pStyle w:val="Correla Body Copy"/>
            </w:pPr>
            <w:r>
              <w:rPr>
                <w:rFonts w:ascii="Arial" w:hAnsi="Arial" w:cs="Arial" w:eastAsia="Times New Roman"/>
                <w:sz w:val="22"/>
                <w:szCs w:val="22"/>
              </w:rPr>
              <w:t xml:space="preserve">To note - this functionality is only for internal CDSP users and is not available to SGN or SGNs appointed service provider. </w:t>
            </w:r>
          </w:p>
          <w:p>
            <w:pPr>
              <w:rPr>
                <w:b w:val="1"/>
                <w:bCs w:val="1"/>
                <w:rFonts w:cs="Arial"/>
                <w:u w:val="single"/>
              </w:rPr>
              <w:jc w:val="both"/>
            </w:pPr>
          </w:p>
          <w:p>
            <w:pPr>
              <w:rPr>
                <w:b w:val="1"/>
                <w:bCs w:val="1"/>
                <w:rFonts w:cs="Arial"/>
                <w:u w:val="single"/>
              </w:rPr>
              <w:jc w:val="both"/>
            </w:pPr>
            <w:r>
              <w:rPr>
                <w:b w:val="1"/>
                <w:bCs w:val="1"/>
                <w:rFonts w:cs="Arial"/>
                <w:u w:val="single"/>
              </w:rPr>
              <w:t>Storing the Girvan CV</w:t>
            </w:r>
          </w:p>
          <w:p>
            <w:pPr>
              <w:rPr>
                <w:b w:val="1"/>
                <w:bCs w:val="1"/>
                <w:rFonts w:cs="Arial"/>
                <w:u w:val="single"/>
              </w:rPr>
              <w:jc w:val="both"/>
            </w:pPr>
          </w:p>
          <w:p>
            <w:pPr>
              <w:rPr>
                <w:rFonts w:cs="Arial"/>
              </w:rPr>
            </w:pPr>
            <w:r>
              <w:rPr>
                <w:rFonts w:cs="Arial"/>
              </w:rPr>
              <w:t xml:space="preserve">A CV is required for every Gas Flow Day to allow processes, including daily metered </w:t>
            </w:r>
            <w:r>
              <w:rPr>
                <w:rFonts w:cs="Arial"/>
              </w:rPr>
              <w:t>estimation and energy calculations, to continue without interruption. As these processes can occur prior to us receiving the Girvan CV we will need to use the previous Gas Flow Day CV until we receive a Girvan CV from SGN or SGNs appointed service provider</w:t>
            </w:r>
            <w:r>
              <w:rPr>
                <w:rFonts w:cs="Arial"/>
              </w:rPr>
              <w:t xml:space="preserve">. Once we receive a valid Girvan CV this will replace the previous Gas Flow Day CV that was stored and will update any stored CV for the next Gas Flow Day. </w:t>
            </w:r>
          </w:p>
          <w:p>
            <w:pPr>
              <w:rPr>
                <w:rFonts w:cs="Arial"/>
              </w:rPr>
            </w:pPr>
          </w:p>
          <w:p>
            <w:pPr>
              <w:rPr>
                <w:rFonts w:cs="Arial"/>
              </w:rPr>
            </w:pPr>
            <w:r>
              <w:rPr>
                <w:rFonts w:cs="Arial"/>
              </w:rPr>
              <w:t>Once we have received a valid Girvan CV any further CVs received for that Gas Flow Day, within clo</w:t>
            </w:r>
            <w:r>
              <w:rPr>
                <w:rFonts w:cs="Arial"/>
              </w:rPr>
              <w:t xml:space="preserve">seout, will be treated as the latest value and will override the value that was previously stored. If multiple CVs are received for the same Gas Flow Day, the latest Girvan CV received will be treated as the latest value. </w:t>
            </w:r>
          </w:p>
          <w:p>
            <w:pPr>
              <w:rPr>
                <w:rFonts w:cs="Arial"/>
              </w:rPr>
            </w:pPr>
          </w:p>
          <w:p>
            <w:pPr>
              <w:rPr>
                <w:rFonts w:cs="Arial"/>
              </w:rPr>
            </w:pPr>
            <w:r>
              <w:rPr>
                <w:rFonts w:cs="Arial"/>
              </w:rPr>
              <w:t>An example of storing the previo</w:t>
            </w:r>
            <w:r>
              <w:rPr>
                <w:rFonts w:cs="Arial"/>
              </w:rPr>
              <w:t>us Gas Flow Day CV is below:</w:t>
            </w:r>
          </w:p>
          <w:p>
            <w:pPr>
              <w:rPr>
                <w:rFonts w:cs="Arial"/>
              </w:rPr>
            </w:pPr>
            <w:r>
              <w:rPr>
                <w:rFonts w:cs="Arial"/>
              </w:rPr>
              <mc:AlternateContent>
                <mc:Choice Requires="wps">
                  <w:drawing>
                    <wp:inline>
                      <wp:extent cx="4368799" cy="1863635"/>
                      <wp:docPr id="5" name="drawingObject5"/>
                      <wp:cNvGraphicFramePr/>
                      <a:graphic>
                        <a:graphicData uri="http://schemas.openxmlformats.org/drawingml/2006/picture">
                          <pic:pic>
                            <pic:nvPicPr>
                              <pic:cNvPr id="6" name="Picture 6"/>
                              <pic:cNvPicPr/>
                            </pic:nvPicPr>
                            <pic:blipFill>
                              <a:blip r:embed="R1b4df3ef00664183"/>
                              <a:stretch/>
                            </pic:blipFill>
                            <pic:spPr>
                              <a:xfrm rot="0">
                                <a:ext cx="4368799" cy="1863635"/>
                              </a:xfrm>
                              <a:prstGeom prst="rect">
                                <a:avLst/>
                              </a:prstGeom>
                              <a:noFill/>
                            </pic:spPr>
                          </pic:pic>
                        </a:graphicData>
                      </a:graphic>
                    </wp:inline>
                  </w:drawing>
                </mc:Choice>
                <mc:Fallback/>
              </mc:AlternateContent>
            </w:r>
          </w:p>
          <w:p>
            <w:pPr>
              <w:rPr>
                <w:rFonts w:cs="Arial"/>
              </w:rPr>
              <w:ind w:left="720"/>
            </w:pPr>
          </w:p>
          <w:p>
            <w:pPr>
              <w:rPr>
                <w:rFonts w:cs="Arial"/>
              </w:rPr>
            </w:pPr>
            <w:r>
              <w:rPr>
                <w:rFonts w:cs="Arial"/>
              </w:rPr>
              <w:t>An example of storing the previous Gas Flow Day CV where an actual CV is not received until Gas Flow Day +2 is below:</w:t>
            </w:r>
          </w:p>
          <w:p>
            <w:pPr>
              <w:rPr>
                <w:b w:val="1"/>
                <w:bCs w:val="1"/>
                <w:rFonts w:cs="Arial"/>
                <w:u w:val="single"/>
              </w:rPr>
              <w:jc w:val="both"/>
            </w:pPr>
            <w:r>
              <w:t xml:space="preserve"> </w:t>
            </w:r>
            <w:r>
              <mc:AlternateContent>
                <mc:Choice Requires="wps">
                  <w:drawing>
                    <wp:inline>
                      <wp:extent cx="5836285" cy="2043430"/>
                      <wp:docPr id="7" name="drawingObject7"/>
                      <wp:cNvGraphicFramePr/>
                      <a:graphic>
                        <a:graphicData uri="http://schemas.openxmlformats.org/drawingml/2006/picture">
                          <pic:pic>
                            <pic:nvPicPr>
                              <pic:cNvPr id="8" name="Picture 8"/>
                              <pic:cNvPicPr/>
                            </pic:nvPicPr>
                            <pic:blipFill>
                              <a:blip r:embed="Rcce74a36912145af"/>
                              <a:stretch/>
                            </pic:blipFill>
                            <pic:spPr>
                              <a:xfrm rot="0">
                                <a:ext cx="5836285" cy="2043430"/>
                              </a:xfrm>
                              <a:custGeom>
                                <a:avLst/>
                                <a:rect l="0" t="0" r="0" b="0"/>
                                <a:pathLst>
                                  <a:path w="274320000" h="274320000">
                                    <a:moveTo>
                                      <a:pt x="0" y="0"/>
                                    </a:moveTo>
                                    <a:lnTo>
                                      <a:pt x="0" y="274320000"/>
                                    </a:lnTo>
                                    <a:lnTo>
                                      <a:pt x="274320000" y="274320000"/>
                                    </a:lnTo>
                                    <a:lnTo>
                                      <a:pt x="274320000" y="0"/>
                                    </a:lnTo>
                                    <a:close/>
                                  </a:path>
                                </a:pathLst>
                              </a:custGeom>
                              <a:noFill/>
                            </pic:spPr>
                          </pic:pic>
                        </a:graphicData>
                      </a:graphic>
                    </wp:inline>
                  </w:drawing>
                </mc:Choice>
                <mc:Fallback/>
              </mc:AlternateContent>
            </w:r>
          </w:p>
          <w:p>
            <w:pPr>
              <w:rPr>
                <w:b w:val="1"/>
                <w:bCs w:val="1"/>
                <w:rFonts w:cs="Arial"/>
                <w:u w:val="single"/>
              </w:rPr>
              <w:jc w:val="both"/>
            </w:pPr>
          </w:p>
          <w:p>
            <w:pPr>
              <w:rPr>
                <w:rFonts w:cs="Arial"/>
              </w:rPr>
            </w:pPr>
          </w:p>
          <w:p>
            <w:pPr>
              <w:rPr>
                <w:rFonts w:cs="Arial"/>
              </w:rPr>
            </w:pPr>
          </w:p>
          <w:p>
            <w:pPr>
              <w:rPr>
                <w:rFonts w:cs="Arial"/>
              </w:rPr>
            </w:pPr>
          </w:p>
          <w:p>
            <w:pPr>
              <w:rPr>
                <w:rFonts w:cs="Arial"/>
              </w:rPr>
            </w:pPr>
            <w:r>
              <w:rPr>
                <w:rFonts w:cs="Arial"/>
              </w:rPr>
              <w:t xml:space="preserve">For the avoidance of doubt if an actual CV is not received within Closeout the previous day CV will remain. This applies if the CV is received on Gas Day +5 after 3pm. </w:t>
            </w:r>
          </w:p>
          <w:p>
            <w:pPr>
              <w:rPr>
                <w:b w:val="1"/>
                <w:bCs w:val="1"/>
                <w:rFonts w:cs="Arial"/>
                <w:u w:val="single"/>
              </w:rPr>
              <w:jc w:val="both"/>
            </w:pPr>
          </w:p>
          <w:p>
            <w:pPr>
              <w:rPr>
                <w:b w:val="1"/>
                <w:bCs w:val="1"/>
                <w:rFonts w:cs="Arial"/>
                <w:u w:val="single"/>
              </w:rPr>
              <w:jc w:val="both"/>
            </w:pPr>
            <w:r>
              <mc:AlternateContent>
                <mc:Choice Requires="wps">
                  <w:drawing>
                    <wp:inline>
                      <wp:extent cx="5605780" cy="2011680"/>
                      <wp:docPr id="9" name="drawingObject9"/>
                      <wp:cNvGraphicFramePr/>
                      <a:graphic>
                        <a:graphicData uri="http://schemas.openxmlformats.org/drawingml/2006/picture">
                          <pic:pic>
                            <pic:nvPicPr>
                              <pic:cNvPr id="10" name="Picture 10"/>
                              <pic:cNvPicPr/>
                            </pic:nvPicPr>
                            <pic:blipFill>
                              <a:blip r:embed="R9619415ddeea4524"/>
                              <a:stretch/>
                            </pic:blipFill>
                            <pic:spPr>
                              <a:xfrm rot="0">
                                <a:ext cx="5605780" cy="2011680"/>
                              </a:xfrm>
                              <a:custGeom>
                                <a:avLst/>
                                <a:rect l="0" t="0" r="0" b="0"/>
                                <a:pathLst>
                                  <a:path w="274320000" h="274320000">
                                    <a:moveTo>
                                      <a:pt x="0" y="0"/>
                                    </a:moveTo>
                                    <a:lnTo>
                                      <a:pt x="0" y="274320000"/>
                                    </a:lnTo>
                                    <a:lnTo>
                                      <a:pt x="274320000" y="274320000"/>
                                    </a:lnTo>
                                    <a:lnTo>
                                      <a:pt x="274320000" y="0"/>
                                    </a:lnTo>
                                    <a:close/>
                                  </a:path>
                                </a:pathLst>
                              </a:custGeom>
                              <a:noFill/>
                            </pic:spPr>
                          </pic:pic>
                        </a:graphicData>
                      </a:graphic>
                    </wp:inline>
                  </w:drawing>
                </mc:Choice>
                <mc:Fallback/>
              </mc:AlternateContent>
            </w:r>
          </w:p>
          <w:p>
            <w:pPr>
              <w:rPr>
                <w:b w:val="1"/>
                <w:bCs w:val="1"/>
                <w:rFonts w:cs="Arial"/>
                <w:u w:val="single"/>
              </w:rPr>
              <w:jc w:val="both"/>
            </w:pPr>
          </w:p>
          <w:p>
            <w:pPr>
              <w:rPr>
                <w:rFonts w:cs="Arial"/>
                <w:u w:val="single"/>
              </w:rPr>
              <w:jc w:val="both"/>
            </w:pPr>
            <w:r>
              <w:rPr>
                <w:rFonts w:cs="Arial"/>
                <w:u w:val="single"/>
              </w:rPr>
              <w:t>Transitional Arrangements</w:t>
            </w:r>
          </w:p>
          <w:p>
            <w:pPr>
              <w:rPr>
                <w:rFonts w:cs="Arial"/>
                <w:u w:val="single"/>
              </w:rPr>
              <w:jc w:val="both"/>
            </w:pPr>
          </w:p>
          <w:p>
            <w:pPr>
              <w:rPr>
                <w:rFonts w:cs="Arial"/>
              </w:rPr>
              <w:jc w:val="both"/>
            </w:pPr>
            <w:r>
              <w:rPr>
                <w:rFonts w:cs="Arial"/>
              </w:rPr>
              <w:t>When this change goes live a CV will be required to ensu</w:t>
            </w:r>
            <w:r>
              <w:rPr>
                <w:rFonts w:cs="Arial"/>
              </w:rPr>
              <w:t>re processes are not interrupted. The CV which will be stored will be the previous Gas Flow Day FWACV for Scotland. Once we receive a valid Girvan CV this will replace the previous Gas Flow Day FWACV.</w:t>
            </w:r>
          </w:p>
          <w:p>
            <w:pPr>
              <w:rPr>
                <w:b w:val="1"/>
                <w:bCs w:val="1"/>
                <w:rFonts w:cs="Arial"/>
                <w:u w:val="single"/>
              </w:rPr>
              <w:jc w:val="both"/>
            </w:pPr>
          </w:p>
          <w:p>
            <w:pPr>
              <w:rPr>
                <w:b w:val="1"/>
                <w:bCs w:val="1"/>
                <w:rFonts w:cs="Arial"/>
                <w:u w:val="single"/>
              </w:rPr>
              <w:jc w:val="both"/>
            </w:pPr>
          </w:p>
          <w:p>
            <w:pPr>
              <w:rPr>
                <w:b w:val="1"/>
                <w:bCs w:val="1"/>
                <w:rFonts w:cs="Arial"/>
                <w:u w:val="single"/>
              </w:rPr>
              <w:jc w:val="both"/>
            </w:pPr>
            <w:r>
              <w:rPr>
                <w:b w:val="1"/>
                <w:bCs w:val="1"/>
                <w:rFonts w:cs="Arial"/>
                <w:u w:val="single"/>
              </w:rPr>
              <w:t>Providing Girvan CV to Shippers</w:t>
            </w:r>
          </w:p>
          <w:p>
            <w:pPr>
              <w:rPr>
                <w:b w:val="1"/>
                <w:bCs w:val="1"/>
                <w:rFonts w:cs="Arial"/>
                <w:u w:val="single"/>
              </w:rPr>
              <w:jc w:val="both"/>
            </w:pPr>
          </w:p>
          <w:p>
            <w:pPr>
              <w:rPr>
                <w:rFonts w:cs="Arial"/>
              </w:rPr>
            </w:pPr>
            <w:r>
              <w:rPr>
                <w:rFonts w:cs="Arial"/>
              </w:rPr>
              <w:t>To enable the correc</w:t>
            </w:r>
            <w:r>
              <w:rPr>
                <w:rFonts w:cs="Arial"/>
              </w:rPr>
              <w:t>t calculation of energy the Registered Shipper/s and Suppliers of the Supply Meter Points will need to ensure they use the Girvan CV instead of the FWACV.</w:t>
            </w:r>
          </w:p>
          <w:p>
            <w:pPr>
              <w:rPr>
                <w:rFonts w:cs="Arial"/>
              </w:rPr>
            </w:pPr>
          </w:p>
          <w:p>
            <w:pPr/>
            <w:r>
              <w:rPr>
                <w:rFonts w:cs="Arial"/>
              </w:rPr>
              <w:t>A new outbound file .CVN (CALORIF_VALUE_NOTIF) will be issued to Shippers every calendar day, throug</w:t>
            </w:r>
            <w:r>
              <w:rPr>
                <w:rFonts w:cs="Arial"/>
              </w:rPr>
              <w:t>h IX, which will contain the Girvan CV, identified via the project name GIRVBSGN, which should be used in any energy calculations. Please note that for any future biomethane plant using this solution, with their own project name, would also be provided wit</w:t>
            </w:r>
            <w:r>
              <w:rPr>
                <w:rFonts w:cs="Arial"/>
              </w:rPr>
              <w:t>hin this file.</w:t>
            </w:r>
          </w:p>
          <w:p>
            <w:pPr>
              <w:rPr>
                <w:rFonts w:cs="Arial"/>
              </w:rPr>
            </w:pPr>
          </w:p>
          <w:p>
            <w:pPr/>
            <w:r>
              <w:rPr>
                <w:rFonts w:cs="Arial"/>
              </w:rPr>
              <w:t xml:space="preserve">The .CVN file will be issued every calendar day at 11am. This will contain the Girvan CV for the previous day (the Gas Flow Day) and </w:t>
            </w:r>
            <w:r>
              <w:t xml:space="preserve">any amended CVs, within </w:t>
            </w:r>
            <w:r>
              <w:t>closeout, since</w:t>
            </w:r>
            <w:r>
              <w:t xml:space="preserve"> the </w:t>
            </w:r>
            <w:r>
              <w:t xml:space="preserve">file was last issued. At </w:t>
            </w:r>
            <w:r>
              <w:rPr>
                <w:rFonts w:cs="Arial"/>
              </w:rPr>
              <w:t>4pm</w:t>
            </w:r>
            <w:r>
              <w:rPr>
                <w:rFonts w:cs="Arial"/>
              </w:rPr>
              <w:t xml:space="preserve"> every calendar day another .CVN file will be issued with </w:t>
            </w:r>
            <w:r>
              <w:t xml:space="preserve">any amended CVs, within closeout, since the last file was issued. </w:t>
            </w:r>
          </w:p>
          <w:p>
            <w:pPr/>
          </w:p>
          <w:p>
            <w:pPr/>
            <w:r>
              <w:t xml:space="preserve">For completeness if there has not been any amended CVs since the .CVN file issued at 11am there will </w:t>
            </w:r>
            <w:r>
              <w:rPr>
                <w:u w:val="single"/>
              </w:rPr>
              <w:t>not</w:t>
            </w:r>
            <w:r>
              <w:t xml:space="preserve"> be a file issued </w:t>
            </w:r>
            <w:r>
              <w:t xml:space="preserve">at 4pm. </w:t>
            </w:r>
          </w:p>
          <w:p>
            <w:pPr>
              <w:rPr>
                <w:rFonts w:cs="Arial"/>
              </w:rPr>
            </w:pPr>
          </w:p>
          <w:p>
            <w:pPr>
              <w:rPr>
                <w:rFonts w:cs="Arial"/>
              </w:rPr>
            </w:pPr>
            <w:r>
              <w:rPr>
                <w:rFonts w:cs="Arial"/>
              </w:rPr>
              <w:t>Contained within the new .CVN file is a CV_STATUS – these values will be populated as follows</w:t>
            </w:r>
          </w:p>
          <w:p>
            <w:pPr>
              <w:rPr>
                <w:rFonts w:cs="Arial"/>
              </w:rPr>
              <w:jc w:val="both"/>
              <w:ind w:left="720"/>
            </w:pPr>
            <w:r>
              <w:rPr>
                <w:rFonts w:cs="Arial"/>
              </w:rPr>
              <w:br w:type="textWrapping"/>
            </w:r>
            <w:r>
              <w:rPr>
                <w:b w:val="1"/>
                <w:bCs w:val="1"/>
                <w:rFonts w:cs="Arial"/>
              </w:rPr>
              <w:t>ACT</w:t>
            </w:r>
            <w:r>
              <w:rPr>
                <w:rFonts w:cs="Arial"/>
              </w:rPr>
              <w:t xml:space="preserve"> – This will be populated when an actual CV has been received (this includes when a previous Gas Flow Day CV (a status of EST) has been replaced wit</w:t>
            </w:r>
            <w:r>
              <w:rPr>
                <w:rFonts w:cs="Arial"/>
              </w:rPr>
              <w:t>h an actual CV since the last .CVN file was issued)</w:t>
            </w:r>
          </w:p>
          <w:p>
            <w:pPr>
              <w:rPr>
                <w:rFonts w:cs="Arial"/>
              </w:rPr>
              <w:jc w:val="both"/>
              <w:ind w:left="720"/>
            </w:pPr>
            <w:r>
              <w:rPr>
                <w:b w:val="1"/>
                <w:bCs w:val="1"/>
                <w:rFonts w:cs="Arial"/>
              </w:rPr>
              <w:t>COR</w:t>
            </w:r>
            <w:r>
              <w:rPr>
                <w:rFonts w:cs="Arial"/>
              </w:rPr>
              <w:t xml:space="preserve"> – This will be populated when an actual CV has been updated, since the last .CVN file was issued, within closeout </w:t>
            </w:r>
          </w:p>
          <w:p>
            <w:pPr>
              <w:rPr>
                <w:rFonts w:cs="Arial"/>
              </w:rPr>
              <w:jc w:val="both"/>
              <w:ind w:left="720"/>
            </w:pPr>
            <w:r>
              <w:rPr>
                <w:b w:val="1"/>
                <w:bCs w:val="1"/>
                <w:rFonts w:cs="Arial"/>
              </w:rPr>
              <w:t>EST</w:t>
            </w:r>
            <w:r>
              <w:rPr>
                <w:rFonts w:cs="Arial"/>
              </w:rPr>
              <w:t xml:space="preserve"> – This will be populated when the previous Gas Flow Day CV is being used</w:t>
            </w:r>
          </w:p>
          <w:p>
            <w:pPr>
              <w:rPr>
                <w:rFonts w:cs="Arial"/>
              </w:rPr>
              <w:jc w:val="both"/>
            </w:pPr>
          </w:p>
          <w:p>
            <w:pPr>
              <w:rPr>
                <w:rFonts w:cs="Arial"/>
              </w:rPr>
              <w:jc w:val="both"/>
            </w:pPr>
            <w:r>
              <w:rPr>
                <w:rFonts w:cs="Arial"/>
              </w:rPr>
              <w:t>The .CV</w:t>
            </w:r>
            <w:r>
              <w:rPr>
                <w:rFonts w:cs="Arial"/>
              </w:rPr>
              <w:t xml:space="preserve">N hierarchy and file format have been attached below </w:t>
            </w:r>
          </w:p>
          <w:p>
            <w:pPr>
              <w:rPr>
                <w:rFonts w:cs="Arial"/>
              </w:rPr>
              <w:jc w:val="both"/>
            </w:pPr>
          </w:p>
          <w:p>
            <w:pPr>
              <w:rPr>
                <w:rFonts w:cs="Arial"/>
              </w:rPr>
              <w:jc w:val="both"/>
            </w:pPr>
            <w:hyperlink r:id="R2922f8282365434d">
              <w:r>
                <w:rPr>
                  <w:rStyle w:val="Hyperlink"/>
                  <w:rFonts w:cs="Arial"/>
                </w:rPr>
                <w:t>CVN Hierarchy v1FA</w:t>
              </w:r>
            </w:hyperlink>
          </w:p>
          <w:p>
            <w:pPr>
              <w:rPr>
                <w:rFonts w:cs="Arial"/>
              </w:rPr>
              <w:jc w:val="both"/>
            </w:pPr>
            <w:hyperlink r:id="Re79c8768c3c64e91">
              <w:r>
                <w:rPr>
                  <w:rStyle w:val="Hyperlink"/>
                  <w:rFonts w:cs="Arial"/>
                </w:rPr>
                <w:t>CVN C</w:t>
              </w:r>
              <w:r>
                <w:rPr>
                  <w:rStyle w:val="Hyperlink"/>
                  <w:rFonts w:cs="Arial"/>
                </w:rPr>
                <w:t>ALORIFIC_VALUE_NOTIF v1FA</w:t>
              </w:r>
            </w:hyperlink>
          </w:p>
          <w:p>
            <w:pPr>
              <w:rPr>
                <w:rFonts w:cs="Arial"/>
              </w:rPr>
              <w:jc w:val="both"/>
            </w:pPr>
          </w:p>
          <w:p>
            <w:pPr>
              <w:rPr>
                <w:rFonts w:cs="Arial"/>
              </w:rPr>
              <w:jc w:val="both"/>
            </w:pPr>
            <w:r>
              <w:rPr>
                <w:rFonts w:cs="Arial"/>
              </w:rPr>
              <w:t xml:space="preserve">  </w:t>
            </w:r>
          </w:p>
          <w:p>
            <w:pPr>
              <w:rPr>
                <w:rFonts w:cs="Arial"/>
              </w:rPr>
              <w:jc w:val="both"/>
            </w:pPr>
            <w:r>
              <w:rPr>
                <w:rFonts w:cs="Arial"/>
              </w:rPr>
              <w:t xml:space="preserve">For the avoidance of doubt the .CVN file is issued in addition to the SC9 file which contains the FWACV values. There are no changes to the SC9 file or processes as part of XRN4900. </w:t>
            </w:r>
          </w:p>
          <w:p>
            <w:pPr>
              <w:rPr>
                <w:rFonts w:cs="Arial"/>
              </w:rPr>
              <w:jc w:val="both"/>
            </w:pPr>
          </w:p>
          <w:p>
            <w:pPr>
              <w:rPr>
                <w:rFonts w:cs="Arial"/>
              </w:rPr>
            </w:pPr>
            <w:r>
              <w:rPr>
                <w:b w:val="1"/>
                <w:bCs w:val="1"/>
                <w:rFonts w:cs="Arial"/>
              </w:rPr>
              <w:t>Do Shippers that are not the registered Sh</w:t>
            </w:r>
            <w:r>
              <w:rPr>
                <w:b w:val="1"/>
                <w:bCs w:val="1"/>
                <w:rFonts w:cs="Arial"/>
              </w:rPr>
              <w:t>ipper need to receive this daily .CVN file?</w:t>
            </w:r>
            <w:r>
              <w:rPr>
                <w:rFonts w:cs="Arial"/>
              </w:rPr>
              <w:t xml:space="preserve"> There is no restriction on a Supply Meter Point from changing Shipper and/or Suppliers therefore we have considered that the Girvan CV should be issued to ALL shippers, not just to the registered Shippers, to ens</w:t>
            </w:r>
            <w:r>
              <w:rPr>
                <w:rFonts w:cs="Arial"/>
              </w:rPr>
              <w:t xml:space="preserve">ure that Shippers are able to correctly calculate energy using the Girvan CV should they take ownership of an impacted Supply Meter Point. The alternative approach would be to issue the .CVN file only to the registered Shippers – the impacted Supply Meter </w:t>
            </w:r>
            <w:r>
              <w:rPr>
                <w:rFonts w:cs="Arial"/>
              </w:rPr>
              <w:t>Points will be included in the file however it will only be issued to Shippers once they are the live Shipper.</w:t>
            </w:r>
          </w:p>
          <w:p>
            <w:pPr>
              <w:rPr>
                <w:rFonts w:cs="Arial"/>
              </w:rPr>
            </w:pPr>
            <w:r>
              <w:rPr>
                <w:rFonts w:cs="Arial"/>
              </w:rPr>
              <w:t xml:space="preserve">Shippers are encouraged to provide comments on this approach within their consultation response. </w:t>
            </w:r>
          </w:p>
          <w:p>
            <w:pPr>
              <w:rPr>
                <w:rFonts w:cs="Arial"/>
              </w:rPr>
            </w:pPr>
          </w:p>
          <w:p>
            <w:pPr>
              <w:rPr>
                <w:b w:val="1"/>
                <w:bCs w:val="1"/>
                <w:rFonts w:cs="Arial"/>
              </w:rPr>
            </w:pPr>
            <w:r>
              <w:rPr>
                <w:b w:val="1"/>
                <w:bCs w:val="1"/>
                <w:rFonts w:cs="Arial"/>
              </w:rPr>
              <w:t>Do Shippers and Suppliers need to obtain the C</w:t>
            </w:r>
            <w:r>
              <w:rPr>
                <w:b w:val="1"/>
                <w:bCs w:val="1"/>
                <w:rFonts w:cs="Arial"/>
              </w:rPr>
              <w:t xml:space="preserve">V through a different mechanism  other than the new .CVN file? </w:t>
            </w:r>
          </w:p>
          <w:p>
            <w:pPr>
              <w:rPr>
                <w:rFonts w:cs="Arial"/>
              </w:rPr>
            </w:pPr>
            <w:r>
              <w:rPr>
                <w:rFonts w:cs="Arial"/>
              </w:rPr>
              <w:t>Suppliers must also use the Girvan CV when calculating energy especially end consumer charges. Currently Suppliers can obtain the FWACV through National Grids website (MIPI) or via their Shipp</w:t>
            </w:r>
            <w:r>
              <w:rPr>
                <w:rFonts w:cs="Arial"/>
              </w:rPr>
              <w:t>er/s (Shippers share the FWACV data, which is issued to them via the .SC9 file, with Suppliers (as the .SC9 file is only issued to Shippers)). As the biomethane CV will not follow the same process as the FWACV the CV will only be available via the new .CVN</w:t>
            </w:r>
            <w:r>
              <w:rPr>
                <w:rFonts w:cs="Arial"/>
              </w:rPr>
              <w:t xml:space="preserve"> file and therefore Shippers would be expected to share the Girvan CV with their Suppliers. </w:t>
            </w:r>
          </w:p>
          <w:p>
            <w:pPr>
              <w:rPr>
                <w:rFonts w:cs="Arial"/>
              </w:rPr>
            </w:pPr>
          </w:p>
          <w:p>
            <w:pPr>
              <w:rPr>
                <w:rFonts w:cs="Arial"/>
              </w:rPr>
            </w:pPr>
            <w:r>
              <w:rPr>
                <w:rFonts w:cs="Arial"/>
              </w:rPr>
              <w:t>Please note that only one solution would be delivered therefore if the CV needs to be available online (as an example) for Suppliers to pull the data, Shippers wo</w:t>
            </w:r>
            <w:r>
              <w:rPr>
                <w:rFonts w:cs="Arial"/>
              </w:rPr>
              <w:t xml:space="preserve">uld also be required to obtain the CV in the same way and the .CVN file would not be developed. </w:t>
            </w:r>
          </w:p>
          <w:p>
            <w:pPr>
              <w:rPr>
                <w:rFonts w:cs="Arial"/>
              </w:rPr>
            </w:pPr>
            <w:r>
              <w:rPr>
                <w:rFonts w:cs="Arial"/>
              </w:rPr>
              <w:t xml:space="preserve">Shippers are encouraged to provide comments on this approach within their consultation response. </w:t>
            </w:r>
          </w:p>
          <w:p>
            <w:pPr>
              <w:rPr>
                <w:rFonts w:cs="Arial"/>
              </w:rPr>
            </w:pPr>
          </w:p>
          <w:p>
            <w:pPr>
              <w:rPr>
                <w:rFonts w:cs="Arial"/>
                <w:u w:val="single"/>
              </w:rPr>
              <w:jc w:val="both"/>
            </w:pPr>
            <w:r>
              <w:rPr>
                <w:rFonts w:cs="Arial"/>
                <w:u w:val="single"/>
              </w:rPr>
              <w:t>Transitional Arrangements</w:t>
            </w:r>
          </w:p>
          <w:p>
            <w:pPr>
              <w:rPr>
                <w:rFonts w:cs="Arial"/>
                <w:u w:val="single"/>
              </w:rPr>
              <w:jc w:val="both"/>
            </w:pPr>
          </w:p>
          <w:p>
            <w:pPr>
              <w:rPr>
                <w:rFonts w:cs="Arial"/>
              </w:rPr>
              <w:jc w:val="both"/>
            </w:pPr>
            <w:r>
              <w:rPr>
                <w:rFonts w:cs="Arial"/>
              </w:rPr>
              <w:t xml:space="preserve">On the day that this change goes live, there will be no .CVN file issued as the Supply Meter Points will be using the FWACV on the Gas Flow Day. The first issue of the .CVN file will be on the go live date +1 calendar day. </w:t>
            </w:r>
          </w:p>
          <w:p>
            <w:pPr>
              <w:rPr>
                <w:rFonts w:cs="Arial"/>
              </w:rPr>
              <w:jc w:val="both"/>
            </w:pPr>
          </w:p>
          <w:p>
            <w:pPr>
              <w:rPr>
                <w:b w:val="1"/>
                <w:bCs w:val="1"/>
                <w:rFonts w:cs="Arial"/>
                <w:u w:val="single"/>
              </w:rPr>
              <w:jc w:val="both"/>
            </w:pPr>
            <w:r>
              <w:rPr>
                <w:b w:val="1"/>
                <w:bCs w:val="1"/>
                <w:rFonts w:cs="Arial"/>
                <w:u w:val="single"/>
              </w:rPr>
              <w:t>Using Girvan CV in Energy Calcu</w:t>
            </w:r>
            <w:r>
              <w:rPr>
                <w:b w:val="1"/>
                <w:bCs w:val="1"/>
                <w:rFonts w:cs="Arial"/>
                <w:u w:val="single"/>
              </w:rPr>
              <w:t>lations</w:t>
            </w:r>
          </w:p>
          <w:p>
            <w:pPr>
              <w:rPr>
                <w:b w:val="1"/>
                <w:bCs w:val="1"/>
                <w:rFonts w:cs="Arial"/>
                <w:u w:val="single"/>
              </w:rPr>
              <w:jc w:val="both"/>
            </w:pPr>
          </w:p>
          <w:p>
            <w:pPr>
              <w:rPr>
                <w:rFonts w:cs="Arial"/>
              </w:rPr>
            </w:pPr>
            <w:r>
              <w:rPr>
                <w:rFonts w:cs="Arial"/>
              </w:rPr>
              <w:t>The Supply Meter Points being supplied by biomethane without propane are in the Scotland LDZ, the Girvan CV will need to be used to calculate energy rather than  the Daily LDZ CV (FWACV); which is published through the Shippers’ SC9 files and on N</w:t>
            </w:r>
            <w:r>
              <w:rPr>
                <w:rFonts w:cs="Arial"/>
              </w:rPr>
              <w:t>ational Grids’ MIPI webpages (Data Item Explorer).</w:t>
            </w:r>
          </w:p>
          <w:p>
            <w:pPr>
              <w:rPr>
                <w:rFonts w:cs="Arial"/>
              </w:rPr>
            </w:pPr>
          </w:p>
          <w:p>
            <w:pPr>
              <w:rPr>
                <w:rFonts w:cs="Arial"/>
              </w:rPr>
            </w:pPr>
            <w:r>
              <w:rPr>
                <w:rFonts w:cs="Arial"/>
              </w:rPr>
              <w:t>Any time that energy needs to be calculated by the CDSP for Supply Meter Points in Class 1 or Class 2 a check will be made to identify if they need to use the Girvan CV. For any Supply Meter Points that d</w:t>
            </w:r>
            <w:r>
              <w:rPr>
                <w:rFonts w:cs="Arial"/>
              </w:rPr>
              <w:t xml:space="preserve">o not require the Girvan CV they will continue to use the FWACV. </w:t>
            </w:r>
          </w:p>
          <w:p>
            <w:pPr>
              <w:rPr>
                <w:rFonts w:cs="Arial"/>
              </w:rPr>
            </w:pPr>
          </w:p>
          <w:p>
            <w:pPr>
              <w:rPr>
                <w:rFonts w:cs="Arial"/>
              </w:rPr>
            </w:pPr>
            <w:r>
              <w:rPr>
                <w:rFonts w:cs="Arial"/>
              </w:rPr>
              <w:t>Each process that uses a CV has been updated to ensure that the Girvan CV is used where the Supply Meter Point is supplied by the Girvan Biomethane plant. The processes that have been updat</w:t>
            </w:r>
            <w:r>
              <w:rPr>
                <w:rFonts w:cs="Arial"/>
              </w:rPr>
              <w:t>ed are:</w:t>
            </w:r>
          </w:p>
          <w:p>
            <w:pPr>
              <w:rPr>
                <w:rFonts w:cs="Arial"/>
              </w:rPr>
              <w:jc w:val="both"/>
            </w:pPr>
          </w:p>
          <w:p>
            <w:pPr>
              <w:rPr>
                <w:rFonts w:cs="Arial"/>
              </w:rPr>
              <w:numPr>
                <w:ilvl w:val="0"/>
                <w:numId w:val="7"/>
              </w:numPr>
              <w:pStyle w:val="List Paragraph"/>
              <w:jc w:val="both"/>
            </w:pPr>
            <w:r>
              <w:rPr>
                <w:rFonts w:cs="Arial"/>
              </w:rPr>
              <w:t xml:space="preserve">Energy calculated following receipt of a read </w:t>
            </w:r>
          </w:p>
          <w:p>
            <w:pPr>
              <w:rPr>
                <w:rFonts w:cs="Arial"/>
              </w:rPr>
              <w:numPr>
                <w:ilvl w:val="0"/>
                <w:numId w:val="7"/>
              </w:numPr>
              <w:pStyle w:val="List Paragraph"/>
              <w:jc w:val="both"/>
            </w:pPr>
            <w:r>
              <w:rPr>
                <w:rFonts w:cs="Arial"/>
              </w:rPr>
              <w:t>Consumption Adjustments received through CMS or processed internally</w:t>
            </w:r>
          </w:p>
          <w:p>
            <w:pPr>
              <w:rPr>
                <w:rFonts w:cs="Arial"/>
              </w:rPr>
              <w:numPr>
                <w:ilvl w:val="0"/>
                <w:numId w:val="7"/>
              </w:numPr>
              <w:pStyle w:val="List Paragraph"/>
              <w:jc w:val="both"/>
            </w:pPr>
            <w:r>
              <w:rPr>
                <w:rFonts w:cs="Arial"/>
              </w:rPr>
              <w:t>RGMA updates where a read has been provided or estimated</w:t>
            </w:r>
          </w:p>
          <w:p>
            <w:pPr>
              <w:rPr>
                <w:rFonts w:cs="Arial"/>
              </w:rPr>
              <w:numPr>
                <w:ilvl w:val="0"/>
                <w:numId w:val="7"/>
              </w:numPr>
              <w:pStyle w:val="List Paragraph"/>
              <w:jc w:val="both"/>
            </w:pPr>
            <w:r>
              <w:rPr>
                <w:rFonts w:cs="Arial"/>
              </w:rPr>
              <w:t>Site Visit Reads (or reads treated as site visit reads)</w:t>
            </w:r>
          </w:p>
          <w:p>
            <w:pPr>
              <w:rPr>
                <w:rFonts w:cs="Arial"/>
              </w:rPr>
              <w:numPr>
                <w:ilvl w:val="0"/>
                <w:numId w:val="7"/>
              </w:numPr>
              <w:pStyle w:val="List Paragraph"/>
              <w:jc w:val="both"/>
            </w:pPr>
            <w:r>
              <w:rPr>
                <w:rFonts w:cs="Arial"/>
              </w:rPr>
              <w:t>Check to Check rec</w:t>
            </w:r>
            <w:r>
              <w:rPr>
                <w:rFonts w:cs="Arial"/>
              </w:rPr>
              <w:t xml:space="preserve">onciliation </w:t>
            </w:r>
          </w:p>
          <w:p>
            <w:pPr>
              <w:rPr>
                <w:rFonts w:cs="Arial"/>
              </w:rPr>
              <w:numPr>
                <w:ilvl w:val="0"/>
                <w:numId w:val="7"/>
              </w:numPr>
              <w:pStyle w:val="List Paragraph"/>
              <w:jc w:val="both"/>
            </w:pPr>
            <w:r>
              <w:rPr>
                <w:rFonts w:cs="Arial"/>
              </w:rPr>
              <w:t xml:space="preserve">Read estimation   </w:t>
            </w:r>
          </w:p>
          <w:p>
            <w:pPr>
              <w:rPr>
                <w:rFonts w:cs="Arial"/>
              </w:rPr>
              <w:numPr>
                <w:ilvl w:val="0"/>
                <w:numId w:val="7"/>
              </w:numPr>
              <w:pStyle w:val="List Paragraph"/>
              <w:jc w:val="both"/>
            </w:pPr>
            <w:r>
              <w:rPr>
                <w:rFonts w:cs="Arial"/>
              </w:rPr>
              <w:t>Tolerance validation</w:t>
            </w:r>
          </w:p>
          <w:p>
            <w:pPr>
              <w:rPr>
                <w:rFonts w:cs="Arial"/>
              </w:rPr>
              <w:numPr>
                <w:ilvl w:val="0"/>
                <w:numId w:val="7"/>
              </w:numPr>
              <w:pStyle w:val="List Paragraph"/>
              <w:jc w:val="both"/>
            </w:pPr>
            <w:r>
              <w:rPr>
                <w:rFonts w:cs="Arial"/>
              </w:rPr>
              <w:t>Recalculation of energy following an updated CV. This will only recalculate energy for Girvan Supply Meter Points when a Girvan CV has been updated</w:t>
            </w:r>
            <w:r>
              <w:rPr>
                <w:rFonts w:cs="Arial"/>
              </w:rPr>
              <w:t>. Any updates to the FWACV will not result in any recalculations for the Girvan Supply Meter Points.</w:t>
            </w:r>
          </w:p>
          <w:p>
            <w:pPr>
              <w:rPr>
                <w:rFonts w:cs="Arial"/>
              </w:rPr>
              <w:pStyle w:val="List Paragraph"/>
              <w:jc w:val="both"/>
              <w:ind w:left="1080"/>
            </w:pPr>
          </w:p>
          <w:p>
            <w:pPr>
              <w:rPr>
                <w:rFonts w:cs="Arial"/>
              </w:rPr>
            </w:pPr>
            <w:r>
              <w:rPr>
                <w:rFonts w:cs="Arial"/>
              </w:rPr>
              <w:t xml:space="preserve">For completeness there has been no other changes made to these processes. </w:t>
            </w:r>
          </w:p>
          <w:p>
            <w:pPr>
              <w:rPr>
                <w:rFonts w:cs="Arial"/>
              </w:rPr>
            </w:pPr>
          </w:p>
          <w:p>
            <w:pPr>
              <w:rPr>
                <w:rFonts w:cs="Arial"/>
              </w:rPr>
            </w:pPr>
            <w:r>
              <w:rPr>
                <w:rFonts w:cs="Arial"/>
              </w:rPr>
              <w:t>To note XRN5186 (</w:t>
            </w:r>
            <w:r>
              <w:rPr>
                <w:rFonts w:cs="Arial"/>
              </w:rPr>
              <w:t>Modification 0701: Aligning Capacity booking under the UNC and arrangements set out in relevant NExAs) will introduce validations to check the Supply Offtake Quantity (SOQ) and the Supply Hourly Quantity (SHQ) – if any of the Supply Meter Points have a Net</w:t>
            </w:r>
            <w:r>
              <w:rPr>
                <w:rFonts w:cs="Arial"/>
              </w:rPr>
              <w:t xml:space="preserve">work Exit Agreement (NExA) these validations will use the energy calculated using the Girvan CV. To note XRN5186 will be implemented after this change, XRN4900. </w:t>
            </w:r>
          </w:p>
          <w:p>
            <w:pPr>
              <w:rPr>
                <w:rFonts w:cs="Arial"/>
              </w:rPr>
            </w:pPr>
            <w:r>
              <w:rPr>
                <w:rFonts w:cs="Arial"/>
              </w:rPr>
              <w:t xml:space="preserve"> </w:t>
            </w:r>
          </w:p>
          <w:p>
            <w:pPr>
              <w:rPr>
                <w:rFonts w:cs="Arial"/>
              </w:rPr>
            </w:pPr>
            <w:r>
              <w:rPr>
                <w:rFonts w:cs="Arial"/>
              </w:rPr>
              <w:t>As the energy will be calculated accurately using the Girvan CV there is no impact to the AQ</w:t>
            </w:r>
            <w:r>
              <w:rPr>
                <w:rFonts w:cs="Arial"/>
              </w:rPr>
              <w:t xml:space="preserve"> Calculation process, Ratchet process or Current Year Minimum (CYM) processes as these use the energy calculated from the above processes.</w:t>
            </w:r>
          </w:p>
          <w:p>
            <w:pPr>
              <w:rPr>
                <w:rFonts w:ascii="Arial" w:hAnsi="Arial" w:cs="Arial" w:eastAsia="Times New Roman"/>
                <w:sz w:val="22"/>
                <w:szCs w:val="22"/>
              </w:rPr>
              <w:pStyle w:val="Correla Body Copy"/>
              <w:ind w:left="1080"/>
              <w:spacing w:after="0"/>
            </w:pPr>
          </w:p>
          <w:p>
            <w:pPr>
              <w:rPr>
                <w:rFonts w:ascii="Arial" w:hAnsi="Arial" w:cs="Arial" w:eastAsia="Times New Roman"/>
                <w:sz w:val="22"/>
                <w:szCs w:val="22"/>
              </w:rPr>
              <w:pStyle w:val="Correla Body Copy"/>
              <w:spacing w:after="0"/>
            </w:pPr>
            <w:r>
              <w:rPr>
                <w:rFonts w:ascii="Arial" w:hAnsi="Arial" w:cs="Arial" w:eastAsia="Times New Roman"/>
                <w:sz w:val="22"/>
                <w:szCs w:val="22"/>
              </w:rPr>
              <w:t>For the avoidance of doubt, any Gas Day that is prior to Go Live will continue to use the FWACV when calculating ene</w:t>
            </w:r>
            <w:r>
              <w:rPr>
                <w:rFonts w:ascii="Arial" w:hAnsi="Arial" w:cs="Arial" w:eastAsia="Times New Roman"/>
                <w:sz w:val="22"/>
                <w:szCs w:val="22"/>
              </w:rPr>
              <w:t>rgy.</w:t>
            </w:r>
          </w:p>
          <w:p>
            <w:pPr>
              <w:rPr>
                <w:rFonts w:ascii="Arial" w:hAnsi="Arial" w:cs="Arial" w:eastAsia="Times New Roman"/>
                <w:sz w:val="22"/>
                <w:szCs w:val="22"/>
              </w:rPr>
              <w:pStyle w:val="Correla Body Copy"/>
              <w:spacing w:after="0"/>
            </w:pPr>
          </w:p>
          <w:p>
            <w:pPr>
              <w:rPr>
                <w:b w:val="1"/>
                <w:bCs w:val="1"/>
                <w:rFonts w:ascii="Arial" w:hAnsi="Arial" w:cs="Arial" w:eastAsia="Times New Roman"/>
                <w:sz w:val="22"/>
                <w:szCs w:val="22"/>
                <w:u w:val="single"/>
              </w:rPr>
              <w:pStyle w:val="Correla Body Copy"/>
              <w:spacing w:after="0"/>
            </w:pPr>
            <w:r>
              <w:rPr>
                <w:b w:val="1"/>
                <w:bCs w:val="1"/>
                <w:rFonts w:ascii="Arial" w:hAnsi="Arial" w:cs="Arial" w:eastAsia="Times New Roman"/>
                <w:sz w:val="22"/>
                <w:szCs w:val="22"/>
                <w:u w:val="single"/>
              </w:rPr>
              <w:t>Class 1 and Class 2</w:t>
            </w:r>
          </w:p>
          <w:p>
            <w:pPr>
              <w:rPr>
                <w:rFonts w:ascii="Arial" w:hAnsi="Arial" w:cs="Arial" w:eastAsia="Times New Roman"/>
                <w:sz w:val="22"/>
                <w:szCs w:val="22"/>
              </w:rPr>
              <w:pStyle w:val="Correla Body Copy"/>
              <w:spacing w:after="0"/>
            </w:pPr>
          </w:p>
          <w:p>
            <w:pPr>
              <w:rPr>
                <w:rFonts w:cs="Arial"/>
              </w:rPr>
            </w:pPr>
            <w:r>
              <w:rPr>
                <w:rFonts w:cs="Arial"/>
              </w:rPr>
              <w:t>Due to the difference in processes in allocation and reconciliation this solution is not suitable for Supply Meter Points in Class 3 or Class 4. For the Supply Meter Points in the Girvan project, if a there is a change of Class t</w:t>
            </w:r>
            <w:r>
              <w:rPr>
                <w:rFonts w:cs="Arial"/>
              </w:rPr>
              <w:t xml:space="preserve">o Class 3 and 4, the energy will be calculated incorrectly using the FWACV. There will be an internal notification if this occurs </w:t>
            </w:r>
            <w:r>
              <w:rPr>
                <w:rFonts w:cs="Arial"/>
              </w:rPr>
              <w:t xml:space="preserve">and the CDSP will reach out to the Registered Shipper to discuss a resolution to reclassify the Supply Meter Point to Class 2 </w:t>
            </w:r>
            <w:r>
              <w:rPr>
                <w:rFonts w:cs="Arial"/>
              </w:rPr>
              <w:t xml:space="preserve">(or Class 1 if the criteria is met). </w:t>
            </w:r>
          </w:p>
          <w:p>
            <w:pPr>
              <w:rPr>
                <w:rFonts w:cs="Arial"/>
              </w:rPr>
            </w:pPr>
          </w:p>
          <w:p>
            <w:pPr>
              <w:rPr>
                <w:rFonts w:cs="Arial"/>
              </w:rPr>
            </w:pPr>
            <w:r>
              <w:rPr>
                <w:rFonts w:cs="Arial"/>
              </w:rPr>
              <w:t xml:space="preserve">SGN will be writing to the impacted End Consumers to also confirm the importance of remaining in Class 1 or Class 2.  </w:t>
            </w:r>
          </w:p>
          <w:p>
            <w:pPr>
              <w:rPr>
                <w:rFonts w:ascii="Arial" w:hAnsi="Arial" w:cs="Arial" w:eastAsia="Times New Roman"/>
                <w:sz w:val="22"/>
                <w:szCs w:val="22"/>
              </w:rPr>
              <w:pStyle w:val="Correla Body Copy"/>
              <w:spacing w:after="0"/>
            </w:pPr>
          </w:p>
          <w:p>
            <w:pPr>
              <w:rPr>
                <w:rFonts w:ascii="Arial" w:hAnsi="Arial" w:cs="Arial" w:eastAsia="Times New Roman"/>
                <w:sz w:val="22"/>
                <w:szCs w:val="22"/>
              </w:rPr>
              <w:pStyle w:val="Correla Body Copy"/>
              <w:spacing w:after="0"/>
            </w:pPr>
            <w:r>
              <w:rPr>
                <w:rFonts w:ascii="Arial" w:hAnsi="Arial" w:cs="Arial" w:eastAsia="Times New Roman"/>
                <w:sz w:val="22"/>
                <w:szCs w:val="22"/>
              </w:rPr>
              <w:t>XRN4990 (Transfer of Sites with Low Read Submission Performance from Class 2 and 3 into Class 4 (</w:t>
            </w:r>
            <w:r>
              <w:rPr>
                <w:rFonts w:ascii="Arial" w:hAnsi="Arial" w:cs="Arial" w:eastAsia="Times New Roman"/>
                <w:sz w:val="22"/>
                <w:szCs w:val="22"/>
              </w:rPr>
              <w:t>MOD0664)) will give the ability for the CDSP to reclassify Supply Meter Points to Class 4 (from Class 2 or 3) if the read performance is not met. Supply Meter Points identified as belonging to the Girvan project will be excluded from any reclassification u</w:t>
            </w:r>
            <w:r>
              <w:rPr>
                <w:rFonts w:ascii="Arial" w:hAnsi="Arial" w:cs="Arial" w:eastAsia="Times New Roman"/>
                <w:sz w:val="22"/>
                <w:szCs w:val="22"/>
              </w:rPr>
              <w:t xml:space="preserve">ndertaken by the CDSP. </w:t>
            </w:r>
          </w:p>
          <w:p>
            <w:pPr>
              <w:rPr>
                <w:b w:val="1"/>
                <w:bCs w:val="1"/>
                <w:rFonts w:cs="Arial"/>
                <w:u w:val="single"/>
              </w:rPr>
              <w:jc w:val="both"/>
            </w:pPr>
          </w:p>
          <w:p>
            <w:pPr>
              <w:rPr>
                <w:b w:val="1"/>
                <w:bCs w:val="1"/>
                <w:rFonts w:cs="Arial"/>
                <w:u w:val="single"/>
              </w:rPr>
              <w:jc w:val="both"/>
            </w:pPr>
            <w:r>
              <w:rPr>
                <w:b w:val="1"/>
                <w:bCs w:val="1"/>
                <w:rFonts w:cs="Arial"/>
                <w:u w:val="single"/>
              </w:rPr>
              <w:t>Changes to Gemini</w:t>
            </w:r>
          </w:p>
          <w:p>
            <w:pPr>
              <w:rPr>
                <w:b w:val="1"/>
                <w:bCs w:val="1"/>
                <w:rFonts w:cs="Arial"/>
                <w:u w:val="single"/>
              </w:rPr>
              <w:jc w:val="both"/>
            </w:pPr>
          </w:p>
          <w:p>
            <w:pPr>
              <w:rPr>
                <w:rFonts w:cs="Arial"/>
              </w:rPr>
            </w:pPr>
            <w:r>
              <w:rPr>
                <w:rFonts w:cs="Arial"/>
              </w:rPr>
              <w:t>Shippers do not need to differentiate the different type of gas when nominating their energy requirements in Gemini and they will continue to nominate in the same way.</w:t>
            </w:r>
          </w:p>
          <w:p>
            <w:pPr>
              <w:rPr>
                <w:rFonts w:cs="Arial"/>
              </w:rPr>
              <w:ind w:left="360"/>
            </w:pPr>
          </w:p>
          <w:p>
            <w:pPr>
              <w:rPr>
                <w:rFonts w:ascii="Arial" w:hAnsi="Arial" w:cs="Arial" w:eastAsia="Times New Roman"/>
                <w:sz w:val="22"/>
                <w:szCs w:val="22"/>
              </w:rPr>
              <w:pStyle w:val="Correla Body Copy"/>
              <w:spacing w:after="0"/>
            </w:pPr>
            <w:r>
              <w:rPr>
                <w:rFonts w:ascii="Arial" w:hAnsi="Arial" w:cs="Arial" w:eastAsia="Times New Roman"/>
                <w:sz w:val="22"/>
                <w:szCs w:val="22"/>
              </w:rPr>
              <w:t>A .CON file is issued from UK Link to Gemin</w:t>
            </w:r>
            <w:r>
              <w:rPr>
                <w:rFonts w:ascii="Arial" w:hAnsi="Arial" w:cs="Arial" w:eastAsia="Times New Roman"/>
                <w:sz w:val="22"/>
                <w:szCs w:val="22"/>
              </w:rPr>
              <w:t>i with daily energy and CV data – the CV is validated in Gemini to ensure it holds the same value as the FWACV. To minimise changes to Gemini we will continue to issue the FWACV in the .CON file however as the daily energy, for the impacted Supply Meter Po</w:t>
            </w:r>
            <w:r>
              <w:rPr>
                <w:rFonts w:ascii="Arial" w:hAnsi="Arial" w:cs="Arial" w:eastAsia="Times New Roman"/>
                <w:sz w:val="22"/>
                <w:szCs w:val="22"/>
              </w:rPr>
              <w:t xml:space="preserve">ints, will have been calculated using the Girvan CV there will be no impacts to energy balancing. </w:t>
            </w:r>
          </w:p>
          <w:p>
            <w:pPr>
              <w:rPr>
                <w:rFonts w:cs="Arial"/>
              </w:rPr>
            </w:pPr>
          </w:p>
          <w:p>
            <w:pPr>
              <w:rPr>
                <w:b w:val="1"/>
                <w:bCs w:val="1"/>
                <w:rFonts w:cs="Arial"/>
                <w:u w:val="single"/>
              </w:rPr>
              <w:jc w:val="both"/>
            </w:pPr>
            <w:r>
              <w:rPr>
                <w:b w:val="1"/>
                <w:bCs w:val="1"/>
                <w:rFonts w:cs="Arial"/>
                <w:u w:val="single"/>
              </w:rPr>
              <w:t>Changes to FWACV Service</w:t>
            </w:r>
          </w:p>
          <w:p>
            <w:pPr>
              <w:rPr>
                <w:b w:val="1"/>
                <w:bCs w:val="1"/>
                <w:rFonts w:cs="Arial"/>
                <w:u w:val="single"/>
              </w:rPr>
              <w:jc w:val="both"/>
            </w:pPr>
          </w:p>
          <w:p>
            <w:pPr>
              <w:rPr>
                <w:rFonts w:cs="Arial"/>
              </w:rPr>
            </w:pPr>
            <w:r>
              <w:rPr>
                <w:rFonts w:cs="Arial"/>
              </w:rPr>
              <w:t>CDSP is taking over the FWACV process from National Grid as part of XRN5231 (Provision of a FWACV Service).</w:t>
            </w:r>
          </w:p>
          <w:p>
            <w:pPr>
              <w:rPr>
                <w:b w:val="1"/>
                <w:bCs w:val="1"/>
                <w:rFonts w:cs="Arial"/>
                <w:u w:val="single"/>
              </w:rPr>
            </w:pPr>
          </w:p>
          <w:p>
            <w:pPr>
              <w:rPr>
                <w:rFonts w:cs="Arial"/>
              </w:rPr>
            </w:pPr>
            <w:r>
              <w:rPr>
                <w:rFonts w:cs="Arial"/>
              </w:rPr>
              <w:t>Girvan is an established biomethane plant in FWACV. There will need to be configuration changes to the site including:</w:t>
            </w:r>
          </w:p>
          <w:p>
            <w:pPr>
              <w:rPr>
                <w:rFonts w:cs="Arial"/>
              </w:rPr>
              <w:numPr>
                <w:ilvl w:val="0"/>
                <w:numId w:val="7"/>
              </w:numPr>
              <w:pStyle w:val="List Paragraph"/>
              <w:jc w:val="both"/>
            </w:pPr>
            <w:r>
              <w:rPr>
                <w:rFonts w:cs="Arial"/>
              </w:rPr>
              <w:t>Adding the new chromatograph</w:t>
            </w:r>
            <w:r>
              <w:rPr>
                <w:rFonts w:cs="Arial"/>
              </w:rPr>
              <w:t xml:space="preserve"> to the Girvan site (Chromatograph C in the pictorial </w:t>
            </w:r>
            <w:r>
              <w:rPr>
                <w:lang w:val="en-US"/>
              </w:rPr>
              <w:t>visualisation</w:t>
            </w:r>
            <w:r>
              <w:rPr>
                <w:lang w:val="en-US"/>
              </w:rPr>
              <w:t xml:space="preserve"> at the beginning of the change pack</w:t>
            </w:r>
            <w:r>
              <w:rPr>
                <w:rFonts w:cs="Arial"/>
              </w:rPr>
              <w:t xml:space="preserve">). The data from this chromatograph will not be included in the FWACV calculation but the CV will be used within the capping process. </w:t>
            </w:r>
          </w:p>
          <w:p>
            <w:pPr>
              <w:rPr>
                <w:rFonts w:cs="Arial"/>
              </w:rPr>
              <w:numPr>
                <w:ilvl w:val="0"/>
                <w:numId w:val="7"/>
              </w:numPr>
              <w:pStyle w:val="List Paragraph"/>
              <w:jc w:val="both"/>
            </w:pPr>
            <w:r>
              <w:rPr>
                <w:rFonts w:cs="Arial"/>
              </w:rPr>
              <w:t>Excluding the CV f</w:t>
            </w:r>
            <w:r>
              <w:rPr>
                <w:rFonts w:cs="Arial"/>
              </w:rPr>
              <w:t>rom chromatograph A from the capping process.</w:t>
            </w:r>
          </w:p>
          <w:p>
            <w:pPr>
              <w:rPr>
                <w:rFonts w:cs="Arial"/>
              </w:rPr>
              <w:jc w:val="both"/>
            </w:pPr>
          </w:p>
          <w:p>
            <w:pPr>
              <w:rPr>
                <w:rFonts w:cs="Arial"/>
              </w:rPr>
              <w:jc w:val="both"/>
            </w:pPr>
            <w:r>
              <w:rPr>
                <w:rFonts w:cs="Arial"/>
              </w:rPr>
              <w:t xml:space="preserve">For completeness chromatograph B will not be used in the FWACV process as the energy and CV will have been recorded by the other chromatographs prior to reaching this point. </w:t>
            </w:r>
          </w:p>
          <w:p>
            <w:pPr>
              <w:rPr>
                <w:rFonts w:cs="Arial"/>
              </w:rPr>
            </w:pPr>
          </w:p>
          <w:p>
            <w:pPr>
              <w:rPr>
                <w:rFonts w:cs="Arial"/>
              </w:rPr>
            </w:pPr>
            <w:r>
              <w:rPr>
                <w:rFonts w:cs="Arial"/>
              </w:rPr>
              <w:t>SGN will manage the changes neede</w:t>
            </w:r>
            <w:r>
              <w:rPr>
                <w:rFonts w:cs="Arial"/>
              </w:rPr>
              <w:t>d to FWACV by following the process being defined by XRN5231. This has been mentioned for awareness only.</w:t>
            </w:r>
          </w:p>
          <w:p>
            <w:pPr>
              <w:rPr>
                <w:rFonts w:cs="Arial"/>
              </w:rPr>
            </w:pPr>
          </w:p>
        </w:tc>
      </w:tr>
    </w:tbl>
    <w:p>
      <w:pPr>
        <w:pStyle w:val="heading 1"/>
      </w:pPr>
      <w:r>
        <w:t>Associated Changes</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Associated Change(s) and Title(s):</w:t>
            </w:r>
          </w:p>
        </w:tc>
        <w:tc>
          <w:tcPr>
            <w:tcW w:type="pct" w:w="3777"/>
            <w:vAlign w:val="center"/>
          </w:tcPr>
          <w:p>
            <w:pPr>
              <w:rPr>
                <w:rFonts w:cs="Arial"/>
              </w:rPr>
            </w:pPr>
            <w:r>
              <w:rPr>
                <w:rFonts w:cs="Arial"/>
              </w:rPr>
              <w:t>XRN5231 – Provision of a FWACV service</w:t>
            </w:r>
          </w:p>
        </w:tc>
      </w:tr>
    </w:tbl>
    <w:p>
      <w:pPr>
        <w:pStyle w:val="heading 1"/>
      </w:pPr>
      <w:r>
        <w:t>DSG</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DSG discussion date:</w:t>
            </w:r>
          </w:p>
        </w:tc>
        <w:tc>
          <w:tcPr>
            <w:tcW w:type="pct" w:w="3777"/>
            <w:vAlign w:val="center"/>
          </w:tcPr>
          <w:p>
            <w:pPr>
              <w:rPr>
                <w:rFonts w:cs="Arial"/>
              </w:rPr>
            </w:pPr>
            <w:r>
              <w:rPr>
                <w:rFonts w:cs="Arial"/>
              </w:rPr>
              <w:t>23/05/2022</w:t>
            </w:r>
          </w:p>
        </w:tc>
      </w:tr>
      <w:tr>
        <w:trPr>
          <w:trHeight w:hRule="atLeast" w:val="403"/>
        </w:trPr>
        <w:tc>
          <w:tcPr>
            <w:shd w:val="clear" w:fill="B3EDFB"/>
            <w:tcW w:type="pct" w:w="1223"/>
            <w:vAlign w:val="center"/>
          </w:tcPr>
          <w:p>
            <w:pPr>
              <w:rPr>
                <w:rFonts w:cs="Arial"/>
              </w:rPr>
              <w:jc w:val="right"/>
            </w:pPr>
            <w:r>
              <w:rPr>
                <w:rFonts w:cs="Arial"/>
              </w:rPr>
              <w:t>Any further information:</w:t>
            </w:r>
          </w:p>
        </w:tc>
        <w:tc>
          <w:tcPr>
            <w:tcW w:type="pct" w:w="3777"/>
            <w:vAlign w:val="center"/>
          </w:tcPr>
          <w:p>
            <w:pPr>
              <w:rPr>
                <w:rFonts w:cs="Arial"/>
              </w:rPr>
            </w:pPr>
            <w:r>
              <w:rPr>
                <w:rFonts w:cs="Arial"/>
              </w:rPr>
              <w:t>To discuss any comments provided from the Detailed Design Change Pack representations</w:t>
            </w:r>
          </w:p>
        </w:tc>
      </w:tr>
    </w:tbl>
    <w:p>
      <w:pPr>
        <w:pStyle w:val="heading 1"/>
      </w:pPr>
      <w:r>
        <w:t>Implementation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Release:</w:t>
            </w:r>
          </w:p>
        </w:tc>
        <w:tc>
          <w:tcPr>
            <w:tcW w:type="pct" w:w="3777"/>
            <w:vAlign w:val="center"/>
          </w:tcPr>
          <w:p>
            <w:pPr>
              <w:rPr>
                <w:rFonts w:cs="Arial"/>
              </w:rPr>
            </w:pPr>
            <w:r>
              <w:rPr>
                <w:rFonts w:cs="Arial"/>
              </w:rPr>
              <w:t>February 2023 (TBC)</w:t>
            </w:r>
          </w:p>
        </w:tc>
      </w:tr>
      <w:tr>
        <w:trPr>
          <w:trHeight w:hRule="atLeast" w:val="403"/>
        </w:trPr>
        <w:tc>
          <w:tcPr>
            <w:shd w:val="clear" w:fill="B3EDFB"/>
            <w:tcW w:type="pct" w:w="1223"/>
            <w:vAlign w:val="center"/>
          </w:tcPr>
          <w:p>
            <w:pPr>
              <w:rPr>
                <w:rFonts w:cs="Arial"/>
              </w:rPr>
              <w:jc w:val="right"/>
            </w:pPr>
            <w:r>
              <w:rPr>
                <w:rFonts w:cs="Arial"/>
              </w:rPr>
              <w:t>Status:</w:t>
            </w:r>
          </w:p>
        </w:tc>
        <w:tc>
          <w:tcPr>
            <w:tcW w:type="pct" w:w="3777"/>
            <w:vAlign w:val="center"/>
          </w:tcPr>
          <w:p>
            <w:pPr>
              <w:rPr>
                <w:rFonts w:cs="Arial"/>
              </w:rPr>
            </w:pPr>
          </w:p>
        </w:tc>
      </w:tr>
    </w:tbl>
    <w:p>
      <w:pPr/>
    </w:p>
    <w:p>
      <w:pPr/>
      <w:r>
        <w:br w:type="page"/>
      </w:r>
    </w:p>
    <w:p>
      <w:pPr/>
    </w:p>
    <w:p>
      <w:pPr>
        <w:pStyle w:val="Title"/>
      </w:pPr>
      <w:r>
        <w:t>Industry Response Detailed Design Revi</w:t>
      </w:r>
      <w:r>
        <w:t>ew</w:t>
      </w:r>
    </w:p>
    <w:p>
      <w:pPr/>
      <w:r>
        <w:br w:type="textWrapping"/>
      </w:r>
      <w:r>
        <w:br w:type="textWrapping"/>
      </w:r>
      <w:r>
        <w:rPr>
          <w:rStyle w:val="Heading 1 Char"/>
        </w:rPr>
        <w:t>Change Representation</w:t>
      </w:r>
      <w:r>
        <w:t xml:space="preserve"> </w:t>
      </w:r>
    </w:p>
    <w:p>
      <w:pPr/>
      <w:r>
        <w:t>(To be completed by User and returned for response)</w:t>
      </w:r>
    </w:p>
    <w:p>
      <w:pPr>
        <w:rPr>
          <w:color w:val="auto"/>
          <w:i w:val="1"/>
          <w:iCs w:val="1"/>
          <w:sz w:val="22"/>
          <w:szCs w:val="22"/>
        </w:rPr>
        <w:pStyle w:val="heading 1"/>
      </w:pPr>
      <w:r>
        <w:rPr>
          <w:color w:val="auto"/>
          <w:i w:val="1"/>
          <w:iCs w:val="1"/>
          <w:sz w:val="22"/>
          <w:szCs w:val="22"/>
        </w:rPr>
        <w:t>Please consider any commercial impacts to your organisation that Xoserve need to be aware of when formulating your response</w:t>
      </w:r>
    </w:p>
    <w:p>
      <w:pP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DD7EE"/>
            <w:tcW w:type="pct" w:w="1223"/>
            <w:vAlign w:val="center"/>
            <w:vMerge w:val="restart"/>
          </w:tcPr>
          <w:p>
            <w:pPr>
              <w:rPr>
                <w:rFonts w:cs="Arial"/>
              </w:rPr>
              <w:jc w:val="right"/>
            </w:pPr>
            <w:r>
              <w:rPr>
                <w:rFonts w:cs="Arial"/>
              </w:rPr>
              <w:t>User Contact Details:</w:t>
            </w:r>
          </w:p>
        </w:tc>
        <w:tc>
          <w:tcPr>
            <w:shd w:val="clear" w:fill="BDD7EE"/>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Wales &amp; West Utilities</w:t>
            </w:r>
          </w:p>
        </w:tc>
      </w:tr>
      <w:tr>
        <w:trPr>
          <w:trHeight w:hRule="atLeast" w:val="403"/>
        </w:trPr>
        <w:tc>
          <w:tcPr>
            <w:shd w:val="clear" w:fill="BDD7EE"/>
            <w:tcW w:type="pct" w:w="1223"/>
            <w:vAlign w:val="center"/>
            <w:vMerge w:val="continue"/>
          </w:tcPr>
          <w:p/>
        </w:tc>
        <w:tc>
          <w:tcPr>
            <w:shd w:val="clear" w:fill="BDD7EE"/>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Tom Stuart</w:t>
            </w:r>
          </w:p>
        </w:tc>
      </w:tr>
      <w:tr>
        <w:trPr>
          <w:trHeight w:hRule="atLeast" w:val="403"/>
        </w:trPr>
        <w:tc>
          <w:tcPr>
            <w:shd w:val="clear" w:fill="BDD7EE"/>
            <w:tcW w:type="pct" w:w="1223"/>
            <w:vAlign w:val="center"/>
            <w:vMerge w:val="continue"/>
          </w:tcPr>
          <w:p/>
        </w:tc>
        <w:tc>
          <w:tcPr>
            <w:shd w:val="clear" w:fill="BDD7EE"/>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tom.stuart@wwutilities.co.uk</w:t>
            </w:r>
          </w:p>
        </w:tc>
      </w:tr>
      <w:tr>
        <w:trPr>
          <w:trHeight w:hRule="atLeast" w:val="403"/>
        </w:trPr>
        <w:tc>
          <w:tcPr>
            <w:shd w:val="clear" w:fill="BDD7EE"/>
            <w:tcW w:type="pct" w:w="1223"/>
            <w:vAlign w:val="center"/>
            <w:vMerge w:val="continue"/>
          </w:tcPr>
          <w:p/>
        </w:tc>
        <w:tc>
          <w:tcPr>
            <w:shd w:val="clear" w:fill="BDD7EE"/>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07964937739</w:t>
            </w:r>
          </w:p>
        </w:tc>
      </w:tr>
      <w:tr>
        <w:trPr>
          <w:trHeight w:hRule="atLeast" w:val="403"/>
        </w:trPr>
        <w:tc>
          <w:tcPr>
            <w:shd w:val="clear" w:fill="BDD7EE"/>
            <w:tcW w:type="pct" w:w="1223"/>
            <w:vAlign w:val="center"/>
          </w:tcPr>
          <w:p>
            <w:pPr>
              <w:rPr>
                <w:rFonts w:cs="Arial"/>
              </w:rPr>
              <w:jc w:val="right"/>
            </w:pPr>
            <w:r>
              <w:rPr>
                <w:rFonts w:cs="Arial"/>
              </w:rPr>
              <w:t>Representation Status:</w:t>
            </w:r>
          </w:p>
        </w:tc>
        <w:tc>
          <w:tcPr>
            <w:tcW w:type="pct" w:w="3777"/>
            <w:vAlign w:val="center"/>
            <w:gridSpan w:val="3"/>
          </w:tcPr>
          <w:p>
            <w:pPr>
              <w:rPr>
                <w:rFonts w:cs="Arial"/>
              </w:rPr>
            </w:pPr>
            <w:r>
              <w:rPr>
                <w:rFonts w:cs="Arial"/>
              </w:rPr>
              <w:t>Support</w:t>
            </w:r>
          </w:p>
        </w:tc>
      </w:tr>
      <w:tr>
        <w:trPr>
          <w:trHeight w:hRule="atLeast" w:val="403"/>
        </w:trPr>
        <w:tc>
          <w:tcPr>
            <w:shd w:val="clear" w:fill="BDD7EE"/>
            <w:tcW w:type="pct" w:w="1223"/>
            <w:vAlign w:val="center"/>
          </w:tcPr>
          <w:p>
            <w:pPr>
              <w:rPr>
                <w:rFonts w:cs="Arial"/>
              </w:rPr>
              <w:jc w:val="right"/>
            </w:pPr>
            <w:r>
              <w:rPr>
                <w:rFonts w:cs="Arial"/>
              </w:rPr>
              <w:t>Representation Publication:</w:t>
            </w:r>
          </w:p>
        </w:tc>
        <w:tc>
          <w:tcPr>
            <w:tcW w:type="pct" w:w="3777"/>
            <w:vAlign w:val="center"/>
            <w:gridSpan w:val="3"/>
          </w:tcPr>
          <w:p>
            <w:pPr>
              <w:rPr>
                <w:rFonts w:cs="Arial"/>
              </w:rPr>
            </w:pPr>
            <w:r>
              <w:rPr>
                <w:rFonts w:cs="Arial"/>
              </w:rPr>
              <w:t>Publish</w:t>
            </w:r>
          </w:p>
        </w:tc>
      </w:tr>
      <w:tr>
        <w:trPr>
          <w:trHeight w:hRule="atLeast" w:val="403"/>
        </w:trPr>
        <w:tc>
          <w:tcPr>
            <w:shd w:val="clear" w:fill="BDD7EE"/>
            <w:tcW w:type="pct" w:w="1223"/>
            <w:vAlign w:val="center"/>
          </w:tcPr>
          <w:p>
            <w:pPr>
              <w:rPr>
                <w:rFonts w:cs="Arial"/>
              </w:rPr>
              <w:jc w:val="right"/>
            </w:pPr>
            <w:r>
              <w:rPr>
                <w:rFonts w:cs="Arial"/>
              </w:rPr>
              <w:t>Representation Comments:</w:t>
            </w:r>
          </w:p>
        </w:tc>
        <w:tc>
          <w:tcPr>
            <w:tcW w:type="pct" w:w="3777"/>
            <w:vAlign w:val="center"/>
            <w:gridSpan w:val="3"/>
          </w:tcPr>
          <w:p>
            <w:pPr>
              <w:rPr>
                <w:rFonts w:cs="Arial"/>
              </w:rPr>
            </w:pPr>
            <w:r>
              <w:rPr>
                <w:rFonts w:cs="Arial"/>
              </w:rPr>
              <w:t xml:space="preserve">In the XRN4900 detailed design the CV range is proposed to be between 36-43. Currently, WWU sends a CV of 35 to indicate an invalid CV rather than sending a blank field.  </w:t>
            </w:r>
            <w:r>
              <w:rPr>
                <w:rFonts w:cs="Arial"/>
              </w:rPr>
              <w:t>Therefore</w:t>
            </w:r>
            <w:r>
              <w:rPr>
                <w:rFonts w:cs="Arial"/>
              </w:rPr>
              <w:t xml:space="preserve"> we request that the CV range is amended to incorporate this. Is the CV rang</w:t>
            </w:r>
            <w:r>
              <w:rPr>
                <w:rFonts w:cs="Arial"/>
              </w:rPr>
              <w:t>e hard coded or parameterised? This might enable a more flexible solution to allow hydrogen projects in the future.</w:t>
            </w:r>
          </w:p>
        </w:tc>
      </w:tr>
      <w:tr>
        <w:trPr>
          <w:trHeight w:hRule="atLeast" w:val="403"/>
        </w:trPr>
        <w:tc>
          <w:tcPr>
            <w:shd w:val="clear" w:fill="BDD7EE"/>
            <w:tcW w:type="pct" w:w="1223"/>
            <w:vAlign w:val="center"/>
          </w:tcPr>
          <w:p>
            <w:pPr>
              <w:rPr>
                <w:rFonts w:cs="Arial"/>
              </w:rPr>
              <w:jc w:val="right"/>
            </w:pPr>
            <w:r>
              <w:rPr>
                <w:rFonts w:cs="Arial"/>
              </w:rPr>
              <w:t>Confirm Target Release Date?</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 xml:space="preserve">Xoserve’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DD7EE"/>
            <w:tcW w:type="pct" w:w="1223"/>
            <w:vAlign w:val="center"/>
          </w:tcPr>
          <w:p>
            <w:pPr>
              <w:rPr>
                <w:rFonts w:cs="Arial"/>
              </w:rPr>
              <w:jc w:val="right"/>
            </w:pPr>
            <w:r>
              <w:rPr>
                <w:rFonts w:cs="Arial"/>
              </w:rPr>
              <w:t>Xos</w:t>
            </w:r>
            <w:r>
              <w:rPr>
                <w:rFonts w:cs="Arial"/>
              </w:rPr>
              <w:t>erve Response to Organisations Comments:</w:t>
            </w:r>
          </w:p>
        </w:tc>
        <w:tc>
          <w:tcPr>
            <w:tcW w:type="pct" w:w="3777"/>
            <w:vAlign w:val="center"/>
          </w:tcPr>
          <w:p>
            <w:pPr>
              <w:rPr>
                <w:rFonts w:cs="Arial"/>
              </w:rPr>
            </w:pPr>
            <w:r>
              <w:rPr>
                <w:rFonts w:cs="Arial"/>
              </w:rPr>
              <w:t>Hello Tom,</w:t>
            </w:r>
            <w:r>
              <w:rPr>
                <w:rFonts w:cs="Arial"/>
              </w:rPr>
              <w:br w:type="textWrapping"/>
            </w:r>
            <w:r>
              <w:rPr>
                <w:rFonts w:cs="Arial"/>
              </w:rPr>
              <w:br w:type="textWrapping"/>
            </w:r>
            <w:r>
              <w:rPr>
                <w:rFonts w:cs="Arial"/>
              </w:rPr>
              <w:t>Thank you for responding to the XRN4900 detailed design consultation.</w:t>
            </w:r>
            <w:r>
              <w:rPr>
                <w:rFonts w:cs="Arial"/>
              </w:rPr>
              <w:br w:type="textWrapping"/>
            </w:r>
            <w:r>
              <w:rPr>
                <w:rFonts w:cs="Arial"/>
              </w:rPr>
              <w:br w:type="textWrapping"/>
            </w:r>
            <w:r>
              <w:rPr>
                <w:rFonts w:cs="Arial"/>
              </w:rPr>
              <w:t>The CV range is being applied in this change is to UK Link rather than the new FWACV Service:</w:t>
            </w:r>
            <w:r>
              <w:rPr>
                <w:rFonts w:cs="Arial"/>
              </w:rPr>
              <w:br w:type="textWrapping"/>
            </w:r>
            <w:r>
              <w:rPr>
                <w:rFonts w:cs="Arial"/>
              </w:rPr>
              <w:br w:type="textWrapping"/>
            </w:r>
            <w:r>
              <w:rPr>
                <w:rFonts w:cs="Arial"/>
              </w:rPr>
              <w:t>•</w:t>
            </w:r>
            <w:r>
              <w:rPr>
                <w:rFonts w:cs="Arial"/>
              </w:rPr>
              <w:tab/>
            </w:r>
            <w:r>
              <w:rPr>
                <w:rFonts w:cs="Arial"/>
              </w:rPr>
              <w:t xml:space="preserve">the primary objective of the change is the application of the correct CV i.e. the daily Girvan site specific CV instead of the daily LDZ Billing CV </w:t>
            </w:r>
            <w:r>
              <w:rPr>
                <w:rFonts w:cs="Arial"/>
              </w:rPr>
              <w:br w:type="textWrapping"/>
            </w:r>
            <w:r>
              <w:rPr>
                <w:rFonts w:cs="Arial"/>
              </w:rPr>
              <w:t>•</w:t>
            </w:r>
            <w:r>
              <w:rPr>
                <w:rFonts w:cs="Arial"/>
              </w:rPr>
              <w:tab/>
            </w:r>
            <w:r>
              <w:rPr>
                <w:rFonts w:cs="Arial"/>
              </w:rPr>
              <w:t>the dail</w:t>
            </w:r>
            <w:r>
              <w:rPr>
                <w:rFonts w:cs="Arial"/>
              </w:rPr>
              <w:t>y site-specific CV provided, within the range, will be used in UK Link settlement and billing processes by CDSP, Shippers and Suppliers</w:t>
            </w:r>
            <w:r>
              <w:rPr>
                <w:rFonts w:cs="Arial"/>
              </w:rPr>
              <w:br w:type="textWrapping"/>
            </w:r>
            <w:r>
              <w:rPr>
                <w:rFonts w:cs="Arial"/>
              </w:rPr>
              <w:t>•</w:t>
            </w:r>
            <w:r>
              <w:rPr>
                <w:rFonts w:cs="Arial"/>
              </w:rPr>
              <w:tab/>
            </w:r>
            <w:r>
              <w:rPr>
                <w:rFonts w:cs="Arial"/>
              </w:rPr>
              <w:t>setting the lower range at 36 will allow a valid biomethane CV to be accepted and an invalid (out of range), to be rej</w:t>
            </w:r>
            <w:r>
              <w:rPr>
                <w:rFonts w:cs="Arial"/>
              </w:rPr>
              <w:t>ected by UK Link</w:t>
            </w:r>
            <w:r>
              <w:rPr>
                <w:rFonts w:cs="Arial"/>
              </w:rPr>
              <w:br w:type="textWrapping"/>
            </w:r>
            <w:r>
              <w:rPr>
                <w:rFonts w:cs="Arial"/>
              </w:rPr>
              <w:t>•</w:t>
            </w:r>
            <w:r>
              <w:rPr>
                <w:rFonts w:cs="Arial"/>
              </w:rPr>
              <w:tab/>
            </w:r>
            <w:r>
              <w:rPr>
                <w:rFonts w:cs="Arial"/>
              </w:rPr>
              <w:t>the CV range is parameterised allowing it to be amended, where required, to support future decarbonisation projects. It is worth noting that the same range would apply to all decarbonisation projects using this solution.</w:t>
            </w:r>
            <w:r>
              <w:rPr>
                <w:rFonts w:cs="Arial"/>
              </w:rPr>
              <w:br w:type="textWrapping"/>
            </w:r>
            <w:r>
              <w:rPr>
                <w:rFonts w:cs="Arial"/>
              </w:rPr>
              <w:t xml:space="preserve"> </w:t>
            </w:r>
            <w:r>
              <w:rPr>
                <w:rFonts w:cs="Arial"/>
              </w:rPr>
              <w:br w:type="textWrapping"/>
            </w:r>
            <w:r>
              <w:rPr>
                <w:rFonts w:cs="Arial"/>
              </w:rPr>
              <w:t>We have been a</w:t>
            </w:r>
            <w:r>
              <w:rPr>
                <w:rFonts w:cs="Arial"/>
              </w:rPr>
              <w:t>dvised by SGN that from an operational/process perspective:</w:t>
            </w:r>
            <w:r>
              <w:rPr>
                <w:rFonts w:cs="Arial"/>
              </w:rPr>
              <w:br w:type="textWrapping"/>
            </w:r>
            <w:r>
              <w:rPr>
                <w:rFonts w:cs="Arial"/>
              </w:rPr>
              <w:br w:type="textWrapping"/>
            </w:r>
            <w:r>
              <w:rPr>
                <w:rFonts w:cs="Arial"/>
              </w:rPr>
              <w:t>•</w:t>
            </w:r>
            <w:r>
              <w:rPr>
                <w:rFonts w:cs="Arial"/>
              </w:rPr>
              <w:tab/>
            </w:r>
            <w:r>
              <w:rPr>
                <w:rFonts w:cs="Arial"/>
              </w:rPr>
              <w:t xml:space="preserve">the lowest CV of a biomethane plant is agreed with the DN and is unlikely to be below 36.5; due to both the </w:t>
            </w:r>
            <w:r>
              <w:rPr>
                <w:rFonts w:cs="Arial"/>
              </w:rPr>
              <w:t>Wobbe</w:t>
            </w:r>
            <w:r>
              <w:rPr>
                <w:rFonts w:cs="Arial"/>
              </w:rPr>
              <w:t xml:space="preserve"> Index and, the agreement with the DN </w:t>
            </w:r>
            <w:r>
              <w:rPr>
                <w:rFonts w:cs="Arial"/>
              </w:rPr>
              <w:br w:type="textWrapping"/>
            </w:r>
            <w:r>
              <w:rPr>
                <w:rFonts w:cs="Arial"/>
              </w:rPr>
              <w:t>•</w:t>
            </w:r>
            <w:r>
              <w:rPr>
                <w:rFonts w:cs="Arial"/>
              </w:rPr>
              <w:tab/>
            </w:r>
            <w:r>
              <w:rPr>
                <w:rFonts w:cs="Arial"/>
              </w:rPr>
              <w:t>if the CV does fall below the lowest CV</w:t>
            </w:r>
            <w:r>
              <w:rPr>
                <w:rFonts w:cs="Arial"/>
              </w:rPr>
              <w:t>, agreed with the DN, the biomethane cannot enter its network</w:t>
            </w:r>
            <w:r>
              <w:rPr>
                <w:rFonts w:cs="Arial"/>
              </w:rPr>
              <w:br w:type="textWrapping"/>
            </w:r>
            <w:r>
              <w:rPr>
                <w:rFonts w:cs="Arial"/>
              </w:rPr>
              <w:t>•</w:t>
            </w:r>
            <w:r>
              <w:rPr>
                <w:rFonts w:cs="Arial"/>
              </w:rPr>
              <w:tab/>
            </w:r>
            <w:r>
              <w:rPr>
                <w:rFonts w:cs="Arial"/>
              </w:rPr>
              <w:t>if a CV of 35 is sent to CDSP (indicating an issue with the data) then a rejection will be issued to the DN to advise that that the CV is outside of the permitted range so that it can be inves</w:t>
            </w:r>
            <w:r>
              <w:rPr>
                <w:rFonts w:cs="Arial"/>
              </w:rPr>
              <w:t xml:space="preserve">tigated further </w:t>
            </w:r>
            <w:r>
              <w:rPr>
                <w:rFonts w:cs="Arial"/>
              </w:rPr>
              <w:br w:type="textWrapping"/>
            </w:r>
            <w:r>
              <w:rPr>
                <w:rFonts w:cs="Arial"/>
              </w:rPr>
              <w:br w:type="textWrapping"/>
            </w:r>
            <w:r>
              <w:rPr>
                <w:rFonts w:cs="Arial"/>
              </w:rPr>
              <w:t>I hope this helps provides clarity to your query, if you have any further questions, please contact me.</w:t>
            </w:r>
            <w:r>
              <w:rPr>
                <w:rFonts w:cs="Arial"/>
              </w:rPr>
              <w:br w:type="textWrapping"/>
            </w:r>
            <w:r>
              <w:rPr>
                <w:rFonts w:cs="Arial"/>
              </w:rPr>
              <w:br w:type="textWrapping"/>
            </w:r>
            <w:r>
              <w:rPr>
                <w:rFonts w:cs="Arial"/>
              </w:rPr>
              <w:t>Kind regards</w:t>
            </w:r>
            <w:r>
              <w:rPr>
                <w:rFonts w:cs="Arial"/>
              </w:rPr>
              <w:br w:type="textWrapping"/>
            </w:r>
            <w:r>
              <w:rPr>
                <w:rFonts w:cs="Arial"/>
              </w:rPr>
              <w:t>Steve.</w:t>
            </w:r>
            <w:r>
              <w:rPr>
                <w:rFonts w:cs="Arial"/>
              </w:rPr>
              <w:br w:type="textWrapping"/>
            </w:r>
            <w:r>
              <w:rPr>
                <w:rFonts w:cs="Arial"/>
              </w:rPr>
              <w:br w:type="textWrapping"/>
            </w:r>
            <w:r>
              <w:rPr>
                <w:rFonts w:cs="Arial"/>
              </w:rPr>
              <w:t xml:space="preserve">Customer Change </w:t>
            </w:r>
            <w:r>
              <w:rPr>
                <w:rFonts w:cs="Arial"/>
              </w:rPr>
              <w:br w:type="textWrapping"/>
            </w:r>
            <w:r>
              <w:rPr>
                <w:rFonts w:cs="Arial"/>
              </w:rPr>
              <w:br w:type="textWrapping"/>
            </w:r>
            <w:r>
              <w:rPr>
                <w:rFonts w:cs="Arial"/>
              </w:rPr>
              <w:t>Phone No. 0121 229 2671</w:t>
            </w:r>
          </w:p>
        </w:tc>
      </w:tr>
    </w:tbl>
    <w:p>
      <w:pPr/>
    </w:p>
    <w:p>
      <w:pPr/>
      <w:r>
        <w:t xml:space="preserve">Please send the completed </w:t>
      </w:r>
      <w:r>
        <w:t xml:space="preserve">representation response to </w:t>
      </w:r>
      <w:hyperlink r:id="Rdb627f841bd244fa">
        <w:r>
          <w:rPr>
            <w:rStyle w:val="Hyperlink"/>
          </w:rPr>
          <w:t>uklink@xoserve.com</w:t>
        </w:r>
      </w:hyperlink>
      <w:r>
        <w:t xml:space="preserve"> </w:t>
      </w:r>
    </w:p>
    <w:p>
      <w:pPr/>
    </w:p>
    <w:p>
      <w:pPr/>
      <w:r>
        <w:br w:type="textWrapping"/>
      </w:r>
      <w:r>
        <w:br w:type="textWrapping"/>
      </w:r>
      <w:r>
        <w:rPr>
          <w:rStyle w:val="Heading 1 Char"/>
        </w:rPr>
        <w:t>Change Representation</w:t>
      </w:r>
      <w:r>
        <w:t xml:space="preserve"> </w:t>
      </w:r>
    </w:p>
    <w:p>
      <w:pPr/>
      <w:r>
        <w:t>(To be completed by User and returned for response)</w:t>
      </w:r>
    </w:p>
    <w:p>
      <w:pPr>
        <w:rPr>
          <w:color w:val="auto"/>
          <w:i w:val="1"/>
          <w:iCs w:val="1"/>
          <w:sz w:val="22"/>
          <w:szCs w:val="22"/>
        </w:rPr>
        <w:pStyle w:val="heading 1"/>
      </w:pPr>
      <w:r>
        <w:rPr>
          <w:color w:val="auto"/>
          <w:i w:val="1"/>
          <w:iCs w:val="1"/>
          <w:sz w:val="22"/>
          <w:szCs w:val="22"/>
        </w:rPr>
        <w:t>Please consider any commercial impacts to your organisation that Xoserve need to be aw</w:t>
      </w:r>
      <w:r>
        <w:rPr>
          <w:color w:val="auto"/>
          <w:i w:val="1"/>
          <w:iCs w:val="1"/>
          <w:sz w:val="22"/>
          <w:szCs w:val="22"/>
        </w:rPr>
        <w:t>are of when formulating your response</w:t>
      </w:r>
    </w:p>
    <w:p>
      <w:pP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DD7EE"/>
            <w:tcW w:type="pct" w:w="1223"/>
            <w:vAlign w:val="center"/>
            <w:vMerge w:val="restart"/>
          </w:tcPr>
          <w:p>
            <w:pPr>
              <w:rPr>
                <w:rFonts w:cs="Arial"/>
              </w:rPr>
              <w:jc w:val="right"/>
            </w:pPr>
            <w:r>
              <w:rPr>
                <w:rFonts w:cs="Arial"/>
              </w:rPr>
              <w:t>User Contact Details:</w:t>
            </w:r>
          </w:p>
        </w:tc>
        <w:tc>
          <w:tcPr>
            <w:shd w:val="clear" w:fill="BDD7EE"/>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Scotland Gas Networks Plc and Southern Gas Networks Plc</w:t>
            </w:r>
          </w:p>
        </w:tc>
      </w:tr>
      <w:tr>
        <w:trPr>
          <w:trHeight w:hRule="atLeast" w:val="403"/>
        </w:trPr>
        <w:tc>
          <w:tcPr>
            <w:shd w:val="clear" w:fill="BDD7EE"/>
            <w:tcW w:type="pct" w:w="1223"/>
            <w:vAlign w:val="center"/>
            <w:vMerge w:val="continue"/>
          </w:tcPr>
          <w:p/>
        </w:tc>
        <w:tc>
          <w:tcPr>
            <w:shd w:val="clear" w:fill="BDD7EE"/>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Sally Hardman</w:t>
            </w:r>
          </w:p>
        </w:tc>
      </w:tr>
      <w:tr>
        <w:trPr>
          <w:trHeight w:hRule="atLeast" w:val="403"/>
        </w:trPr>
        <w:tc>
          <w:tcPr>
            <w:shd w:val="clear" w:fill="BDD7EE"/>
            <w:tcW w:type="pct" w:w="1223"/>
            <w:vAlign w:val="center"/>
            <w:vMerge w:val="continue"/>
          </w:tcPr>
          <w:p/>
        </w:tc>
        <w:tc>
          <w:tcPr>
            <w:shd w:val="clear" w:fill="BDD7EE"/>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sally.hardman@sgn.co.uk</w:t>
            </w:r>
          </w:p>
        </w:tc>
      </w:tr>
      <w:tr>
        <w:trPr>
          <w:trHeight w:hRule="atLeast" w:val="403"/>
        </w:trPr>
        <w:tc>
          <w:tcPr>
            <w:shd w:val="clear" w:fill="BDD7EE"/>
            <w:tcW w:type="pct" w:w="1223"/>
            <w:vAlign w:val="center"/>
            <w:vMerge w:val="continue"/>
          </w:tcPr>
          <w:p/>
        </w:tc>
        <w:tc>
          <w:tcPr>
            <w:shd w:val="clear" w:fill="BDD7EE"/>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07970019027</w:t>
            </w:r>
          </w:p>
        </w:tc>
      </w:tr>
      <w:tr>
        <w:trPr>
          <w:trHeight w:hRule="atLeast" w:val="403"/>
        </w:trPr>
        <w:tc>
          <w:tcPr>
            <w:shd w:val="clear" w:fill="BDD7EE"/>
            <w:tcW w:type="pct" w:w="1223"/>
            <w:vAlign w:val="center"/>
          </w:tcPr>
          <w:p>
            <w:pPr>
              <w:rPr>
                <w:rFonts w:cs="Arial"/>
              </w:rPr>
              <w:jc w:val="right"/>
            </w:pPr>
            <w:r>
              <w:rPr>
                <w:rFonts w:cs="Arial"/>
              </w:rPr>
              <w:t>Representation Status:</w:t>
            </w:r>
          </w:p>
        </w:tc>
        <w:tc>
          <w:tcPr>
            <w:tcW w:type="pct" w:w="3777"/>
            <w:vAlign w:val="center"/>
            <w:gridSpan w:val="3"/>
          </w:tcPr>
          <w:p>
            <w:pPr>
              <w:rPr>
                <w:rFonts w:cs="Arial"/>
              </w:rPr>
            </w:pPr>
            <w:r>
              <w:rPr>
                <w:rFonts w:cs="Arial"/>
              </w:rPr>
              <w:t>Support</w:t>
            </w:r>
          </w:p>
        </w:tc>
      </w:tr>
      <w:tr>
        <w:trPr>
          <w:trHeight w:hRule="atLeast" w:val="403"/>
        </w:trPr>
        <w:tc>
          <w:tcPr>
            <w:shd w:val="clear" w:fill="BDD7EE"/>
            <w:tcW w:type="pct" w:w="1223"/>
            <w:vAlign w:val="center"/>
          </w:tcPr>
          <w:p>
            <w:pPr>
              <w:rPr>
                <w:rFonts w:cs="Arial"/>
              </w:rPr>
              <w:jc w:val="right"/>
            </w:pPr>
            <w:r>
              <w:rPr>
                <w:rFonts w:cs="Arial"/>
              </w:rPr>
              <w:t>Representation Publication:</w:t>
            </w:r>
          </w:p>
        </w:tc>
        <w:tc>
          <w:tcPr>
            <w:tcW w:type="pct" w:w="3777"/>
            <w:vAlign w:val="center"/>
            <w:gridSpan w:val="3"/>
          </w:tcPr>
          <w:p>
            <w:pPr>
              <w:rPr>
                <w:rFonts w:cs="Arial"/>
              </w:rPr>
            </w:pPr>
            <w:r>
              <w:rPr>
                <w:rFonts w:cs="Arial"/>
              </w:rPr>
              <w:t>Publish</w:t>
            </w:r>
          </w:p>
        </w:tc>
      </w:tr>
      <w:tr>
        <w:trPr>
          <w:trHeight w:hRule="atLeast" w:val="403"/>
        </w:trPr>
        <w:tc>
          <w:tcPr>
            <w:shd w:val="clear" w:fill="BDD7EE"/>
            <w:tcW w:type="pct" w:w="1223"/>
            <w:vAlign w:val="center"/>
          </w:tcPr>
          <w:p>
            <w:pPr>
              <w:rPr>
                <w:rFonts w:cs="Arial"/>
              </w:rPr>
              <w:jc w:val="right"/>
            </w:pPr>
            <w:r>
              <w:rPr>
                <w:rFonts w:cs="Arial"/>
              </w:rPr>
              <w:t>Representation Comments:</w:t>
            </w:r>
          </w:p>
        </w:tc>
        <w:tc>
          <w:tcPr>
            <w:tcW w:type="pct" w:w="3777"/>
            <w:vAlign w:val="center"/>
            <w:gridSpan w:val="3"/>
          </w:tcPr>
          <w:p>
            <w:pPr>
              <w:rPr>
                <w:rFonts w:cs="Arial"/>
              </w:rPr>
            </w:pPr>
            <w:r>
              <w:rPr>
                <w:rFonts w:cs="Arial"/>
              </w:rPr>
              <w:t xml:space="preserve">In response to the question posed to DNs by Xoserve "Does the range of CV (36-43) meet the needs of any biomethane site?"  The CV range will meet the needs of the solution to be used within the </w:t>
            </w:r>
            <w:r>
              <w:rPr>
                <w:rFonts w:cs="Arial"/>
              </w:rPr>
              <w:t>settlement and billing processes and will not feed into the FWACV. Although a default CV of 35 is normally sent a Biomethane sites as an indication of a zero flow, the CV range proposed for this process will ensure that any submissions of this value will b</w:t>
            </w:r>
            <w:r>
              <w:rPr>
                <w:rFonts w:cs="Arial"/>
              </w:rPr>
              <w:t>e excluded from the solution calculation.</w:t>
            </w:r>
          </w:p>
        </w:tc>
      </w:tr>
      <w:tr>
        <w:trPr>
          <w:trHeight w:hRule="atLeast" w:val="403"/>
        </w:trPr>
        <w:tc>
          <w:tcPr>
            <w:shd w:val="clear" w:fill="BDD7EE"/>
            <w:tcW w:type="pct" w:w="1223"/>
            <w:vAlign w:val="center"/>
          </w:tcPr>
          <w:p>
            <w:pPr>
              <w:rPr>
                <w:rFonts w:cs="Arial"/>
              </w:rPr>
              <w:jc w:val="right"/>
            </w:pPr>
            <w:r>
              <w:rPr>
                <w:rFonts w:cs="Arial"/>
              </w:rPr>
              <w:t>Confirm Target Release Date?</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 xml:space="preserve">Xoserve’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DD7EE"/>
            <w:tcW w:type="pct" w:w="1223"/>
            <w:vAlign w:val="center"/>
          </w:tcPr>
          <w:p>
            <w:pPr>
              <w:rPr>
                <w:rFonts w:cs="Arial"/>
              </w:rPr>
              <w:jc w:val="right"/>
            </w:pPr>
            <w:r>
              <w:rPr>
                <w:rFonts w:cs="Arial"/>
              </w:rPr>
              <w:t>Xoserve Response to Organisations Comments:</w:t>
            </w:r>
          </w:p>
        </w:tc>
        <w:tc>
          <w:tcPr>
            <w:tcW w:type="pct" w:w="3777"/>
            <w:vAlign w:val="center"/>
          </w:tcPr>
          <w:p>
            <w:pPr>
              <w:rPr>
                <w:rFonts w:cs="Arial"/>
              </w:rPr>
            </w:pPr>
            <w:r>
              <w:rPr>
                <w:rFonts w:cs="Arial"/>
              </w:rPr>
              <w:t>Thank you for your representation, we will feed this into ChMC for a final decision.</w:t>
            </w:r>
          </w:p>
        </w:tc>
      </w:tr>
    </w:tbl>
    <w:p>
      <w:pPr/>
    </w:p>
    <w:p>
      <w:pPr/>
      <w:r>
        <w:t xml:space="preserve">Please send the completed representation response to </w:t>
      </w:r>
      <w:hyperlink r:id="Ra575ba3c8bf741f7">
        <w:r>
          <w:rPr>
            <w:rStyle w:val="Hyperlink"/>
          </w:rPr>
          <w:t>uklink@xoserve.com</w:t>
        </w:r>
      </w:hyperlink>
      <w:r>
        <w:t xml:space="preserve"> </w:t>
      </w:r>
    </w:p>
    <w:p>
      <w:pPr/>
      <w:r>
        <w:br w:type="page"/>
      </w:r>
    </w:p>
    <w:p>
      <w:pPr>
        <w:pStyle w:val="Title"/>
      </w:pPr>
      <w:r>
        <w:t>Change Management Committee Outcome</w:t>
      </w:r>
    </w:p>
    <w:tbl>
      <w:tblPr>
        <w:tblStyle w:val="Table Grid1"/>
        <w:tblLayout w:type="fixed"/>
        <w:tblInd w:type="dxa" w:w="-34"/>
        <w:tblW w:type="pct" w:w="5018"/>
        <w:tblLook w:firstColumn="1" w:firstRow="1" w:lastColumn="0" w:lastRow="0" w:noHBand="0" w:noVBand="1"/>
      </w:tblPr>
      <w:tblGrid>
        <w:gridCol w:w="2219"/>
        <w:gridCol w:w="2276"/>
        <w:gridCol w:w="1140"/>
        <w:gridCol w:w="592"/>
        <w:gridCol w:w="546"/>
        <w:gridCol w:w="2275"/>
      </w:tblGrid>
      <w:tr>
        <w:trPr>
          <w:trHeight w:hRule="atLeast" w:val="403"/>
        </w:trPr>
        <w:tc>
          <w:tcPr>
            <w:shd w:val="clear" w:fill="B2ECFB"/>
            <w:tcW w:type="pct" w:w="1226"/>
            <w:vAlign w:val="center"/>
          </w:tcPr>
          <w:p>
            <w:pPr>
              <w:rPr>
                <w:rFonts w:cs="Arial"/>
              </w:rPr>
              <w:jc w:val="right"/>
            </w:pPr>
            <w:r>
              <w:rPr>
                <w:rFonts w:cs="Arial"/>
              </w:rPr>
              <w:t>Change Status:</w:t>
            </w:r>
          </w:p>
        </w:tc>
        <w:tc>
          <w:tcPr>
            <w:tcW w:type="pct" w:w="1258"/>
            <w:vAlign w:val="center"/>
          </w:tcPr>
          <w:p>
            <w:pPr>
              <w:rPr>
                <w:rFonts w:cs="Arial"/>
              </w:rPr>
            </w:pPr>
            <w:sdt>
              <w:sdtPr>
                <w:rPr>
                  <w:rFonts w:cs="Arial"/>
                </w:rPr>
                <w:id w:val="92291494"/>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Approve</w:t>
            </w:r>
          </w:p>
        </w:tc>
        <w:tc>
          <w:tcPr>
            <w:tcW w:type="pct" w:w="1259"/>
            <w:vAlign w:val="center"/>
            <w:gridSpan w:val="3"/>
          </w:tcPr>
          <w:p>
            <w:pPr>
              <w:rPr>
                <w:rFonts w:cs="Arial"/>
              </w:rPr>
            </w:pPr>
            <w:sdt>
              <w:sdtPr>
                <w:rPr>
                  <w:rFonts w:cs="Arial"/>
                </w:rPr>
                <w:id w:val="-92495108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Reject</w:t>
            </w:r>
          </w:p>
        </w:tc>
        <w:tc>
          <w:tcPr>
            <w:tcW w:type="pct" w:w="1257"/>
            <w:vAlign w:val="center"/>
          </w:tcPr>
          <w:p>
            <w:pPr>
              <w:rPr>
                <w:rFonts w:cs="Arial"/>
              </w:rPr>
            </w:pPr>
            <w:sdt>
              <w:sdtPr>
                <w:rPr>
                  <w:rFonts w:cs="Arial"/>
                </w:rPr>
                <w:id w:val="1974326579"/>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Defer</w:t>
            </w:r>
          </w:p>
        </w:tc>
      </w:tr>
      <w:tr>
        <w:trPr>
          <w:trHeight w:hRule="atLeast" w:val="403"/>
        </w:trPr>
        <w:tc>
          <w:tcPr>
            <w:shd w:val="clear" w:fill="B2ECFB"/>
            <w:tcW w:type="pct" w:w="1226"/>
            <w:vAlign w:val="center"/>
            <w:vMerge w:val="restart"/>
          </w:tcPr>
          <w:p>
            <w:pPr>
              <w:rPr>
                <w:rFonts w:cs="Arial"/>
              </w:rPr>
              <w:jc w:val="right"/>
            </w:pPr>
            <w:r>
              <w:rPr>
                <w:rFonts w:cs="Arial"/>
              </w:rPr>
              <w:t>Industry Consultation:</w:t>
            </w:r>
          </w:p>
        </w:tc>
        <w:tc>
          <w:tcPr>
            <w:tcW w:type="pct" w:w="1888"/>
            <w:vAlign w:val="center"/>
            <w:gridSpan w:val="2"/>
          </w:tcPr>
          <w:p>
            <w:pPr>
              <w:rPr>
                <w:rFonts w:cs="Arial"/>
              </w:rPr>
            </w:pPr>
            <w:sdt>
              <w:sdtPr>
                <w:rPr>
                  <w:rFonts w:cs="Arial"/>
                </w:rPr>
                <w:id w:val="1199442173"/>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10 Working Days</w:t>
            </w:r>
          </w:p>
        </w:tc>
        <w:tc>
          <w:tcPr>
            <w:tcW w:type="pct" w:w="1886"/>
            <w:vAlign w:val="center"/>
            <w:gridSpan w:val="3"/>
          </w:tcPr>
          <w:p>
            <w:pPr>
              <w:rPr>
                <w:rFonts w:cs="Arial"/>
              </w:rPr>
            </w:pPr>
            <w:sdt>
              <w:sdtPr>
                <w:rPr>
                  <w:rFonts w:cs="Arial"/>
                </w:rPr>
                <w:id w:val="733365445"/>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15 Working Days</w:t>
            </w:r>
          </w:p>
        </w:tc>
      </w:tr>
      <w:tr>
        <w:trPr>
          <w:trHeight w:hRule="atLeast" w:val="403"/>
        </w:trPr>
        <w:tc>
          <w:tcPr>
            <w:shd w:val="clear" w:fill="B2ECFB"/>
            <w:tcW w:type="pct" w:w="1226"/>
            <w:vAlign w:val="center"/>
            <w:vMerge w:val="continue"/>
          </w:tcPr>
          <w:p/>
        </w:tc>
        <w:tc>
          <w:tcPr>
            <w:tcW w:type="pct" w:w="1888"/>
            <w:vAlign w:val="center"/>
            <w:gridSpan w:val="2"/>
          </w:tcPr>
          <w:p>
            <w:pPr>
              <w:rPr>
                <w:rFonts w:cs="Arial"/>
              </w:rPr>
            </w:pPr>
            <w:sdt>
              <w:sdtPr>
                <w:rPr>
                  <w:rFonts w:cs="Arial"/>
                </w:rPr>
                <w:id w:val="-1948386441"/>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20 Working Days</w:t>
            </w:r>
          </w:p>
        </w:tc>
        <w:tc>
          <w:tcPr>
            <w:tcW w:type="pct" w:w="1886"/>
            <w:vAlign w:val="center"/>
            <w:gridSpan w:val="3"/>
          </w:tcPr>
          <w:p>
            <w:pPr>
              <w:rPr>
                <w:rFonts w:cs="Arial"/>
              </w:rPr>
            </w:pPr>
            <w:sdt>
              <w:sdtPr>
                <w:rPr>
                  <w:rFonts w:cs="Arial"/>
                </w:rPr>
                <w:id w:val="-2068944347"/>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Other [Specify Here]</w:t>
            </w:r>
          </w:p>
        </w:tc>
      </w:tr>
      <w:tr>
        <w:trPr>
          <w:trHeight w:hRule="atLeast" w:val="403"/>
        </w:trPr>
        <w:tc>
          <w:tcPr>
            <w:shd w:val="clear" w:fill="B2ECFB"/>
            <w:tcW w:type="pct" w:w="1226"/>
            <w:vAlign w:val="center"/>
          </w:tcPr>
          <w:p>
            <w:pPr>
              <w:rPr>
                <w:rFonts w:cs="Arial"/>
              </w:rPr>
              <w:jc w:val="right"/>
            </w:pPr>
            <w:r>
              <w:rPr>
                <w:rFonts w:cs="Arial"/>
              </w:rPr>
              <w:t>Date Issued:</w:t>
            </w:r>
          </w:p>
        </w:tc>
        <w:tc>
          <w:tcPr>
            <w:tcW w:type="pct" w:w="3774"/>
            <w:vAlign w:val="center"/>
            <w:gridSpan w:val="5"/>
          </w:tcPr>
          <w:sdt>
            <w:sdtPr>
              <w:rPr>
                <w:rFonts w:cs="Arial"/>
              </w:rPr>
              <w:id w:val="-342008601"/>
              <w:placeholder>
                <w:docPart w:val="B4DB101AE9814937B90B1F44AA0DC0D2"/>
              </w:placeholder>
              <w:date w:fullDate="2022-05-16T00:00:00Z">
                <w:dateFormat w:val="dd/MM/yyyy"/>
                <w:lid w:val="en-GB"/>
                <w:storeMappedDataAs w:val="dateTime"/>
                <w:calendar w:val="gregorian"/>
              </w:date>
            </w:sdtPr>
            <w:sdtContent>
              <w:p>
                <w:pPr/>
                <w:r>
                  <w:rPr>
                    <w:rFonts w:cs="Arial"/>
                  </w:rPr>
                  <w:t>16/05/2022</w:t>
                </w:r>
              </w:p>
            </w:sdtContent>
          </w:sdt>
        </w:tc>
      </w:tr>
      <w:tr>
        <w:trPr>
          <w:trHeight w:hRule="atLeast" w:val="403"/>
        </w:trPr>
        <w:tc>
          <w:tcPr>
            <w:shd w:val="clear" w:fill="B2ECFB"/>
            <w:tcW w:type="pct" w:w="1226"/>
            <w:vAlign w:val="center"/>
          </w:tcPr>
          <w:p>
            <w:pPr>
              <w:rPr>
                <w:rFonts w:cs="Arial"/>
              </w:rPr>
              <w:jc w:val="right"/>
            </w:pPr>
            <w:r>
              <w:rPr>
                <w:rFonts w:cs="Arial"/>
              </w:rPr>
              <w:t>Comms Ref(s):</w:t>
            </w:r>
          </w:p>
        </w:tc>
        <w:tc>
          <w:tcPr>
            <w:tcW w:type="pct" w:w="3774"/>
            <w:vAlign w:val="center"/>
            <w:gridSpan w:val="5"/>
          </w:tcPr>
          <w:p>
            <w:pPr>
              <w:rPr>
                <w:rFonts w:cs="Arial"/>
              </w:rPr>
            </w:pPr>
            <w:r>
              <w:rPr>
                <w:rFonts w:cs="Arial"/>
              </w:rPr>
              <w:t>3034.1 - MT - PO</w:t>
            </w:r>
          </w:p>
        </w:tc>
      </w:tr>
      <w:tr>
        <w:trPr>
          <w:trHeight w:hRule="atLeast" w:val="403"/>
        </w:trPr>
        <w:tc>
          <w:tcPr>
            <w:shd w:val="clear" w:fill="B2ECFB"/>
            <w:tcW w:type="pct" w:w="1226"/>
            <w:vAlign w:val="center"/>
          </w:tcPr>
          <w:p>
            <w:pPr>
              <w:rPr>
                <w:rFonts w:cs="Arial"/>
              </w:rPr>
              <w:jc w:val="right"/>
            </w:pPr>
            <w:r>
              <w:rPr>
                <w:rFonts w:cs="Arial"/>
              </w:rPr>
              <w:t>Number of Responses:</w:t>
            </w:r>
          </w:p>
        </w:tc>
        <w:tc>
          <w:tcPr>
            <w:tcW w:type="pct" w:w="3774"/>
            <w:vAlign w:val="center"/>
            <w:gridSpan w:val="5"/>
          </w:tcPr>
          <w:p>
            <w:pPr>
              <w:rPr>
                <w:rFonts w:cs="Arial"/>
              </w:rPr>
            </w:pPr>
            <w:r>
              <w:rPr>
                <w:rFonts w:cs="Arial"/>
              </w:rPr>
              <w:t xml:space="preserve">2 approval and 1 </w:t>
            </w:r>
            <w:r>
              <w:rPr>
                <w:rFonts w:cs="Arial"/>
              </w:rPr>
              <w:t>comments</w:t>
            </w:r>
            <w:r>
              <w:rPr>
                <w:rFonts w:cs="Arial"/>
              </w:rPr>
              <w:t xml:space="preserve"> only (private)</w:t>
            </w:r>
          </w:p>
        </w:tc>
      </w:tr>
      <w:tr>
        <w:trPr>
          <w:trHeight w:hRule="atLeast" w:val="403"/>
        </w:trPr>
        <w:tc>
          <w:tcPr>
            <w:shd w:val="clear" w:fill="B2ECFB"/>
            <w:tcW w:type="pct" w:w="1226"/>
            <w:vAlign w:val="center"/>
            <w:vMerge w:val="restart"/>
          </w:tcPr>
          <w:p>
            <w:pPr>
              <w:rPr>
                <w:rFonts w:cs="Arial"/>
              </w:rPr>
              <w:jc w:val="right"/>
            </w:pPr>
            <w:r>
              <w:rPr>
                <w:rFonts w:cs="Arial"/>
              </w:rPr>
              <w:t>Solution Voting:</w:t>
            </w:r>
          </w:p>
        </w:tc>
        <w:tc>
          <w:tcPr>
            <w:tcW w:type="pct" w:w="2215"/>
            <w:vAlign w:val="center"/>
            <w:gridSpan w:val="3"/>
          </w:tcPr>
          <w:p>
            <w:pPr>
              <w:rPr>
                <w:rFonts w:cs="Arial"/>
              </w:rPr>
            </w:pPr>
            <w:sdt>
              <w:sdtPr>
                <w:rPr>
                  <w:rFonts w:cs="Arial"/>
                </w:rPr>
                <w:id w:val="1430934478"/>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Shipper</w:t>
            </w:r>
          </w:p>
        </w:tc>
        <w:tc>
          <w:tcPr>
            <w:tcW w:type="pct" w:w="1559"/>
            <w:vAlign w:val="center"/>
            <w:gridSpan w:val="2"/>
          </w:tcPr>
          <w:sdt>
            <w:sdtPr>
              <w:rPr>
                <w:rFonts w:cs="Arial"/>
              </w:rPr>
              <w:alias w:val="Voting"/>
              <w:tag w:val="Voting"/>
              <w:id w:val="973639804"/>
              <w:comboBox>
                <w:listItem w:displayText="Approve" w:value="Approve"/>
                <w:listItem w:displayText="Reject" w:value="Reject"/>
                <w:listItem w:displayText="N/A" w:value="N/A"/>
                <w:listItem w:displayText="Abstain" w:value="Abstain"/>
              </w:comboBox>
            </w:sdtPr>
            <w:sdtContent>
              <w:p>
                <w:pPr>
                  <w:rPr>
                    <w:rFonts w:cs="Arial"/>
                  </w:rPr>
                </w:pPr>
                <w:r>
                  <w:rPr>
                    <w:rFonts w:cs="Arial"/>
                  </w:rPr>
                  <w:t>Approve</w:t>
                </w:r>
              </w:p>
            </w:sdtContent>
          </w:sdt>
        </w:tc>
      </w:tr>
      <w:tr>
        <w:trPr>
          <w:trHeight w:hRule="atLeast" w:val="403"/>
        </w:trPr>
        <w:tc>
          <w:tcPr>
            <w:shd w:val="clear" w:fill="B2ECFB"/>
            <w:tcW w:type="pct" w:w="1226"/>
            <w:vAlign w:val="center"/>
            <w:vMerge w:val="continue"/>
          </w:tcPr>
          <w:p/>
        </w:tc>
        <w:tc>
          <w:tcPr>
            <w:tcW w:type="pct" w:w="2215"/>
            <w:vAlign w:val="center"/>
            <w:gridSpan w:val="3"/>
          </w:tcPr>
          <w:p>
            <w:pPr>
              <w:rPr>
                <w:rFonts w:cs="Arial"/>
              </w:rPr>
            </w:pPr>
            <w:sdt>
              <w:sdtPr>
                <w:rPr>
                  <w:rFonts w:cs="Arial"/>
                </w:rPr>
                <w:id w:val="1356080623"/>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National Grid Transmission</w:t>
            </w:r>
          </w:p>
        </w:tc>
        <w:tc>
          <w:tcPr>
            <w:tcW w:type="pct" w:w="1559"/>
            <w:vAlign w:val="center"/>
            <w:gridSpan w:val="2"/>
          </w:tcPr>
          <w:sdt>
            <w:sdtPr>
              <w:rPr>
                <w:rFonts w:cs="Arial"/>
              </w:rPr>
              <w:alias w:val="Voting"/>
              <w:tag w:val="Voting"/>
              <w:id w:val="495002450"/>
              <w:comboBox>
                <w:listItem w:displayText="Approve" w:value="Approve"/>
                <w:listItem w:displayText="Reject" w:value="Reject"/>
                <w:listItem w:displayText="N/A" w:value="N/A"/>
                <w:listItem w:displayText="Abstain" w:value="Abstain"/>
              </w:comboBox>
            </w:sdtPr>
            <w:sdtContent>
              <w:p>
                <w:pPr>
                  <w:rPr>
                    <w:rFonts w:cs="Arial"/>
                  </w:rPr>
                </w:pPr>
                <w:r>
                  <w:rPr>
                    <w:rFonts w:cs="Arial"/>
                  </w:rPr>
                  <w:t>N/A</w:t>
                </w:r>
              </w:p>
            </w:sdtContent>
          </w:sdt>
        </w:tc>
      </w:tr>
      <w:tr>
        <w:trPr>
          <w:trHeight w:hRule="atLeast" w:val="403"/>
        </w:trPr>
        <w:tc>
          <w:tcPr>
            <w:shd w:val="clear" w:fill="B2ECFB"/>
            <w:tcW w:type="pct" w:w="1226"/>
            <w:vAlign w:val="center"/>
            <w:vMerge w:val="continue"/>
          </w:tcPr>
          <w:p/>
        </w:tc>
        <w:tc>
          <w:tcPr>
            <w:tcW w:type="pct" w:w="2215"/>
            <w:vAlign w:val="center"/>
            <w:gridSpan w:val="3"/>
          </w:tcPr>
          <w:p>
            <w:pPr>
              <w:rPr>
                <w:rFonts w:cs="Arial"/>
              </w:rPr>
            </w:pPr>
            <w:sdt>
              <w:sdtPr>
                <w:rPr>
                  <w:rFonts w:cs="Arial"/>
                </w:rPr>
                <w:id w:val="-1545287321"/>
                <w14:checkbox>
                  <w14:checked w14:val="1"/>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Distribution Network Operator</w:t>
            </w:r>
          </w:p>
        </w:tc>
        <w:tc>
          <w:tcPr>
            <w:tcW w:type="pct" w:w="1559"/>
            <w:vAlign w:val="center"/>
            <w:gridSpan w:val="2"/>
          </w:tcPr>
          <w:sdt>
            <w:sdtPr>
              <w:rPr>
                <w:rFonts w:cs="Arial"/>
              </w:rPr>
              <w:alias w:val="Voting"/>
              <w:tag w:val="Voting"/>
              <w:id w:val="436720914"/>
              <w:comboBox>
                <w:listItem w:displayText="Approve" w:value="Approve"/>
                <w:listItem w:displayText="Reject" w:value="Reject"/>
                <w:listItem w:displayText="N/A" w:value="N/A"/>
                <w:listItem w:displayText="Abstain" w:value="Abstain"/>
              </w:comboBox>
            </w:sdtPr>
            <w:sdtContent>
              <w:p>
                <w:pPr>
                  <w:rPr>
                    <w:rFonts w:cs="Arial"/>
                  </w:rPr>
                </w:pPr>
                <w:r>
                  <w:rPr>
                    <w:rFonts w:cs="Arial"/>
                  </w:rPr>
                  <w:t>Approve</w:t>
                </w:r>
              </w:p>
            </w:sdtContent>
          </w:sdt>
        </w:tc>
      </w:tr>
      <w:tr>
        <w:trPr>
          <w:trHeight w:hRule="atLeast" w:val="403"/>
        </w:trPr>
        <w:tc>
          <w:tcPr>
            <w:shd w:val="clear" w:fill="B2ECFB"/>
            <w:tcW w:type="pct" w:w="1226"/>
            <w:vAlign w:val="center"/>
            <w:vMerge w:val="continue"/>
          </w:tcPr>
          <w:p/>
        </w:tc>
        <w:tc>
          <w:tcPr>
            <w:tcW w:type="pct" w:w="2215"/>
            <w:vAlign w:val="center"/>
            <w:gridSpan w:val="3"/>
          </w:tcPr>
          <w:p>
            <w:pPr>
              <w:rPr>
                <w:rFonts w:cs="Arial"/>
              </w:rPr>
            </w:pPr>
            <w:sdt>
              <w:sdtPr>
                <w:rPr>
                  <w:rFonts w:cs="Arial"/>
                </w:rPr>
                <w:id w:val="-67951040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IGT</w:t>
            </w:r>
          </w:p>
        </w:tc>
        <w:tc>
          <w:tcPr>
            <w:tcW w:type="pct" w:w="1559"/>
            <w:vAlign w:val="center"/>
            <w:gridSpan w:val="2"/>
          </w:tcPr>
          <w:sdt>
            <w:sdtPr>
              <w:rPr>
                <w:rFonts w:cs="Arial"/>
              </w:rPr>
              <w:alias w:val="Voting"/>
              <w:tag w:val="Voting"/>
              <w:id w:val="-771619236"/>
              <w:comboBox>
                <w:listItem w:displayText="Approve" w:value="Approve"/>
                <w:listItem w:displayText="Reject" w:value="Reject"/>
                <w:listItem w:displayText="N/A" w:value="N/A"/>
                <w:listItem w:displayText="Abstain" w:value="Abstain"/>
              </w:comboBox>
            </w:sdtPr>
            <w:sdtContent>
              <w:p>
                <w:pPr>
                  <w:rPr>
                    <w:rFonts w:cs="Arial"/>
                  </w:rPr>
                </w:pPr>
                <w:r>
                  <w:rPr>
                    <w:rFonts w:cs="Arial"/>
                  </w:rPr>
                  <w:t>N/A</w:t>
                </w:r>
              </w:p>
            </w:sdtContent>
          </w:sdt>
        </w:tc>
      </w:tr>
      <w:tr>
        <w:trPr>
          <w:trHeight w:hRule="atLeast" w:val="403"/>
        </w:trPr>
        <w:tc>
          <w:tcPr>
            <w:shd w:val="clear" w:fill="B2ECFB"/>
            <w:tcW w:type="pct" w:w="1226"/>
            <w:vAlign w:val="center"/>
          </w:tcPr>
          <w:p>
            <w:pPr>
              <w:rPr>
                <w:rFonts w:cs="Arial"/>
              </w:rPr>
              <w:jc w:val="right"/>
            </w:pPr>
            <w:r>
              <w:rPr>
                <w:rFonts w:cs="Arial"/>
              </w:rPr>
              <w:t>Meeting Date:</w:t>
            </w:r>
          </w:p>
        </w:tc>
        <w:tc>
          <w:tcPr>
            <w:tcW w:type="pct" w:w="3774"/>
            <w:vAlign w:val="center"/>
            <w:gridSpan w:val="5"/>
          </w:tcPr>
          <w:sdt>
            <w:sdtPr>
              <w:rPr>
                <w:rFonts w:cs="Arial"/>
              </w:rPr>
              <w:id w:val="626280683"/>
              <w:date w:fullDate="2022-06-08T00:00:00Z">
                <w:dateFormat w:val="dd/MM/yyyy"/>
                <w:lid w:val="en-GB"/>
                <w:storeMappedDataAs w:val="dateTime"/>
                <w:calendar w:val="gregorian"/>
              </w:date>
            </w:sdtPr>
            <w:sdtContent>
              <w:p>
                <w:pPr/>
                <w:r>
                  <w:rPr>
                    <w:rFonts w:cs="Arial"/>
                  </w:rPr>
                  <w:t>08/06/2022</w:t>
                </w:r>
              </w:p>
            </w:sdtContent>
          </w:sdt>
        </w:tc>
      </w:tr>
      <w:tr>
        <w:trPr>
          <w:trHeight w:hRule="atLeast" w:val="403"/>
        </w:trPr>
        <w:tc>
          <w:tcPr>
            <w:shd w:val="clear" w:fill="B2ECFB"/>
            <w:tcW w:type="pct" w:w="1226"/>
            <w:vAlign w:val="center"/>
          </w:tcPr>
          <w:p>
            <w:pPr>
              <w:rPr>
                <w:rFonts w:cs="Arial"/>
              </w:rPr>
              <w:jc w:val="right"/>
            </w:pPr>
            <w:r>
              <w:rPr>
                <w:rFonts w:cs="Arial"/>
              </w:rPr>
              <w:t>Release Date:</w:t>
            </w:r>
          </w:p>
        </w:tc>
        <w:tc>
          <w:tcPr>
            <w:tcW w:type="pct" w:w="3774"/>
            <w:vAlign w:val="center"/>
            <w:gridSpan w:val="5"/>
          </w:tcPr>
          <w:p>
            <w:pPr>
              <w:rPr>
                <w:rFonts w:cs="Arial"/>
              </w:rPr>
            </w:pPr>
            <w:r>
              <w:rPr>
                <w:rFonts w:cs="Arial"/>
              </w:rPr>
              <w:t xml:space="preserve">Release: </w:t>
            </w:r>
            <w:r>
              <w:rPr>
                <w:rFonts w:cs="Arial"/>
              </w:rPr>
              <w:t>TBC</w:t>
            </w:r>
          </w:p>
        </w:tc>
      </w:tr>
    </w:tbl>
    <w:p>
      <w:pPr/>
    </w:p>
    <w:p>
      <w:pPr/>
    </w:p>
    <w:p>
      <w:pPr/>
      <w:r>
        <w:t xml:space="preserve">Please send the completed representation response to </w:t>
      </w:r>
      <w:hyperlink r:id="Rd5e2774f92b84e36">
        <w:r>
          <w:rPr>
            <w:rStyle w:val="Hyperlink"/>
          </w:rPr>
          <w:t>uklink@xoserve.com</w:t>
        </w:r>
      </w:hyperlink>
      <w:r>
        <w:t xml:space="preserve"> </w:t>
      </w:r>
    </w:p>
    <w:p>
      <w:pPr/>
    </w:p>
    <w:p>
      <w:pPr>
        <w:pStyle w:val="Title"/>
      </w:pPr>
      <w:r>
        <w:t>Version Control</w:t>
      </w:r>
    </w:p>
    <w:p>
      <w:pPr>
        <w:pStyle w:val="heading 1"/>
      </w:pPr>
      <w:r>
        <w:t>Document</w:t>
      </w:r>
    </w:p>
    <w:tbl>
      <w:tblPr>
        <w:tblStyle w:val="Table Grid"/>
        <w:tblLayout w:type="fixed"/>
        <w:tblW w:type="pct" w:w="5000"/>
        <w:tblLook w:firstColumn="1" w:firstRow="1" w:lastColumn="0" w:lastRow="0" w:noHBand="0" w:noVBand="1"/>
      </w:tblPr>
      <w:tblGrid>
        <w:gridCol w:w="1075"/>
        <w:gridCol w:w="1381"/>
        <w:gridCol w:w="1383"/>
        <w:gridCol w:w="1661"/>
        <w:gridCol w:w="3516"/>
      </w:tblGrid>
      <w:tr>
        <w:trPr>
          <w:trHeight w:hRule="atLeast" w:val="403"/>
        </w:trPr>
        <w:tc>
          <w:tcPr>
            <w:shd w:val="clear" w:fill="BDD7EE"/>
            <w:tcW w:type="pct" w:w="596"/>
            <w:vAlign w:val="center"/>
          </w:tcPr>
          <w:p>
            <w:pPr>
              <w:rPr>
                <w:rFonts w:cs="Arial"/>
              </w:rPr>
            </w:pPr>
            <w:r>
              <w:rPr>
                <w:rFonts w:cs="Arial"/>
              </w:rPr>
              <w:t>Version</w:t>
            </w:r>
          </w:p>
        </w:tc>
        <w:tc>
          <w:tcPr>
            <w:shd w:val="clear" w:fill="BDD7EE"/>
            <w:tcW w:type="pct" w:w="766"/>
            <w:vAlign w:val="center"/>
          </w:tcPr>
          <w:p>
            <w:pPr>
              <w:rPr>
                <w:rFonts w:cs="Arial"/>
              </w:rPr>
            </w:pPr>
            <w:r>
              <w:rPr>
                <w:rFonts w:cs="Arial"/>
              </w:rPr>
              <w:t>Status</w:t>
            </w:r>
          </w:p>
        </w:tc>
        <w:tc>
          <w:tcPr>
            <w:shd w:val="clear" w:fill="BDD7EE"/>
            <w:tcW w:type="pct" w:w="767"/>
            <w:vAlign w:val="center"/>
          </w:tcPr>
          <w:p>
            <w:pPr>
              <w:rPr>
                <w:rFonts w:cs="Arial"/>
              </w:rPr>
            </w:pPr>
            <w:r>
              <w:rPr>
                <w:rFonts w:cs="Arial"/>
              </w:rPr>
              <w:t>Date</w:t>
            </w:r>
          </w:p>
        </w:tc>
        <w:tc>
          <w:tcPr>
            <w:shd w:val="clear" w:fill="BDD7EE"/>
            <w:tcW w:type="pct" w:w="921"/>
            <w:vAlign w:val="center"/>
          </w:tcPr>
          <w:p>
            <w:pPr>
              <w:rPr>
                <w:rFonts w:cs="Arial"/>
              </w:rPr>
            </w:pPr>
            <w:r>
              <w:rPr>
                <w:rFonts w:cs="Arial"/>
              </w:rPr>
              <w:t>Author(s)</w:t>
            </w:r>
          </w:p>
        </w:tc>
        <w:tc>
          <w:tcPr>
            <w:shd w:val="clear" w:fill="BDD7EE"/>
            <w:tcW w:type="pct" w:w="1950"/>
            <w:vAlign w:val="center"/>
          </w:tcPr>
          <w:p>
            <w:pPr>
              <w:rPr>
                <w:rFonts w:cs="Arial"/>
              </w:rPr>
            </w:pPr>
            <w:r>
              <w:t>Remarks</w:t>
            </w:r>
          </w:p>
        </w:tc>
      </w:tr>
      <w:tr>
        <w:trPr>
          <w:trHeight w:hRule="atLeast" w:val="403"/>
        </w:trPr>
        <w:tc>
          <w:tcPr>
            <w:shd w:val="clear" w:fill="FFFFFF"/>
            <w:tcW w:type="pct" w:w="596"/>
            <w:vAlign w:val="center"/>
          </w:tcPr>
          <w:p>
            <w:pPr>
              <w:rPr>
                <w:rFonts w:cs="Arial"/>
              </w:rPr>
            </w:pPr>
          </w:p>
        </w:tc>
        <w:tc>
          <w:tcPr>
            <w:shd w:val="clear" w:fill="FFFFFF"/>
            <w:tcW w:type="pct" w:w="766"/>
            <w:vAlign w:val="center"/>
          </w:tcPr>
          <w:p>
            <w:pPr>
              <w:rPr>
                <w:rFonts w:cs="Arial"/>
              </w:rPr>
            </w:pPr>
          </w:p>
        </w:tc>
        <w:tc>
          <w:tcPr>
            <w:shd w:val="clear" w:fill="FFFFFF"/>
            <w:tcW w:type="pct" w:w="767"/>
            <w:vAlign w:val="center"/>
          </w:tcPr>
          <w:p>
            <w:pPr>
              <w:rPr>
                <w:rFonts w:cs="Arial"/>
              </w:rPr>
            </w:pPr>
          </w:p>
        </w:tc>
        <w:tc>
          <w:tcPr>
            <w:shd w:val="clear" w:fill="FFFFFF"/>
            <w:tcW w:type="pct" w:w="921"/>
            <w:vAlign w:val="center"/>
          </w:tcPr>
          <w:p>
            <w:pPr>
              <w:rPr>
                <w:rFonts w:cs="Arial"/>
              </w:rPr>
            </w:pPr>
          </w:p>
        </w:tc>
        <w:tc>
          <w:tcPr>
            <w:shd w:val="clear" w:fill="FFFFFF"/>
            <w:tcW w:type="pct" w:w="1950"/>
            <w:vAlign w:val="center"/>
          </w:tcPr>
          <w:p>
            <w:pPr>
              <w:rPr>
                <w:rFonts w:cs="Arial"/>
              </w:rPr>
            </w:pPr>
          </w:p>
        </w:tc>
      </w:tr>
    </w:tbl>
    <w:p>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241efa4bc70943bf"/>
      <w:footerReference w:type="default" r:id="R9cc9352547b842e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Calibri">
    <w:panose1 w:val="020F0502020204030204"/>
    <w:charset w:val="01"/>
    <w:family w:val="auto"/>
    <w:notTrueType w:val="off"/>
    <w:pitch w:val="variable"/>
    <w:sig w:usb0="E0002AFF" w:usb1="C000247B" w:usb2="00000009" w:usb3="00000000" w:csb0="200001FF" w:csb1="00000000"/>
  </w:font>
  <w:font w:name="Times New Roman">
    <w:panose1 w:val="02020603050405020304"/>
    <w:charset w:val="01"/>
    <w:family w:val="auto"/>
    <w:notTrueType w:val="off"/>
    <w:pitch w:val="variable"/>
    <w:sig w:usb0="E0002EFF" w:usb1="C000785B" w:usb2="00000009" w:usb3="00000000" w:csb0="400001FF" w:csb1="FFFF0000"/>
  </w:font>
  <w:font w:name="MS Gothic">
    <w:panose1 w:val="020B0609070205080204"/>
    <w:charset w:val="01"/>
    <w:family w:val="auto"/>
    <w:notTrueType w:val="off"/>
    <w:pitch w:val="fixed"/>
    <w:sig w:usb0="E00002FF" w:usb1="6AC7FDFB" w:usb2="08000012" w:usb3="00000000" w:csb0="4002009F" w:csb1="DFD70000"/>
    <w:altName w:val="ＭＳ ゴシック"/>
  </w:font>
  <w:font w:name="Calibri Light">
    <w:panose1 w:val="020F0302020204030204"/>
    <w:charset w:val="01"/>
    <w:family w:val="auto"/>
    <w:notTrueType w:val="off"/>
    <w:pitch w:val="variable"/>
    <w:sig w:usb0="E0002AFF" w:usb1="C000247B" w:usb2="00000009" w:usb3="00000000" w:csb0="200001FF" w:csb1="0000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v1.0</w:t>
    </w:r>
  </w:p>
  <w:p>
    <w:pPr>
      <w:pStyle w:val="footer"/>
    </w:pPr>
  </w:p>
  <w:p>
    <w:pPr>
      <w:pStyle w:val="footer"/>
    </w:pPr>
    <w:r>
      <w:t>*</w:t>
    </w:r>
    <w:r>
      <w:rPr>
        <w:sz w:val="20"/>
        <w:szCs w:val="20"/>
      </w:rPr>
      <w:t>Assumed impacted parties of the proposed change, all parties are encouraged to review</w:t>
    </w:r>
    <w:r>
      <mc:AlternateContent>
        <mc:Choice Requires="wps">
          <w:drawing>
            <wp:anchor allowOverlap="1" layoutInCell="1" relativeHeight="251658245"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14" name="drawingObject14"/>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6" locked="0" simplePos="0" distL="114300" distT="0" distR="114300" distB="0" behindDoc="0">
              <wp:simplePos x="0" y="0"/>
              <wp:positionH relativeFrom="column">
                <wp:posOffset>3743325</wp:posOffset>
              </wp:positionH>
              <wp:positionV relativeFrom="paragraph">
                <wp:posOffset>-70485</wp:posOffset>
              </wp:positionV>
              <wp:extent cx="2066926" cy="325750"/>
              <wp:effectExtent l="0" t="0" r="0" b="0"/>
              <wp:wrapNone/>
              <wp:docPr id="11" name="drawingObject11"/>
              <wp:cNvGraphicFramePr>
                <a:graphicFrameLocks noChangeAspect="1"/>
              </wp:cNvGraphicFramePr>
              <a:graphic>
                <a:graphicData uri="http://schemas.openxmlformats.org/drawingml/2006/picture">
                  <pic:pic>
                    <pic:nvPicPr>
                      <pic:cNvPr id="12" name="Picture 12"/>
                      <pic:cNvPicPr/>
                    </pic:nvPicPr>
                    <pic:blipFill>
                      <a:blip r:embed="R3e5da95e42d64403"/>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8244"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13" name="drawingObject13"/>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Style50"/>
    <w:multiLevelType w:val="hybridMultilevel"/>
    <w:name w:val="Style50"/>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1">
    <w:styleLink w:val="ListStyle1"/>
    <w:multiLevelType w:val="hybridMultilevel"/>
    <w:name w:val="ListStyle1"/>
    <w:lvl w:ilvl="0">
      <w:numFmt w:val="decimal"/>
      <w:start w:val="1"/>
      <w:lvlText w:val="%1."/>
      <w:lvlJc w:val="left"/>
      <w:pPr>
        <w:tabs>
          <w:tab w:val="num" w:leader="none" w:pos="720"/>
        </w:tabs>
        <w:ind w:hanging="720" w:left="720"/>
      </w:pPr>
    </w:lvl>
    <w:lvl w:ilvl="1">
      <w:numFmt w:val="decimal"/>
      <w:start w:val="1"/>
      <w:lvlText w:val="%2."/>
      <w:lvlJc w:val="left"/>
      <w:pPr>
        <w:tabs>
          <w:tab w:val="num" w:leader="none" w:pos="1440"/>
        </w:tabs>
        <w:ind w:hanging="720" w:left="1440"/>
      </w:pPr>
    </w:lvl>
    <w:lvl w:ilvl="2">
      <w:numFmt w:val="decimal"/>
      <w:start w:val="1"/>
      <w:lvlText w:val="%3."/>
      <w:lvlJc w:val="left"/>
      <w:pPr>
        <w:tabs>
          <w:tab w:val="num" w:leader="none" w:pos="2160"/>
        </w:tabs>
        <w:ind w:hanging="720" w:left="2160"/>
      </w:pPr>
    </w:lvl>
    <w:lvl w:ilvl="3">
      <w:numFmt w:val="decimal"/>
      <w:start w:val="1"/>
      <w:lvlText w:val="%4."/>
      <w:lvlJc w:val="left"/>
      <w:pPr>
        <w:tabs>
          <w:tab w:val="num" w:leader="none" w:pos="2880"/>
        </w:tabs>
        <w:ind w:hanging="720" w:left="2880"/>
      </w:pPr>
    </w:lvl>
    <w:lvl w:ilvl="4">
      <w:numFmt w:val="decimal"/>
      <w:start w:val="1"/>
      <w:lvlText w:val="%5."/>
      <w:lvlJc w:val="left"/>
      <w:pPr>
        <w:tabs>
          <w:tab w:val="num" w:leader="none" w:pos="3600"/>
        </w:tabs>
        <w:ind w:hanging="720" w:left="3600"/>
      </w:pPr>
    </w:lvl>
    <w:lvl w:ilvl="5">
      <w:numFmt w:val="decimal"/>
      <w:start w:val="1"/>
      <w:lvlText w:val="%6."/>
      <w:lvlJc w:val="left"/>
      <w:pPr>
        <w:tabs>
          <w:tab w:val="num" w:leader="none" w:pos="4320"/>
        </w:tabs>
        <w:ind w:hanging="720" w:left="4320"/>
      </w:pPr>
    </w:lvl>
    <w:lvl w:ilvl="6">
      <w:numFmt w:val="decimal"/>
      <w:start w:val="1"/>
      <w:lvlText w:val="%7."/>
      <w:lvlJc w:val="left"/>
      <w:pPr>
        <w:tabs>
          <w:tab w:val="num" w:leader="none" w:pos="5040"/>
        </w:tabs>
        <w:ind w:hanging="720" w:left="5040"/>
      </w:pPr>
    </w:lvl>
    <w:lvl w:ilvl="7">
      <w:numFmt w:val="decimal"/>
      <w:start w:val="1"/>
      <w:lvlText w:val="%8."/>
      <w:lvlJc w:val="left"/>
      <w:pPr>
        <w:tabs>
          <w:tab w:val="num" w:leader="none" w:pos="5760"/>
        </w:tabs>
        <w:ind w:hanging="720" w:left="5760"/>
      </w:pPr>
    </w:lvl>
    <w:lvl w:ilvl="8">
      <w:numFmt w:val="decimal"/>
      <w:start w:val="1"/>
      <w:lvlText w:val="%9."/>
      <w:lvlJc w:val="left"/>
      <w:pPr>
        <w:tabs>
          <w:tab w:val="num" w:leader="none" w:pos="6480"/>
        </w:tabs>
        <w:ind w:hanging="720" w:left="6480"/>
      </w:pPr>
    </w:lvl>
  </w:abstractNum>
  <w:abstractNum w:abstractNumId="2">
    <w:styleLink w:val="Style501"/>
    <w:multiLevelType w:val="hybridMultilevel"/>
    <w:name w:val="Style501"/>
    <w:lvl w:ilvl="0">
      <w:numFmt w:val="bullet"/>
      <w:start w:val="1"/>
      <w:lvlText w:val=""/>
      <w:lvlJc w:val="left"/>
      <w:pPr>
        <w:ind w:hanging="360" w:left="1080"/>
      </w:pPr>
      <w:rPr>
        <w:rFonts w:ascii="Symbol" w:hAnsi="Symbol"/>
      </w:rPr>
    </w:lvl>
    <w:lvl w:ilvl="1">
      <w:numFmt w:val="bullet"/>
      <w:start w:val="1"/>
      <w:lvlText w:val="o"/>
      <w:lvlJc w:val="left"/>
      <w:pPr>
        <w:ind w:hanging="360" w:left="1800"/>
      </w:pPr>
      <w:rPr>
        <w:rFonts w:ascii="Courier New" w:hAnsi="Courier New" w:cs="Courier New"/>
      </w:rPr>
    </w:lvl>
    <w:lvl w:ilvl="2">
      <w:numFmt w:val="bullet"/>
      <w:start w:val="1"/>
      <w:lvlText w:val=""/>
      <w:lvlJc w:val="left"/>
      <w:pPr>
        <w:ind w:hanging="360" w:left="2520"/>
      </w:pPr>
      <w:rPr>
        <w:rFonts w:ascii="Wingdings" w:hAnsi="Wingdings"/>
      </w:rPr>
    </w:lvl>
    <w:lvl w:ilvl="3">
      <w:numFmt w:val="bullet"/>
      <w:start w:val="1"/>
      <w:lvlText w:val=""/>
      <w:lvlJc w:val="left"/>
      <w:pPr>
        <w:ind w:hanging="360" w:left="3240"/>
      </w:pPr>
      <w:rPr>
        <w:rFonts w:ascii="Symbol" w:hAnsi="Symbol"/>
      </w:rPr>
    </w:lvl>
    <w:lvl w:ilvl="4">
      <w:numFmt w:val="bullet"/>
      <w:start w:val="1"/>
      <w:lvlText w:val="o"/>
      <w:lvlJc w:val="left"/>
      <w:pPr>
        <w:ind w:hanging="360" w:left="3960"/>
      </w:pPr>
      <w:rPr>
        <w:rFonts w:ascii="Courier New" w:hAnsi="Courier New" w:cs="Courier New"/>
      </w:rPr>
    </w:lvl>
    <w:lvl w:ilvl="5">
      <w:numFmt w:val="bullet"/>
      <w:start w:val="1"/>
      <w:lvlText w:val=""/>
      <w:lvlJc w:val="left"/>
      <w:pPr>
        <w:ind w:hanging="360" w:left="4680"/>
      </w:pPr>
      <w:rPr>
        <w:rFonts w:ascii="Wingdings" w:hAnsi="Wingdings"/>
      </w:rPr>
    </w:lvl>
    <w:lvl w:ilvl="6">
      <w:numFmt w:val="bullet"/>
      <w:start w:val="1"/>
      <w:lvlText w:val=""/>
      <w:lvlJc w:val="left"/>
      <w:pPr>
        <w:ind w:hanging="360" w:left="5400"/>
      </w:pPr>
      <w:rPr>
        <w:rFonts w:ascii="Symbol" w:hAnsi="Symbol"/>
      </w:rPr>
    </w:lvl>
    <w:lvl w:ilvl="7">
      <w:numFmt w:val="bullet"/>
      <w:start w:val="1"/>
      <w:lvlText w:val="o"/>
      <w:lvlJc w:val="left"/>
      <w:pPr>
        <w:ind w:hanging="360" w:left="6120"/>
      </w:pPr>
      <w:rPr>
        <w:rFonts w:ascii="Courier New" w:hAnsi="Courier New" w:cs="Courier New"/>
      </w:rPr>
    </w:lvl>
    <w:lvl w:ilvl="8">
      <w:numFmt w:val="bullet"/>
      <w:start w:val="1"/>
      <w:lvlText w:val=""/>
      <w:lvlJc w:val="left"/>
      <w:pPr>
        <w:ind w:hanging="360" w:left="6840"/>
      </w:pPr>
      <w:rPr>
        <w:rFonts w:ascii="Wingdings" w:hAnsi="Wingdings"/>
      </w:rPr>
    </w:lvl>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1">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Times New Roman" w:eastAsia="Times New Roman"/>
        <w:lang w:val="en-GB"/>
        <w:sz w:val="22"/>
        <w:szCs w:val="22"/>
      </w:rPr>
    </w:rPrDefault>
    <w:pPrDefault>
      <w:pPr>
        <w:spacing w:after="200" w:lineRule="auto" w:line="276"/>
      </w:pPr>
    </w:pPrDefault>
  </w:docDefaults>
  <w:style w:type="paragraph" w:styleId="Normal" w:default="1">
    <w:name w:val="Normal"/>
    <w:qFormat/>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Pr>
  </w:style>
  <w:style w:type="paragraph" w:styleId="heading 4">
    <w:name w:val="heading 4"/>
    <w:qFormat/>
    <w:basedOn w:val="Normal"/>
    <w:pPr>
      <w:keepLines w:val="1"/>
      <w:keepNext w:val="1"/>
      <w:spacing w:before="200" w:after="0"/>
      <w:outlineLvl w:val="3"/>
    </w:pPr>
    <w:rPr>
      <w:b w:val="1"/>
      <w:bCs w:val="1"/>
      <w:color w:val="3E5AA8"/>
      <w:i w:val="1"/>
      <w:iCs w:val="1"/>
    </w:rPr>
  </w:style>
  <w:style w:type="paragraph" w:styleId="heading 5">
    <w:name w:val="heading 5"/>
    <w:qFormat/>
    <w:basedOn w:val="Normal"/>
    <w:pPr>
      <w:keepLines w:val="1"/>
      <w:keepNext w:val="1"/>
      <w:spacing w:before="200" w:after="0"/>
      <w:outlineLvl w:val="4"/>
    </w:pPr>
    <w:rPr>
      <w:color w:val="1F2D54"/>
    </w:rPr>
  </w:style>
  <w:style w:type="paragraph" w:styleId="heading 8">
    <w:name w:val="heading 8"/>
    <w:qFormat/>
    <w:basedOn w:val="Normal"/>
    <w:pPr>
      <w:keepLines w:val="1"/>
      <w:keepNext w:val="1"/>
      <w:spacing w:before="40" w:after="0"/>
      <w:outlineLvl w:val="7"/>
    </w:pPr>
    <w:rPr>
      <w:color w:val="272727"/>
      <w:rFonts w:ascii="Calibri Light" w:hAnsi="Calibri Light"/>
      <w:sz w:val="21"/>
      <w:szCs w:val="21"/>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List Paragraph Char">
    <w:name w:val="List Paragraph Char"/>
    <w:qFormat/>
  </w:style>
  <w:style w:type="paragraph" w:styleId="Revision">
    <w:name w:val="Revision"/>
    <w:qFormat/>
    <w:pPr>
      <w:spacing w:after="0" w:lineRule="auto" w:line="240"/>
    </w:pPr>
  </w:style>
  <w:style w:type="character" w:styleId="Unresolved Mention">
    <w:name w:val="Unresolved Mention"/>
    <w:qFormat/>
    <w:basedOn w:val="Default Paragraph Font"/>
    <w:rPr>
      <w:shd w:val="clear" w:fill="E1DFDD"/>
      <w:color w:val="605E5C"/>
    </w:rPr>
  </w:style>
  <w:style w:type="table" w:styleId="Grid Table 5 Dark Accent 1">
    <w:name w:val="Grid Table 5 Dark Accent 1"/>
    <w:qFormat/>
    <w:basedOn w:val="Normal Table"/>
    <w:tblPr>
      <w:tblStyleRowBandSize w:val="1"/>
      <w:tblStyleColBandSize w:val="1"/>
      <w:tblBorders>
        <w:left w:val="single" w:sz="4" w:space="0" w:color="FFFFFF"/>
        <w:top w:val="single" w:sz="4" w:space="0" w:color="FFFFFF"/>
        <w:right w:val="single" w:sz="4" w:space="0" w:color="FFFFFF"/>
        <w:bottom w:val="single" w:sz="4" w:space="0" w:color="FFFFFF"/>
        <w:insideH w:val="single" w:sz="4" w:space="0" w:color="FFFFFF"/>
        <w:insideV w:val="single" w:sz="4" w:space="0" w:color="FFFFFF"/>
      </w:tblBorders>
    </w:tblPr>
    <w:tcPr>
      <w:shd w:val="clear" w:fill="DAE3F3"/>
    </w:tcPr>
    <w:pPr>
      <w:spacing w:after="0" w:lineRule="auto" w:line="240"/>
    </w:pPr>
    <w:tblStylePr w:type="firstRow">
      <w:tcPr>
        <w:shd w:val="clear" w:fill="4472C4"/>
        <w:tcBorders>
          <w:left w:val="single" w:sz="4" w:space="0" w:color="FFFFFF"/>
          <w:top w:val="single" w:sz="4" w:space="0" w:color="FFFFFF"/>
          <w:right w:val="single" w:sz="4" w:space="0" w:color="FFFFFF"/>
          <w:insideH w:val="nil"/>
          <w:insideV w:val="nil"/>
        </w:tcBorders>
      </w:tcPr>
      <w:rPr>
        <w:b w:val="1"/>
        <w:bCs w:val="1"/>
        <w:color w:val="FFFFFF"/>
      </w:rPr>
    </w:tblStylePr>
    <w:tblStylePr w:type="lastRow">
      <w:tcPr>
        <w:shd w:val="clear" w:fill="4472C4"/>
        <w:tcBorders>
          <w:left w:val="single" w:sz="4" w:space="0" w:color="FFFFFF"/>
          <w:right w:val="single" w:sz="4" w:space="0" w:color="FFFFFF"/>
          <w:bottom w:val="single" w:sz="4" w:space="0" w:color="FFFFFF"/>
          <w:insideH w:val="nil"/>
          <w:insideV w:val="nil"/>
        </w:tcBorders>
      </w:tcPr>
      <w:rPr>
        <w:b w:val="1"/>
        <w:bCs w:val="1"/>
        <w:color w:val="FFFFFF"/>
      </w:rPr>
    </w:tblStylePr>
    <w:tblStylePr w:type="firstCol">
      <w:tcPr>
        <w:shd w:val="clear" w:fill="4472C4"/>
        <w:tcBorders>
          <w:left w:val="single" w:sz="4" w:space="0" w:color="FFFFFF"/>
          <w:top w:val="single" w:sz="4" w:space="0" w:color="FFFFFF"/>
          <w:bottom w:val="single" w:sz="4" w:space="0" w:color="FFFFFF"/>
          <w:insideV w:val="nil"/>
        </w:tcBorders>
      </w:tcPr>
      <w:rPr>
        <w:b w:val="1"/>
        <w:bCs w:val="1"/>
        <w:color w:val="FFFFFF"/>
      </w:rPr>
    </w:tblStylePr>
    <w:tblStylePr w:type="lastCol">
      <w:tcPr>
        <w:shd w:val="clear" w:fill="4472C4"/>
        <w:tcBorders>
          <w:top w:val="single" w:sz="4" w:space="0" w:color="FFFFFF"/>
          <w:right w:val="single" w:sz="4" w:space="0" w:color="FFFFFF"/>
          <w:bottom w:val="single" w:sz="4" w:space="0" w:color="FFFFFF"/>
          <w:insideV w:val="nil"/>
        </w:tcBorders>
      </w:tcPr>
      <w:rPr>
        <w:b w:val="1"/>
        <w:bCs w:val="1"/>
        <w:color w:val="FFFFFF"/>
      </w:rPr>
    </w:tblStylePr>
    <w:tblStylePr w:type="band1Vert">
      <w:tcPr>
        <w:shd w:val="clear" w:fill="B4C7E7"/>
      </w:tcPr>
    </w:tblStylePr>
    <w:tblStylePr w:type="band1Horz">
      <w:tcPr>
        <w:shd w:val="clear" w:fill="B4C7E7"/>
      </w:tcPr>
    </w:tblStylePr>
  </w:style>
  <w:style w:type="paragraph" w:styleId="Normal (Web)">
    <w:name w:val="Normal (Web)"/>
    <w:qFormat/>
    <w:basedOn w:val="Normal"/>
    <w:pPr>
      <w:spacing w:before="100" w:beforeAutospacing="1" w:after="100" w:afterAutospacing="1" w:lineRule="auto" w:line="240"/>
    </w:pPr>
    <w:rPr>
      <w:rFonts w:ascii="Times New Roman" w:hAnsi="Times New Roman"/>
      <w:sz w:val="24"/>
      <w:szCs w:val="24"/>
    </w:rPr>
  </w:style>
  <w:style w:type="paragraph" w:styleId="Normal 1">
    <w:name w:val="Normal 1"/>
    <w:qFormat/>
    <w:basedOn w:val="Normal"/>
    <w:pPr>
      <w:jc w:val="both"/>
      <w:ind w:left="227"/>
      <w:spacing w:after="120" w:lineRule="atLeast" w:line="240"/>
      <w:widowControl w:val="0"/>
    </w:pPr>
  </w:style>
  <w:style w:type="character" w:styleId="Normal 1 Char">
    <w:name w:val="Normal 1 Char"/>
    <w:qFormat/>
    <w:basedOn w:val="Default Paragraph Font"/>
  </w:style>
  <w:style w:type="character" w:styleId="Heading 8 Char">
    <w:name w:val="Heading 8 Char"/>
    <w:qFormat/>
    <w:basedOn w:val="Default Paragraph Font"/>
    <w:rPr>
      <w:color w:val="272727"/>
      <w:rFonts w:ascii="Calibri Light" w:hAnsi="Calibri Light"/>
      <w:sz w:val="21"/>
      <w:szCs w:val="21"/>
    </w:rPr>
  </w:style>
  <w:style w:type="paragraph" w:styleId="Correla Body Copy">
    <w:name w:val="Correla Body Copy"/>
    <w:qFormat/>
    <w:basedOn w:val="Normal"/>
    <w:pPr>
      <w:spacing w:after="160" w:lineRule="auto" w:line="259"/>
    </w:pPr>
    <w:rPr>
      <w:rFonts w:ascii="Poppins" w:hAnsi="Poppins" w:cs="Poppins" w:eastAsia="Calibri"/>
      <w:sz w:val="20"/>
      <w:szCs w:val="20"/>
    </w:rPr>
  </w:style>
  <w:style w:type="character" w:styleId="Correla Body Copy Char">
    <w:name w:val="Correla Body Copy Char"/>
    <w:qFormat/>
    <w:rPr>
      <w:rFonts w:ascii="Poppins" w:hAnsi="Poppins" w:cs="Poppins" w:eastAsia="Calibri"/>
      <w:sz w:val="20"/>
      <w:szCs w:val="20"/>
    </w:rPr>
  </w:style>
  <w:style w:type="character" w:styleId="FollowedHyperlink">
    <w:name w:val="FollowedHyperlink"/>
    <w:qFormat/>
    <w:basedOn w:val="Default Paragraph Font"/>
    <w:rPr>
      <w:color w:val="954F72"/>
      <w:u w:val="single"/>
    </w:rPr>
  </w:style>
  <w:style w:type="table" w:styleId="Table Grid1">
    <w:name w:val="Table Grid1"/>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numbering" w:styleId="Style50">
    <w:name w:val="Style50"/>
    <w:qFormat/>
  </w:style>
  <w:style w:type="numbering" w:styleId="ListStyle1">
    <w:name w:val="ListStyle1"/>
    <w:qFormat/>
  </w:style>
  <w:style w:type="numbering" w:styleId="Style501">
    <w:name w:val="Style50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teve.pownall@xoserve.com" TargetMode="External" Id="R754ebab05603424b" /><Relationship Type="http://schemas.openxmlformats.org/officeDocument/2006/relationships/hyperlink" Target="https://www.xoserve.com/change/change-proposals/xrn-4900-biomethane-sites-with-reduced-propane-injection/" TargetMode="External" Id="Rc58eba57f4784710" /><Relationship Type="http://schemas.openxmlformats.org/officeDocument/2006/relationships/image" Target="media/iqhl3ybh.jpeg" Id="R38285f5b8f9f4d22" /><Relationship Type="http://schemas.openxmlformats.org/officeDocument/2006/relationships/image" Target="media/tjrkbt0j.png" Id="Rd7774f9946984ba0" /><Relationship Type="http://schemas.openxmlformats.org/officeDocument/2006/relationships/hyperlink" Target="https://www.xoserve.com/change/change-proposals/xrn-5298-h100-fife-project-phase-1-initial-assessment/" TargetMode="External" Id="R7e1356ebb48747f9" /><Relationship Type="http://schemas.openxmlformats.org/officeDocument/2006/relationships/hyperlink" Target="https://umbraco.xoserve.com/media/43279/cvd-hierarchy-v1fa.xlsx" TargetMode="External" Id="Re25fbe27f17a467a" /><Relationship Type="http://schemas.openxmlformats.org/officeDocument/2006/relationships/hyperlink" Target="https://umbraco.xoserve.com/media/43280/cvd-calorific_value_daily-v1fa.pdf" TargetMode="External" Id="R349e25f25304429a" /><Relationship Type="http://schemas.openxmlformats.org/officeDocument/2006/relationships/hyperlink" Target="https://umbraco.xoserve.com/media/43281/cvn-hierarchy-v1fa.xlsx" TargetMode="External" Id="R1df8218bd62c4219" /><Relationship Type="http://schemas.openxmlformats.org/officeDocument/2006/relationships/hyperlink" Target="https://umbraco.xoserve.com/media/43282/cvr-calorific_value_response-v1fa.pdf" TargetMode="External" Id="Rb12d310c86f84981" /><Relationship Type="http://schemas.openxmlformats.org/officeDocument/2006/relationships/hyperlink" Target="https://umbraco.xoserve.com/media/43283/gt-rejection-codes-v2fa.xlsx" TargetMode="External" Id="Re9bd91bb50c445c3" /><Relationship Type="http://schemas.openxmlformats.org/officeDocument/2006/relationships/image" Target="media/4kesswfm.jpeg" Id="R1b4df3ef00664183" /><Relationship Type="http://schemas.openxmlformats.org/officeDocument/2006/relationships/image" Target="media/cqfkaeob.jpeg" Id="Rcce74a36912145af" /><Relationship Type="http://schemas.openxmlformats.org/officeDocument/2006/relationships/image" Target="media/u2ilvz4b.jpeg" Id="R9619415ddeea4524" /><Relationship Type="http://schemas.openxmlformats.org/officeDocument/2006/relationships/hyperlink" Target="https://umbraco.xoserve.com/media/43284/cvn-hierarchy-v1fa.xlsx" TargetMode="External" Id="R2922f8282365434d" /><Relationship Type="http://schemas.openxmlformats.org/officeDocument/2006/relationships/hyperlink" Target="https://umbraco.xoserve.com/media/43285/cvn-calorific_value_notif-v1fa.pdf" TargetMode="External" Id="Re79c8768c3c64e91" /><Relationship Type="http://schemas.openxmlformats.org/officeDocument/2006/relationships/hyperlink" Target="mailto:uklink@xoserve.com" TargetMode="External" Id="Rdb627f841bd244fa" /><Relationship Type="http://schemas.openxmlformats.org/officeDocument/2006/relationships/hyperlink" Target="mailto:uklink@xoserve.com" TargetMode="External" Id="Ra575ba3c8bf741f7" /><Relationship Type="http://schemas.openxmlformats.org/officeDocument/2006/relationships/hyperlink" Target="mailto:uklink@xoserve.com" TargetMode="External" Id="Rd5e2774f92b84e36" /><Relationship Type="http://schemas.openxmlformats.org/officeDocument/2006/relationships/header" Target="header1.xml" Id="R241efa4bc70943bf" /><Relationship Type="http://schemas.openxmlformats.org/officeDocument/2006/relationships/footer" Target="footer1.xml" Id="R9cc9352547b842e1" /><Relationship Type="http://schemas.openxmlformats.org/officeDocument/2006/relationships/customXml" Target="/customXml/item1.xml" Id="R8253058343024b53" /><Relationship Type="http://schemas.openxmlformats.org/officeDocument/2006/relationships/customXml" Target="/customXml/item2.xml" Id="Rc0db307dad054e3e" /><Relationship Type="http://schemas.openxmlformats.org/officeDocument/2006/relationships/customXml" Target="/customXml/item3.xml" Id="Re9664fa3013d414a" /><Relationship Type="http://schemas.openxmlformats.org/officeDocument/2006/relationships/styles" Target="styles.xml" Id="R6dc8d1eb9fc242dc" /><Relationship Type="http://schemas.openxmlformats.org/officeDocument/2006/relationships/fontTable" Target="fontTable.xml" Id="R3ac5f84698aa40d2" /><Relationship Type="http://schemas.openxmlformats.org/officeDocument/2006/relationships/numbering" Target="numbering.xml" Id="R96c75a9e17dc4d88" /><Relationship Type="http://schemas.openxmlformats.org/officeDocument/2006/relationships/settings" Target="settings.xml" Id="R2f32bb82af1f480f" /><Relationship Type="http://schemas.openxmlformats.org/officeDocument/2006/relationships/webSettings" Target="webSettings.xml" Id="Re32857e279e64d60" /><Relationship Type="http://schemas.openxmlformats.org/officeDocument/2006/relationships/glossaryDocument" Target="glossary/document.xml" Id="R5247927c72864668" /></Relationships>
</file>

<file path=word/_rels/header1.xml.rels>&#65279;<?xml version="1.0" encoding="utf-8"?><Relationships xmlns="http://schemas.openxmlformats.org/package/2006/relationships"><Relationship Type="http://schemas.openxmlformats.org/officeDocument/2006/relationships/image" Target="media/xhq401r4.png" Id="R3e5da95e42d64403" /></Relationships>
</file>

<file path=word/glossary/_rels/document.xml.rels>&#65279;<?xml version="1.0" encoding="utf-8"?><Relationships xmlns="http://schemas.openxmlformats.org/package/2006/relationships"><Relationship Type="http://schemas.openxmlformats.org/officeDocument/2006/relationships/styles" Target="styles.xml" Id="Redfc744b60d14bda" /><Relationship Type="http://schemas.openxmlformats.org/officeDocument/2006/relationships/fontTable" Target="fontTable.xml" Id="Ra4b6850695074f27" /><Relationship Type="http://schemas.openxmlformats.org/officeDocument/2006/relationships/settings" Target="settings.xml" Id="R1752f4a1fd1a4929" /><Relationship Type="http://schemas.openxmlformats.org/officeDocument/2006/relationships/webSettings" Target="webSettings.xml" Id="R4c74ef6ea5ae47d9" /></Relationships>
</file>

<file path=word/glossary/document.xml><?xml version="1.0" encoding="utf-8"?>
<w:glossary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docParts>
    <w:docPart>
      <w:docPartPr>
        <w:name w:val="B4DB101AE9814937B90B1F44AA0DC0D2"/>
        <w:category>
          <w:name w:val="General"/>
          <w:gallery w:val="placeholder"/>
        </w:category>
        <w:types>
          <w:type w:val="bbPlcHdr"/>
        </w:types>
        <w:behaviors>
          <w:behavior w:val="content"/>
        </w:behaviors>
        <w:guid w:val="{C4440BF3-EFC5-4BF3-82F3-7B2ECCBFFF61}"/>
      </w:docPartPr>
      <w:docPartBody>
        <w:p>
          <w:pPr>
            <w:pStyle w:val="B4DB101AE9814937B90B1F44AA0DC0D2"/>
          </w:pPr>
          <w:r>
            <w:rPr>
              <w:rStyle w:val="Placeholder 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lang w:val="en-GB"/>
        <w:sz w:val="22"/>
        <w:szCs w:val="22"/>
      </w:rPr>
    </w:rPrDefault>
    <w:pPrDefault>
      <w:pPr>
        <w:spacing w:after="160" w:lineRule="auto" w:line="259"/>
      </w:pPr>
    </w:pPrDefault>
  </w:docDefaults>
  <w:style w:type="paragraph" w:styleId="Normal" w:default="1">
    <w:name w:val="Normal"/>
    <w:qFormat/>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character" w:styleId="Placeholder Text">
    <w:name w:val="Placeholder Text"/>
    <w:qFormat/>
    <w:basedOn w:val="Default Paragraph Font"/>
    <w:rPr>
      <w:color w:val="808080"/>
    </w:rPr>
  </w:style>
  <w:style w:type="paragraph" w:styleId="B4DB101AE9814937B90B1F44AA0DC0D2">
    <w:name w:val="B4DB101AE9814937B90B1F44AA0DC0D2"/>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customXml/_rels/item1.xml.rels>&#65279;<?xml version="1.0" encoding="utf-8"?><Relationships xmlns="http://schemas.openxmlformats.org/package/2006/relationships"><Relationship Type="http://schemas.openxmlformats.org/officeDocument/2006/relationships/customXmlProps" Target="itemProps1.xml" Id="Raa4e1d23f1724b73" /></Relationships>
</file>

<file path=customXml/_rels/item2.xml.rels>&#65279;<?xml version="1.0" encoding="utf-8"?><Relationships xmlns="http://schemas.openxmlformats.org/package/2006/relationships"><Relationship Type="http://schemas.openxmlformats.org/officeDocument/2006/relationships/customXmlProps" Target="itemProps2.xml" Id="R42bbdb5afcde49a7" /></Relationships>
</file>

<file path=customXml/_rels/item3.xml.rels>&#65279;<?xml version="1.0" encoding="utf-8"?><Relationships xmlns="http://schemas.openxmlformats.org/package/2006/relationships"><Relationship Type="http://schemas.openxmlformats.org/officeDocument/2006/relationships/customXmlProps" Target="itemProps3.xml" Id="Re9a8a33ff16447fe" /></Relationships>
</file>

<file path=customXml/item1.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87010F-0736-444B-A167-4C4A51A0473F}">
  <ds:schemaRefs/>
</ds:datastoreItem>
</file>

<file path=customXml/itemProps2.xml><?xml version="1.0" encoding="utf-8"?>
<ds:datastoreItem xmlns:ds="http://schemas.openxmlformats.org/officeDocument/2006/customXml" ds:itemID="{7718B789-3867-4CA7-B6CA-BA1A39EEC5A3}">
  <ds:schemaRefs/>
</ds:datastoreItem>
</file>

<file path=customXml/itemProps3.xml><?xml version="1.0" encoding="utf-8"?>
<ds:datastoreItem xmlns:ds="http://schemas.openxmlformats.org/officeDocument/2006/customXml" ds:itemID="{64E10AE4-1500-4F12-ABE7-729F138FAE20}">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17</Pages>
  <Words>4610</Words>
  <Characters>26279</Characters>
  <CharactersWithSpaces>30828</CharactersWithSpaces>
  <Lines>218</Lin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Rachel Taggart</cp:lastModifiedBy>
  <dcterms:created xsi:type="dcterms:W3CDTF">2022-06-10T08:57:00Z</dcterms:created>
  <dcterms:modified xsi:type="dcterms:W3CDTF">2022-06-10T09:02:00Z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Order">
    <vt:r8>130700</vt:r8>
  </property>
  <property fmtid="{D5CDD505-2E9C-101B-9397-08002B2CF9AE}" pid="4" name="xd_Signature">
    <vt:lpwstr>false</vt:lpwstr>
  </property>
</Properties>
</file>