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9F67" w14:textId="10661B42" w:rsidR="00D66C7E" w:rsidRPr="001C2268" w:rsidRDefault="00EA73B3" w:rsidP="00EA73B3">
      <w:pPr>
        <w:pStyle w:val="Title"/>
        <w:jc w:val="center"/>
        <w:rPr>
          <w:szCs w:val="48"/>
        </w:rPr>
      </w:pPr>
      <w:r w:rsidRPr="001C2268">
        <w:rPr>
          <w:szCs w:val="48"/>
        </w:rPr>
        <w:t>DSC Change Completion Report (CCR)</w:t>
      </w:r>
    </w:p>
    <w:p w14:paraId="67279F68" w14:textId="3899D7A8" w:rsidR="00EA73B3" w:rsidRDefault="00EA73B3" w:rsidP="00D66C7E">
      <w:r>
        <w:rPr>
          <w:noProof/>
        </w:rPr>
        <w:drawing>
          <wp:anchor distT="0" distB="0" distL="114300" distR="114300" simplePos="0" relativeHeight="251658240" behindDoc="0" locked="0" layoutInCell="1" allowOverlap="1" wp14:anchorId="67279F85" wp14:editId="0FD02F43">
            <wp:simplePos x="0" y="0"/>
            <wp:positionH relativeFrom="column">
              <wp:posOffset>826770</wp:posOffset>
            </wp:positionH>
            <wp:positionV relativeFrom="paragraph">
              <wp:posOffset>110927</wp:posOffset>
            </wp:positionV>
            <wp:extent cx="4109720" cy="647700"/>
            <wp:effectExtent l="0" t="0" r="508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serve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7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C7E">
        <w:br w:type="textWrapping" w:clear="all"/>
      </w:r>
    </w:p>
    <w:p w14:paraId="00F32253" w14:textId="3FFA09AD" w:rsidR="00EA73B3" w:rsidRDefault="00EA73B3" w:rsidP="00EA73B3"/>
    <w:p w14:paraId="2EBB5376" w14:textId="77777777" w:rsidR="00EA73B3" w:rsidRDefault="00EA73B3" w:rsidP="00EA73B3"/>
    <w:tbl>
      <w:tblPr>
        <w:tblStyle w:val="TableGrid1"/>
        <w:tblW w:w="5256" w:type="pct"/>
        <w:tblLayout w:type="fixed"/>
        <w:tblLook w:val="04A0" w:firstRow="1" w:lastRow="0" w:firstColumn="1" w:lastColumn="0" w:noHBand="0" w:noVBand="1"/>
      </w:tblPr>
      <w:tblGrid>
        <w:gridCol w:w="4394"/>
        <w:gridCol w:w="5084"/>
      </w:tblGrid>
      <w:tr w:rsidR="00EA73B3" w:rsidRPr="00EA73B3" w14:paraId="1601AE27" w14:textId="77777777" w:rsidTr="002A6A8A">
        <w:tc>
          <w:tcPr>
            <w:tcW w:w="2318" w:type="pct"/>
            <w:shd w:val="clear" w:color="auto" w:fill="FFFFFF" w:themeFill="background1"/>
            <w:vAlign w:val="center"/>
          </w:tcPr>
          <w:p w14:paraId="4180B42D" w14:textId="77777777" w:rsidR="00EA73B3" w:rsidRPr="00EA73B3" w:rsidRDefault="00EA73B3" w:rsidP="00EA73B3">
            <w:pPr>
              <w:rPr>
                <w:rFonts w:eastAsia="Times New Roman" w:cs="Arial"/>
                <w:b/>
                <w:sz w:val="20"/>
                <w:szCs w:val="16"/>
              </w:rPr>
            </w:pPr>
            <w:r w:rsidRPr="00EA73B3">
              <w:rPr>
                <w:rFonts w:eastAsia="Times New Roman" w:cs="Arial"/>
                <w:b/>
                <w:sz w:val="20"/>
                <w:szCs w:val="16"/>
              </w:rPr>
              <w:t>Change Title</w:t>
            </w:r>
          </w:p>
        </w:tc>
        <w:tc>
          <w:tcPr>
            <w:tcW w:w="2682" w:type="pct"/>
          </w:tcPr>
          <w:p w14:paraId="018CEA35" w14:textId="6A698A89" w:rsidR="00EA73B3" w:rsidRPr="00EA73B3" w:rsidRDefault="004A4144" w:rsidP="0A57A14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November 21 Major Release</w:t>
            </w:r>
          </w:p>
        </w:tc>
      </w:tr>
      <w:tr w:rsidR="00EA73B3" w:rsidRPr="00EA73B3" w14:paraId="06D4D571" w14:textId="77777777" w:rsidTr="002A6A8A">
        <w:tc>
          <w:tcPr>
            <w:tcW w:w="2318" w:type="pct"/>
            <w:shd w:val="clear" w:color="auto" w:fill="FFFFFF" w:themeFill="background1"/>
            <w:vAlign w:val="center"/>
          </w:tcPr>
          <w:p w14:paraId="5982B8CD" w14:textId="77777777" w:rsidR="00EA73B3" w:rsidRPr="00EA73B3" w:rsidRDefault="00EA73B3" w:rsidP="00EA73B3">
            <w:pPr>
              <w:rPr>
                <w:rFonts w:eastAsia="Times New Roman" w:cs="Arial"/>
                <w:b/>
                <w:sz w:val="20"/>
                <w:szCs w:val="16"/>
              </w:rPr>
            </w:pPr>
            <w:r w:rsidRPr="00EA73B3">
              <w:rPr>
                <w:rFonts w:eastAsia="Times New Roman" w:cs="Arial"/>
                <w:b/>
                <w:sz w:val="20"/>
                <w:szCs w:val="16"/>
              </w:rPr>
              <w:t>Change reference number (XRN)</w:t>
            </w:r>
          </w:p>
        </w:tc>
        <w:tc>
          <w:tcPr>
            <w:tcW w:w="2682" w:type="pct"/>
          </w:tcPr>
          <w:p w14:paraId="06F88361" w14:textId="08FD1055" w:rsidR="00EA73B3" w:rsidRPr="00EA73B3" w:rsidRDefault="004A4144" w:rsidP="00195A39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XRN5289</w:t>
            </w:r>
          </w:p>
        </w:tc>
      </w:tr>
      <w:tr w:rsidR="00EA73B3" w:rsidRPr="00EA73B3" w14:paraId="1D6C8AD7" w14:textId="77777777" w:rsidTr="002A6A8A">
        <w:tc>
          <w:tcPr>
            <w:tcW w:w="23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D022E" w14:textId="77777777" w:rsidR="00EA73B3" w:rsidRPr="00EA73B3" w:rsidRDefault="00EA73B3" w:rsidP="00EA73B3">
            <w:pPr>
              <w:rPr>
                <w:rFonts w:eastAsia="Times New Roman" w:cs="Arial"/>
                <w:b/>
                <w:sz w:val="20"/>
                <w:szCs w:val="16"/>
              </w:rPr>
            </w:pPr>
            <w:r w:rsidRPr="00EA73B3">
              <w:rPr>
                <w:rFonts w:eastAsia="Times New Roman" w:cs="Arial"/>
                <w:b/>
                <w:sz w:val="20"/>
                <w:szCs w:val="16"/>
              </w:rPr>
              <w:t xml:space="preserve">Xoserve Project Manager  </w:t>
            </w:r>
          </w:p>
        </w:tc>
        <w:tc>
          <w:tcPr>
            <w:tcW w:w="2682" w:type="pct"/>
            <w:tcBorders>
              <w:bottom w:val="single" w:sz="4" w:space="0" w:color="auto"/>
            </w:tcBorders>
          </w:tcPr>
          <w:p w14:paraId="4419660B" w14:textId="2E1F9262" w:rsidR="00EA73B3" w:rsidRPr="00EA73B3" w:rsidRDefault="004A4144" w:rsidP="0A57A14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Simon Burton</w:t>
            </w:r>
          </w:p>
        </w:tc>
      </w:tr>
      <w:tr w:rsidR="00EA73B3" w:rsidRPr="00EA73B3" w14:paraId="2390A8AC" w14:textId="77777777" w:rsidTr="002A6A8A">
        <w:tc>
          <w:tcPr>
            <w:tcW w:w="23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172196" w14:textId="77777777" w:rsidR="00EA73B3" w:rsidRPr="00EA73B3" w:rsidRDefault="00EA73B3" w:rsidP="00EA73B3">
            <w:pPr>
              <w:rPr>
                <w:rFonts w:eastAsia="Times New Roman" w:cs="Arial"/>
                <w:b/>
                <w:sz w:val="20"/>
                <w:szCs w:val="16"/>
              </w:rPr>
            </w:pPr>
            <w:r w:rsidRPr="00EA73B3">
              <w:rPr>
                <w:rFonts w:eastAsia="Times New Roman" w:cs="Arial"/>
                <w:b/>
                <w:sz w:val="20"/>
                <w:szCs w:val="16"/>
              </w:rPr>
              <w:t>Email address</w:t>
            </w:r>
          </w:p>
        </w:tc>
        <w:tc>
          <w:tcPr>
            <w:tcW w:w="2682" w:type="pct"/>
            <w:tcBorders>
              <w:bottom w:val="single" w:sz="4" w:space="0" w:color="auto"/>
            </w:tcBorders>
          </w:tcPr>
          <w:p w14:paraId="5A705C45" w14:textId="42C7D6EF" w:rsidR="00EA73B3" w:rsidRPr="00EA73B3" w:rsidRDefault="00291FFF" w:rsidP="0A57A144">
            <w:pPr>
              <w:rPr>
                <w:rFonts w:eastAsia="Times New Roman" w:cs="Arial"/>
                <w:sz w:val="20"/>
                <w:szCs w:val="20"/>
              </w:rPr>
            </w:pPr>
            <w:hyperlink r:id="rId11" w:history="1">
              <w:r w:rsidR="004A4144" w:rsidRPr="00D52E39">
                <w:rPr>
                  <w:rStyle w:val="Hyperlink"/>
                  <w:rFonts w:eastAsia="Times New Roman" w:cs="Arial"/>
                  <w:sz w:val="20"/>
                  <w:szCs w:val="20"/>
                </w:rPr>
                <w:t>Simon.g.burton@Correla.com</w:t>
              </w:r>
            </w:hyperlink>
          </w:p>
        </w:tc>
      </w:tr>
      <w:tr w:rsidR="00EA73B3" w:rsidRPr="00EA73B3" w14:paraId="3B9ABC1E" w14:textId="77777777" w:rsidTr="002A6A8A">
        <w:tc>
          <w:tcPr>
            <w:tcW w:w="23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38DA5" w14:textId="77777777" w:rsidR="00EA73B3" w:rsidRPr="00EA73B3" w:rsidRDefault="00EA73B3" w:rsidP="00EA73B3">
            <w:pPr>
              <w:rPr>
                <w:rFonts w:eastAsia="Times New Roman" w:cs="Arial"/>
                <w:b/>
                <w:sz w:val="20"/>
                <w:szCs w:val="16"/>
              </w:rPr>
            </w:pPr>
            <w:r w:rsidRPr="00EA73B3">
              <w:rPr>
                <w:rFonts w:eastAsia="Times New Roman" w:cs="Arial"/>
                <w:b/>
                <w:sz w:val="20"/>
                <w:szCs w:val="16"/>
              </w:rPr>
              <w:t>Contact number</w:t>
            </w:r>
          </w:p>
        </w:tc>
        <w:tc>
          <w:tcPr>
            <w:tcW w:w="2682" w:type="pct"/>
            <w:tcBorders>
              <w:bottom w:val="single" w:sz="4" w:space="0" w:color="auto"/>
            </w:tcBorders>
          </w:tcPr>
          <w:p w14:paraId="407DF7DD" w14:textId="1823BEB8" w:rsidR="00EA73B3" w:rsidRPr="00EA73B3" w:rsidRDefault="00EA73B3" w:rsidP="0A57A144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EA73B3" w:rsidRPr="00EA73B3" w14:paraId="0B495390" w14:textId="77777777" w:rsidTr="002A6A8A">
        <w:tc>
          <w:tcPr>
            <w:tcW w:w="23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2F94C7" w14:textId="77777777" w:rsidR="00EA73B3" w:rsidRPr="00EA73B3" w:rsidRDefault="00EA73B3" w:rsidP="00EA73B3">
            <w:pPr>
              <w:rPr>
                <w:rFonts w:eastAsia="Times New Roman" w:cs="Arial"/>
                <w:b/>
                <w:sz w:val="20"/>
                <w:szCs w:val="16"/>
              </w:rPr>
            </w:pPr>
            <w:r w:rsidRPr="00EA73B3">
              <w:rPr>
                <w:rFonts w:eastAsia="Times New Roman" w:cs="Arial"/>
                <w:b/>
                <w:sz w:val="20"/>
                <w:szCs w:val="16"/>
              </w:rPr>
              <w:t>Target Change Management Committee date</w:t>
            </w:r>
          </w:p>
        </w:tc>
        <w:tc>
          <w:tcPr>
            <w:tcW w:w="2682" w:type="pct"/>
            <w:tcBorders>
              <w:bottom w:val="single" w:sz="4" w:space="0" w:color="auto"/>
            </w:tcBorders>
          </w:tcPr>
          <w:p w14:paraId="4E6B73E1" w14:textId="699E1FFF" w:rsidR="00EA73B3" w:rsidRPr="00EA73B3" w:rsidRDefault="00E06ABB" w:rsidP="00EA73B3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13/07/2022</w:t>
            </w:r>
          </w:p>
        </w:tc>
      </w:tr>
      <w:tr w:rsidR="00EA73B3" w:rsidRPr="00EA73B3" w14:paraId="70D298E7" w14:textId="77777777" w:rsidTr="002A6A8A">
        <w:tc>
          <w:tcPr>
            <w:tcW w:w="23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7601B" w14:textId="77777777" w:rsidR="00EA73B3" w:rsidRPr="00EA73B3" w:rsidRDefault="00EA73B3" w:rsidP="00EA73B3">
            <w:pPr>
              <w:rPr>
                <w:rFonts w:eastAsia="Times New Roman" w:cs="Arial"/>
                <w:b/>
                <w:sz w:val="20"/>
                <w:szCs w:val="16"/>
              </w:rPr>
            </w:pPr>
            <w:r w:rsidRPr="00EA73B3">
              <w:rPr>
                <w:rFonts w:eastAsia="Times New Roman" w:cs="Arial"/>
                <w:b/>
                <w:sz w:val="20"/>
                <w:szCs w:val="16"/>
              </w:rPr>
              <w:t>Date of Solution Implementation</w:t>
            </w:r>
          </w:p>
        </w:tc>
        <w:tc>
          <w:tcPr>
            <w:tcW w:w="2682" w:type="pct"/>
            <w:tcBorders>
              <w:bottom w:val="single" w:sz="4" w:space="0" w:color="auto"/>
            </w:tcBorders>
          </w:tcPr>
          <w:p w14:paraId="76CEA666" w14:textId="2B1217B9" w:rsidR="00EA73B3" w:rsidRPr="00EA73B3" w:rsidRDefault="002B3936" w:rsidP="0A57A14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06/11/21, </w:t>
            </w:r>
            <w:r w:rsidR="004A4144">
              <w:rPr>
                <w:rFonts w:eastAsia="Times New Roman" w:cs="Arial"/>
                <w:sz w:val="20"/>
                <w:szCs w:val="20"/>
              </w:rPr>
              <w:t>22/01/22</w:t>
            </w:r>
            <w:r w:rsidR="00C176D0">
              <w:rPr>
                <w:rFonts w:eastAsia="Times New Roman" w:cs="Arial"/>
                <w:sz w:val="20"/>
                <w:szCs w:val="20"/>
              </w:rPr>
              <w:t xml:space="preserve">, </w:t>
            </w:r>
            <w:r>
              <w:rPr>
                <w:rFonts w:eastAsia="Times New Roman" w:cs="Arial"/>
                <w:sz w:val="20"/>
                <w:szCs w:val="20"/>
              </w:rPr>
              <w:t>23/0</w:t>
            </w:r>
            <w:r w:rsidR="00E438D5">
              <w:rPr>
                <w:rFonts w:eastAsia="Times New Roman" w:cs="Arial"/>
                <w:sz w:val="20"/>
                <w:szCs w:val="20"/>
              </w:rPr>
              <w:t>4</w:t>
            </w:r>
            <w:r>
              <w:rPr>
                <w:rFonts w:eastAsia="Times New Roman" w:cs="Arial"/>
                <w:sz w:val="20"/>
                <w:szCs w:val="20"/>
              </w:rPr>
              <w:t>/22</w:t>
            </w:r>
          </w:p>
        </w:tc>
      </w:tr>
      <w:tr w:rsidR="00EA73B3" w:rsidRPr="00EA73B3" w14:paraId="0327033D" w14:textId="77777777" w:rsidTr="002A6A8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3E5AA8" w:themeFill="accent1"/>
            <w:vAlign w:val="center"/>
          </w:tcPr>
          <w:p w14:paraId="5A40CDE0" w14:textId="77777777" w:rsidR="00EA73B3" w:rsidRPr="00EA73B3" w:rsidRDefault="00EA73B3" w:rsidP="00EA73B3">
            <w:pPr>
              <w:jc w:val="center"/>
              <w:rPr>
                <w:rFonts w:eastAsia="Times New Roman" w:cs="Arial"/>
                <w:b/>
                <w:color w:val="FFFFFF"/>
                <w:sz w:val="20"/>
              </w:rPr>
            </w:pPr>
            <w:r w:rsidRPr="00EA73B3">
              <w:rPr>
                <w:rFonts w:eastAsia="Arial" w:cs="Arial"/>
                <w:b/>
                <w:color w:val="FFFFFF"/>
                <w:sz w:val="20"/>
                <w:lang w:eastAsia="en-US"/>
              </w:rPr>
              <w:t>Section 1: Overview of Change Delivery</w:t>
            </w:r>
          </w:p>
        </w:tc>
      </w:tr>
      <w:tr w:rsidR="00EA73B3" w:rsidRPr="00EA73B3" w14:paraId="0CEE08D9" w14:textId="77777777" w:rsidTr="002A6A8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0AFCCB5" w14:textId="77777777" w:rsidR="00B83760" w:rsidRDefault="00B83760" w:rsidP="00195A39">
            <w:pPr>
              <w:contextualSpacing/>
              <w:rPr>
                <w:rFonts w:eastAsia="Times New Roman" w:cs="Arial"/>
                <w:iCs/>
                <w:sz w:val="20"/>
                <w:szCs w:val="20"/>
              </w:rPr>
            </w:pPr>
          </w:p>
          <w:p w14:paraId="3CF00982" w14:textId="6D29A311" w:rsidR="00195A39" w:rsidRPr="00B83760" w:rsidRDefault="00155BF9" w:rsidP="00195A39">
            <w:pPr>
              <w:contextualSpacing/>
              <w:rPr>
                <w:rFonts w:eastAsia="Times New Roman" w:cs="Arial"/>
                <w:iCs/>
                <w:sz w:val="20"/>
                <w:szCs w:val="20"/>
              </w:rPr>
            </w:pPr>
            <w:r w:rsidRPr="00B83760">
              <w:rPr>
                <w:rFonts w:eastAsia="Times New Roman" w:cs="Arial"/>
                <w:iCs/>
                <w:sz w:val="20"/>
                <w:szCs w:val="20"/>
              </w:rPr>
              <w:t>As part of November 21 the below changes were delivered</w:t>
            </w:r>
            <w:r w:rsidR="00A12EA5">
              <w:rPr>
                <w:rFonts w:eastAsia="Times New Roman" w:cs="Arial"/>
                <w:iCs/>
                <w:sz w:val="20"/>
                <w:szCs w:val="20"/>
              </w:rPr>
              <w:t>:</w:t>
            </w:r>
          </w:p>
          <w:p w14:paraId="114E40C5" w14:textId="02178868" w:rsidR="00155BF9" w:rsidRDefault="00155BF9" w:rsidP="00195A39">
            <w:pPr>
              <w:contextualSpacing/>
              <w:rPr>
                <w:rFonts w:eastAsia="Times New Roman" w:cs="Arial"/>
                <w:i/>
                <w:iCs/>
                <w:color w:val="0070C0"/>
                <w:sz w:val="20"/>
                <w:szCs w:val="20"/>
              </w:rPr>
            </w:pP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1125"/>
              <w:gridCol w:w="1125"/>
              <w:gridCol w:w="3255"/>
              <w:gridCol w:w="2400"/>
              <w:gridCol w:w="990"/>
            </w:tblGrid>
            <w:tr w:rsidR="00A4274D" w:rsidRPr="00A4274D" w14:paraId="4BA66BB1" w14:textId="77777777" w:rsidTr="00A4274D">
              <w:trPr>
                <w:trHeight w:val="285"/>
              </w:trPr>
              <w:tc>
                <w:tcPr>
                  <w:tcW w:w="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4472C4"/>
                  <w:hideMark/>
                </w:tcPr>
                <w:p w14:paraId="6E0BB98A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</w:rPr>
                    <w:t>XRN</w:t>
                  </w:r>
                  <w:r w:rsidRPr="00A4274D">
                    <w:rPr>
                      <w:rFonts w:eastAsia="Times New Roman" w:cs="Arial"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4472C4"/>
                  <w:hideMark/>
                </w:tcPr>
                <w:p w14:paraId="52D9CF8E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Title</w:t>
                  </w:r>
                  <w:r w:rsidRPr="00A4274D">
                    <w:rPr>
                      <w:rFonts w:ascii="Calibri" w:eastAsia="Times New Roman" w:hAnsi="Calibri" w:cs="Calibri"/>
                      <w:color w:val="FFFFFF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4472C4"/>
                  <w:hideMark/>
                </w:tcPr>
                <w:p w14:paraId="08FC4E22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Type</w:t>
                  </w:r>
                  <w:r w:rsidRPr="00A4274D">
                    <w:rPr>
                      <w:rFonts w:ascii="Calibri" w:eastAsia="Times New Roman" w:hAnsi="Calibri" w:cs="Calibri"/>
                      <w:color w:val="FFFFFF"/>
                    </w:rPr>
                    <w:t> </w:t>
                  </w:r>
                </w:p>
              </w:tc>
              <w:tc>
                <w:tcPr>
                  <w:tcW w:w="3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4472C4"/>
                  <w:hideMark/>
                </w:tcPr>
                <w:p w14:paraId="524E3622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Description</w:t>
                  </w:r>
                  <w:r w:rsidRPr="00A4274D">
                    <w:rPr>
                      <w:rFonts w:ascii="Calibri" w:eastAsia="Times New Roman" w:hAnsi="Calibri" w:cs="Calibri"/>
                      <w:color w:val="FFFFFF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4472C4"/>
                  <w:hideMark/>
                </w:tcPr>
                <w:p w14:paraId="1D7F90A5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Link to Change Proposal</w:t>
                  </w:r>
                  <w:r w:rsidRPr="00A4274D">
                    <w:rPr>
                      <w:rFonts w:ascii="Calibri" w:eastAsia="Times New Roman" w:hAnsi="Calibri" w:cs="Calibri"/>
                      <w:color w:val="FFFFFF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4472C4"/>
                  <w:hideMark/>
                </w:tcPr>
                <w:p w14:paraId="41DCB8B2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Impacts</w:t>
                  </w:r>
                  <w:r w:rsidRPr="00A4274D">
                    <w:rPr>
                      <w:rFonts w:ascii="Calibri" w:eastAsia="Times New Roman" w:hAnsi="Calibri" w:cs="Calibri"/>
                      <w:color w:val="FFFFFF"/>
                    </w:rPr>
                    <w:t> </w:t>
                  </w:r>
                </w:p>
              </w:tc>
            </w:tr>
            <w:tr w:rsidR="00A4274D" w:rsidRPr="00A4274D" w14:paraId="50BCA6FD" w14:textId="77777777" w:rsidTr="00A4274D">
              <w:trPr>
                <w:trHeight w:val="1995"/>
              </w:trPr>
              <w:tc>
                <w:tcPr>
                  <w:tcW w:w="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1F2"/>
                  <w:hideMark/>
                </w:tcPr>
                <w:p w14:paraId="4A7E35C6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4941 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1F2"/>
                  <w:hideMark/>
                </w:tcPr>
                <w:p w14:paraId="66E1C9EA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MOD0692 – Auto updates to meter read frequency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1F2"/>
                  <w:hideMark/>
                </w:tcPr>
                <w:p w14:paraId="7F0BFFCE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>Regulatory </w:t>
                  </w:r>
                </w:p>
              </w:tc>
              <w:tc>
                <w:tcPr>
                  <w:tcW w:w="3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1F2"/>
                  <w:hideMark/>
                </w:tcPr>
                <w:p w14:paraId="0A616DF6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 xml:space="preserve">MOD - 0692 - Instructs the CDSP to change the meter read frequency of sites with </w:t>
                  </w:r>
                  <w:proofErr w:type="spellStart"/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>non monthly</w:t>
                  </w:r>
                  <w:proofErr w:type="spellEnd"/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 xml:space="preserve"> Meter Read Frequency (MRF) to monthly </w:t>
                  </w:r>
                  <w:proofErr w:type="gramStart"/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>where</w:t>
                  </w:r>
                  <w:proofErr w:type="gramEnd"/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 xml:space="preserve"> either</w:t>
                  </w:r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> </w:t>
                  </w:r>
                </w:p>
                <w:p w14:paraId="56C42E0A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>A. The AQ increases to 293,000 KWH or above</w:t>
                  </w:r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> </w:t>
                  </w:r>
                </w:p>
                <w:p w14:paraId="3F270DE6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>B. AMR installed</w:t>
                  </w:r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> </w:t>
                  </w:r>
                </w:p>
                <w:p w14:paraId="584D0958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>C. DCC flag of active</w:t>
                  </w:r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> </w:t>
                  </w:r>
                </w:p>
                <w:p w14:paraId="1E6C582D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 xml:space="preserve">An activity post implementation and XRN5142 data cleanse, will be completed where all the </w:t>
                  </w:r>
                  <w:proofErr w:type="spellStart"/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>non monthly</w:t>
                  </w:r>
                  <w:proofErr w:type="spellEnd"/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 xml:space="preserve"> MRF are assessed and updated to Monthly where one of the criteria is met – this is likely to cause an increase to Must Reads.</w:t>
                  </w:r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1F2"/>
                  <w:hideMark/>
                </w:tcPr>
                <w:p w14:paraId="3D7F7CB5" w14:textId="77777777" w:rsidR="00A4274D" w:rsidRPr="00A4274D" w:rsidRDefault="00291FFF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hyperlink r:id="rId12" w:tgtFrame="_blank" w:history="1">
                    <w:r w:rsidR="00A4274D" w:rsidRPr="00A4274D">
                      <w:rPr>
                        <w:rFonts w:eastAsia="Times New Roman" w:cs="Arial"/>
                        <w:color w:val="6440A3"/>
                        <w:sz w:val="18"/>
                        <w:szCs w:val="18"/>
                        <w:u w:val="single"/>
                      </w:rPr>
                      <w:t>https://www.xoserve.com/change/change-proposals/xrn-4941-auto-updates-to-meter-read-frequency-mod0692/?return=/change/change-proposals/?customers=&amp;statuses=&amp;search=4941</w:t>
                    </w:r>
                  </w:hyperlink>
                  <w:r w:rsidR="00A4274D" w:rsidRPr="00A4274D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1F2"/>
                  <w:hideMark/>
                </w:tcPr>
                <w:p w14:paraId="5EDFF4BC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ascii="Calibri" w:eastAsia="Times New Roman" w:hAnsi="Calibri" w:cs="Calibri"/>
                      <w:color w:val="000000"/>
                    </w:rPr>
                    <w:t>Shipper </w:t>
                  </w:r>
                </w:p>
              </w:tc>
            </w:tr>
            <w:tr w:rsidR="00A4274D" w:rsidRPr="00A4274D" w14:paraId="7C90365F" w14:textId="77777777" w:rsidTr="00A4274D">
              <w:trPr>
                <w:trHeight w:val="1995"/>
              </w:trPr>
              <w:tc>
                <w:tcPr>
                  <w:tcW w:w="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05F17D1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5007 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B2199F3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Enhancement to reconciliation process where prevailing volume is zero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31BBDD8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Non-regulatory </w:t>
                  </w:r>
                </w:p>
              </w:tc>
              <w:tc>
                <w:tcPr>
                  <w:tcW w:w="3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A4ED4A4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>Where a period has been reconciled to a zero position and then a valid read related to that period is received, re-reconciliation takes place. </w:t>
                  </w:r>
                </w:p>
                <w:p w14:paraId="3D409B3A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>As the prevailing metered volume is zero an MN09 exception is generated for Class 3 and Class 4 sites. </w:t>
                  </w:r>
                </w:p>
                <w:p w14:paraId="728FDF74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>In these scenarios we will use the deemed volume instead of the prevailing volume when calculating the reconciliation factor which will prevent an MN09 exception being created. </w:t>
                  </w:r>
                </w:p>
              </w:tc>
              <w:tc>
                <w:tcPr>
                  <w:tcW w:w="24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47C47C0" w14:textId="77777777" w:rsidR="00A4274D" w:rsidRPr="00A4274D" w:rsidRDefault="00291FFF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hyperlink r:id="rId13" w:tgtFrame="_blank" w:history="1">
                    <w:r w:rsidR="00A4274D" w:rsidRPr="00A4274D">
                      <w:rPr>
                        <w:rFonts w:eastAsia="Times New Roman" w:cs="Arial"/>
                        <w:color w:val="6440A3"/>
                        <w:sz w:val="18"/>
                        <w:szCs w:val="18"/>
                        <w:u w:val="single"/>
                      </w:rPr>
                      <w:t>https://www.xoserve.com/change/change-proposals/xrn-5007-correction-in-the-reconciliation-process-when-volume-is-zero/?return=/change/change-proposals/?customers=&amp;statuses=&amp;search=5007</w:t>
                    </w:r>
                  </w:hyperlink>
                  <w:r w:rsidR="00A4274D" w:rsidRPr="00A4274D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ED945B9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  <w:p w14:paraId="7054B427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ascii="Calibri" w:eastAsia="Times New Roman" w:hAnsi="Calibri" w:cs="Calibri"/>
                      <w:color w:val="000000"/>
                    </w:rPr>
                    <w:t>Shipper </w:t>
                  </w:r>
                </w:p>
              </w:tc>
            </w:tr>
            <w:tr w:rsidR="00A4274D" w:rsidRPr="00A4274D" w14:paraId="773BF05D" w14:textId="77777777" w:rsidTr="00A4274D">
              <w:trPr>
                <w:trHeight w:val="1995"/>
              </w:trPr>
              <w:tc>
                <w:tcPr>
                  <w:tcW w:w="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1F2"/>
                  <w:hideMark/>
                </w:tcPr>
                <w:p w14:paraId="4382E49B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lastRenderedPageBreak/>
                    <w:t>5072 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1F2"/>
                  <w:hideMark/>
                </w:tcPr>
                <w:p w14:paraId="0F88DF29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Application and derivation of TTZ indicator and calculation of volume and energy (all classes)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1F2"/>
                  <w:hideMark/>
                </w:tcPr>
                <w:p w14:paraId="10E5DB00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Non- regulatory </w:t>
                  </w:r>
                </w:p>
              </w:tc>
              <w:tc>
                <w:tcPr>
                  <w:tcW w:w="3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1F2"/>
                  <w:hideMark/>
                </w:tcPr>
                <w:p w14:paraId="5D0F3DD4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 xml:space="preserve">Where there is at least one read with a Through </w:t>
                  </w:r>
                  <w:proofErr w:type="gramStart"/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>The</w:t>
                  </w:r>
                  <w:proofErr w:type="gramEnd"/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 xml:space="preserve"> Zero's (TTZ) count the system doesn’t always calculate the volume correctly.</w:t>
                  </w:r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> </w:t>
                  </w:r>
                </w:p>
                <w:p w14:paraId="2CC3DC03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>The system calculation will be amended so that the volume is calculated correctly.</w:t>
                  </w:r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> </w:t>
                  </w:r>
                </w:p>
                <w:p w14:paraId="70DC2B70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>An activity will be completed where all historical calculations with a TTZ count are assessed. The volume and AQ will be corrected where necessary.</w:t>
                  </w:r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1F2"/>
                  <w:hideMark/>
                </w:tcPr>
                <w:p w14:paraId="497B6B69" w14:textId="77777777" w:rsidR="00A4274D" w:rsidRPr="00A4274D" w:rsidRDefault="00291FFF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hyperlink r:id="rId14" w:tgtFrame="_blank" w:history="1">
                    <w:r w:rsidR="00A4274D" w:rsidRPr="00A4274D">
                      <w:rPr>
                        <w:rFonts w:eastAsia="Times New Roman" w:cs="Arial"/>
                        <w:color w:val="6440A3"/>
                        <w:sz w:val="18"/>
                        <w:szCs w:val="18"/>
                        <w:u w:val="single"/>
                      </w:rPr>
                      <w:t>https://www.xoserve.com/change/change-proposals/xrn-5072-application-and-derivation-of-ttz-indicator-and-calculation-of-volume-and-energy-all-classes/?return=/change/change-proposals/?customers=&amp;statuses=&amp;search=5072</w:t>
                    </w:r>
                  </w:hyperlink>
                  <w:r w:rsidR="00A4274D" w:rsidRPr="00A4274D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1F2"/>
                  <w:hideMark/>
                </w:tcPr>
                <w:p w14:paraId="1ED48193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  <w:p w14:paraId="597BA37E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ascii="Calibri" w:eastAsia="Times New Roman" w:hAnsi="Calibri" w:cs="Calibri"/>
                      <w:color w:val="000000"/>
                    </w:rPr>
                    <w:t>Shipper </w:t>
                  </w:r>
                </w:p>
              </w:tc>
            </w:tr>
            <w:tr w:rsidR="00A4274D" w:rsidRPr="00A4274D" w14:paraId="241EA8F5" w14:textId="77777777" w:rsidTr="00A4274D">
              <w:trPr>
                <w:trHeight w:val="2865"/>
              </w:trPr>
              <w:tc>
                <w:tcPr>
                  <w:tcW w:w="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51810696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5142 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5DE68A6C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SEC (MOD) -New allowable values for DCC service flag in DXI file from DCC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70593A95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Regulatory </w:t>
                  </w:r>
                </w:p>
              </w:tc>
              <w:tc>
                <w:tcPr>
                  <w:tcW w:w="3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2A294ECE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 xml:space="preserve">The DCC Service flag values of 'S' (suspended) and 'W' (withdrawn) will be </w:t>
                  </w:r>
                  <w:proofErr w:type="gramStart"/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>removed</w:t>
                  </w:r>
                  <w:proofErr w:type="gramEnd"/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 xml:space="preserve"> and new service flag values of 'N' (non-active) and 'I' (installed not commissioned) will be created. 'A' (active) will remain.</w:t>
                  </w:r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> </w:t>
                  </w:r>
                </w:p>
                <w:p w14:paraId="0DC1053D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 xml:space="preserve">An activity, completed by the DCC, will </w:t>
                  </w:r>
                  <w:proofErr w:type="gramStart"/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>assess</w:t>
                  </w:r>
                  <w:proofErr w:type="gramEnd"/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 xml:space="preserve"> and update any values where necessary. The DCC will then provide these updates so that UK Link reflects the same values.</w:t>
                  </w:r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> </w:t>
                  </w:r>
                </w:p>
                <w:p w14:paraId="40F2A4D1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37A9AD7C" w14:textId="77777777" w:rsidR="00A4274D" w:rsidRPr="00A4274D" w:rsidRDefault="00291FFF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hyperlink r:id="rId15" w:tgtFrame="_blank" w:history="1">
                    <w:r w:rsidR="00A4274D" w:rsidRPr="00A4274D">
                      <w:rPr>
                        <w:rFonts w:eastAsia="Times New Roman" w:cs="Arial"/>
                        <w:color w:val="6440A3"/>
                        <w:sz w:val="18"/>
                        <w:szCs w:val="18"/>
                        <w:u w:val="single"/>
                      </w:rPr>
                      <w:t>https://www.xoserve.com/change/change-proposals/xrn-5142-new-allowable-values-for-dcc-service-flag-in-dxi-file-from-dcc/?return=/change/change-proposals/?customers=&amp;statuses=&amp;search=5142</w:t>
                    </w:r>
                  </w:hyperlink>
                  <w:r w:rsidR="00A4274D"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371336F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28CEE472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DN/IGT </w:t>
                  </w:r>
                </w:p>
              </w:tc>
            </w:tr>
            <w:tr w:rsidR="00A4274D" w:rsidRPr="00A4274D" w14:paraId="383FE88C" w14:textId="77777777" w:rsidTr="00A4274D">
              <w:trPr>
                <w:trHeight w:val="1995"/>
              </w:trPr>
              <w:tc>
                <w:tcPr>
                  <w:tcW w:w="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1F2"/>
                  <w:hideMark/>
                </w:tcPr>
                <w:p w14:paraId="474473AE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5180 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1F2"/>
                  <w:hideMark/>
                </w:tcPr>
                <w:p w14:paraId="2816A84A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Inner tolerance validation for replacement reads and read insertions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1F2"/>
                  <w:hideMark/>
                </w:tcPr>
                <w:p w14:paraId="0842DCB4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Non- regulatory </w:t>
                  </w:r>
                </w:p>
              </w:tc>
              <w:tc>
                <w:tcPr>
                  <w:tcW w:w="3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1F2"/>
                  <w:hideMark/>
                </w:tcPr>
                <w:p w14:paraId="08199340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 xml:space="preserve">When a read is replaced or inserted, in between two reads, the replaced/inserted read is validated against both reads and energy tolerances are performed for each period </w:t>
                  </w:r>
                  <w:proofErr w:type="gramStart"/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>i.e.</w:t>
                  </w:r>
                  <w:proofErr w:type="gramEnd"/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 xml:space="preserve"> backwards as well as forwards.</w:t>
                  </w:r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> </w:t>
                  </w:r>
                </w:p>
                <w:p w14:paraId="5832B805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>When an override flag is only required for one of the periods (backwards or forwards) the read is rejected even when an override flag is provided.</w:t>
                  </w:r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1F2"/>
                  <w:hideMark/>
                </w:tcPr>
                <w:p w14:paraId="2CCA7361" w14:textId="77777777" w:rsidR="00A4274D" w:rsidRPr="00A4274D" w:rsidRDefault="00291FFF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hyperlink r:id="rId16" w:tgtFrame="_blank" w:history="1">
                    <w:r w:rsidR="00A4274D" w:rsidRPr="00A4274D">
                      <w:rPr>
                        <w:rFonts w:eastAsia="Times New Roman" w:cs="Arial"/>
                        <w:color w:val="6440A3"/>
                        <w:sz w:val="18"/>
                        <w:szCs w:val="18"/>
                        <w:u w:val="single"/>
                      </w:rPr>
                      <w:t>https://www.xoserve.com/change/change-proposals/xrn-5180-inner-tolerance-validation-for-replacement-reads-and-read-insertions/?return=/change/change-proposals/?customers=&amp;statuses=&amp;search=5180</w:t>
                    </w:r>
                  </w:hyperlink>
                  <w:r w:rsidR="00A4274D" w:rsidRPr="00A4274D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1F2"/>
                  <w:hideMark/>
                </w:tcPr>
                <w:p w14:paraId="6DB928BA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6440A3"/>
                      <w:sz w:val="18"/>
                      <w:szCs w:val="18"/>
                    </w:rPr>
                    <w:t> </w:t>
                  </w:r>
                </w:p>
                <w:p w14:paraId="735C5543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ascii="Calibri" w:eastAsia="Times New Roman" w:hAnsi="Calibri" w:cs="Calibri"/>
                      <w:color w:val="000000"/>
                    </w:rPr>
                    <w:t>Shipper </w:t>
                  </w:r>
                </w:p>
              </w:tc>
            </w:tr>
            <w:tr w:rsidR="00A4274D" w:rsidRPr="00A4274D" w14:paraId="7A02FFFB" w14:textId="77777777" w:rsidTr="00A4274D">
              <w:trPr>
                <w:trHeight w:val="1995"/>
              </w:trPr>
              <w:tc>
                <w:tcPr>
                  <w:tcW w:w="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6C90A6B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4780C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9A17041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Inclusion of Meter Asset Provider Identity (MAP Id) in the UK Link system 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5C4F18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Non-regulatory </w:t>
                  </w:r>
                </w:p>
              </w:tc>
              <w:tc>
                <w:tcPr>
                  <w:tcW w:w="3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D53319E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Receive MAP Id information for Supply Meter Points from MAMs.   </w:t>
                  </w: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br/>
                    <w:t>The provided MAM data will be stored within CDSP system(s) and be used to populate the MAP Id field where required (</w:t>
                  </w:r>
                  <w:proofErr w:type="gramStart"/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i.e.</w:t>
                  </w:r>
                  <w:proofErr w:type="gramEnd"/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 xml:space="preserve"> where no valid MAP Id data item is received from the Shipper within existing RGMA flows).  </w:t>
                  </w:r>
                </w:p>
              </w:tc>
              <w:tc>
                <w:tcPr>
                  <w:tcW w:w="24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A37BCC" w14:textId="77777777" w:rsidR="00A4274D" w:rsidRPr="00A4274D" w:rsidRDefault="00291FFF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hyperlink r:id="rId17" w:tgtFrame="_blank" w:history="1">
                    <w:r w:rsidR="00A4274D" w:rsidRPr="00A4274D">
                      <w:rPr>
                        <w:rFonts w:eastAsia="Times New Roman" w:cs="Arial"/>
                        <w:color w:val="6440A3"/>
                        <w:sz w:val="18"/>
                        <w:szCs w:val="18"/>
                        <w:u w:val="single"/>
                      </w:rPr>
                      <w:t>https://www.xoserve.com/change/change-proposals/xrn-4780-inclusion-of-meter-asset-provider-identity-map-id-in-the-uk-link-system-css-consequential-change/</w:t>
                    </w:r>
                  </w:hyperlink>
                  <w:r w:rsidR="00A4274D" w:rsidRPr="00A4274D">
                    <w:rPr>
                      <w:rFonts w:eastAsia="Times New Roman" w:cs="Arial"/>
                      <w:color w:val="6440A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D1359F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Shipper </w:t>
                  </w:r>
                </w:p>
              </w:tc>
            </w:tr>
            <w:tr w:rsidR="00A4274D" w:rsidRPr="00A4274D" w14:paraId="471884AE" w14:textId="77777777" w:rsidTr="00652EE2">
              <w:trPr>
                <w:trHeight w:val="1995"/>
              </w:trPr>
              <w:tc>
                <w:tcPr>
                  <w:tcW w:w="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6DCF0" w:themeFill="accent1" w:themeFillTint="33"/>
                  <w:vAlign w:val="center"/>
                  <w:hideMark/>
                </w:tcPr>
                <w:p w14:paraId="60233D9D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4992a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6DCF0" w:themeFill="accent1" w:themeFillTint="33"/>
                  <w:vAlign w:val="center"/>
                  <w:hideMark/>
                </w:tcPr>
                <w:p w14:paraId="42FF8C92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XRN4992a - MOD 0687 - Creation of New Charge to Recover Last Resort Supply Payments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6DCF0" w:themeFill="accent1" w:themeFillTint="33"/>
                  <w:vAlign w:val="center"/>
                  <w:hideMark/>
                </w:tcPr>
                <w:p w14:paraId="60C0A364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Regulatory </w:t>
                  </w:r>
                </w:p>
              </w:tc>
              <w:tc>
                <w:tcPr>
                  <w:tcW w:w="3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6DCF0" w:themeFill="accent1" w:themeFillTint="33"/>
                  <w:vAlign w:val="center"/>
                  <w:hideMark/>
                </w:tcPr>
                <w:p w14:paraId="594911D0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 xml:space="preserve">This change has been raised to provide clarity on how any costs incurred by the Gas Distribution Networks (GDNs) as part of a Last Resort Supply </w:t>
                  </w:r>
                  <w:proofErr w:type="gramStart"/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Payment(</w:t>
                  </w:r>
                  <w:proofErr w:type="gramEnd"/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LRSP) arising from a Supplier of Last Resort(</w:t>
                  </w:r>
                  <w:proofErr w:type="spellStart"/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SoLR</w:t>
                  </w:r>
                  <w:proofErr w:type="spellEnd"/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) event are recovered from Shippers in a fairer and clearer manner. ​ </w:t>
                  </w:r>
                </w:p>
              </w:tc>
              <w:tc>
                <w:tcPr>
                  <w:tcW w:w="24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6DCF0" w:themeFill="accent1" w:themeFillTint="33"/>
                  <w:vAlign w:val="center"/>
                  <w:hideMark/>
                </w:tcPr>
                <w:p w14:paraId="633D3446" w14:textId="77777777" w:rsidR="00A4274D" w:rsidRPr="00A4274D" w:rsidRDefault="00291FFF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  <w:hyperlink r:id="rId18" w:tgtFrame="_blank" w:history="1">
                    <w:r w:rsidR="00A4274D" w:rsidRPr="00A4274D">
                      <w:rPr>
                        <w:rFonts w:eastAsia="Times New Roman" w:cs="Arial"/>
                        <w:color w:val="6440A3"/>
                        <w:sz w:val="18"/>
                        <w:szCs w:val="18"/>
                        <w:u w:val="single"/>
                      </w:rPr>
                      <w:t>XRN 4992 | Xoserve</w:t>
                    </w:r>
                  </w:hyperlink>
                  <w:r w:rsidR="00A4274D"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6DCF0" w:themeFill="accent1" w:themeFillTint="33"/>
                  <w:vAlign w:val="center"/>
                  <w:hideMark/>
                </w:tcPr>
                <w:p w14:paraId="3E0B47DB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Shipper </w:t>
                  </w:r>
                </w:p>
                <w:p w14:paraId="51D08203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Distribution Networks </w:t>
                  </w:r>
                </w:p>
              </w:tc>
            </w:tr>
            <w:tr w:rsidR="00A4274D" w:rsidRPr="00A4274D" w14:paraId="09C06D3D" w14:textId="77777777" w:rsidTr="00A4274D">
              <w:trPr>
                <w:trHeight w:val="1995"/>
              </w:trPr>
              <w:tc>
                <w:tcPr>
                  <w:tcW w:w="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A6EE04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5188b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05CB06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>Interim Data Loads of MAP Id into UK Link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4A682A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Non-regulatory </w:t>
                  </w:r>
                </w:p>
              </w:tc>
              <w:tc>
                <w:tcPr>
                  <w:tcW w:w="3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8AFBEE" w14:textId="77777777" w:rsidR="00A4274D" w:rsidRPr="00A4274D" w:rsidRDefault="00A4274D" w:rsidP="00A4274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 xml:space="preserve">Additional data loads of MAP Id into CDSP systems </w:t>
                  </w:r>
                  <w:proofErr w:type="gramStart"/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>is</w:t>
                  </w:r>
                  <w:proofErr w:type="gramEnd"/>
                  <w:r w:rsidRPr="00A4274D">
                    <w:rPr>
                      <w:rFonts w:eastAsia="Times New Roman" w:cs="Arial"/>
                      <w:sz w:val="18"/>
                      <w:szCs w:val="18"/>
                    </w:rPr>
                    <w:t xml:space="preserve"> required as an interim measure to ensure the integrity of the data item until the enduring solution is in place to maintain this data item (as part of XRN4780-C). </w:t>
                  </w:r>
                </w:p>
              </w:tc>
              <w:tc>
                <w:tcPr>
                  <w:tcW w:w="24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EFD025" w14:textId="77777777" w:rsidR="00A4274D" w:rsidRPr="00A4274D" w:rsidRDefault="00291FFF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hyperlink r:id="rId19" w:tgtFrame="_blank" w:history="1">
                    <w:r w:rsidR="00A4274D" w:rsidRPr="00A4274D">
                      <w:rPr>
                        <w:rFonts w:eastAsia="Times New Roman" w:cs="Arial"/>
                        <w:color w:val="6440A3"/>
                        <w:sz w:val="18"/>
                        <w:szCs w:val="18"/>
                        <w:u w:val="single"/>
                      </w:rPr>
                      <w:t>xrn5188-interim-data-loads-of-map-id-into-uk-link-cp.pdf (xoserve.com)</w:t>
                    </w:r>
                  </w:hyperlink>
                  <w:r w:rsidR="00A4274D" w:rsidRPr="00A4274D">
                    <w:rPr>
                      <w:rFonts w:eastAsia="Times New Roman" w:cs="Arial"/>
                      <w:color w:val="6440A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1110DA" w14:textId="77777777" w:rsidR="00A4274D" w:rsidRPr="00A4274D" w:rsidRDefault="00A4274D" w:rsidP="00A427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A427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Shipper </w:t>
                  </w:r>
                </w:p>
              </w:tc>
            </w:tr>
          </w:tbl>
          <w:p w14:paraId="5BD8B228" w14:textId="739F791E" w:rsidR="00155BF9" w:rsidRDefault="00155BF9" w:rsidP="00195A39">
            <w:pPr>
              <w:contextualSpacing/>
              <w:rPr>
                <w:rFonts w:eastAsia="Times New Roman" w:cs="Arial"/>
                <w:i/>
                <w:iCs/>
                <w:color w:val="0070C0"/>
                <w:sz w:val="20"/>
                <w:szCs w:val="20"/>
              </w:rPr>
            </w:pPr>
          </w:p>
          <w:tbl>
            <w:tblPr>
              <w:tblW w:w="924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"/>
              <w:gridCol w:w="2800"/>
              <w:gridCol w:w="2756"/>
              <w:gridCol w:w="2756"/>
            </w:tblGrid>
            <w:tr w:rsidR="00E86136" w:rsidRPr="00C82E3A" w14:paraId="49D3DB55" w14:textId="77777777" w:rsidTr="002A6A8A">
              <w:trPr>
                <w:trHeight w:val="510"/>
              </w:trPr>
              <w:tc>
                <w:tcPr>
                  <w:tcW w:w="9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1D43D98" w14:textId="77777777" w:rsidR="00E86136" w:rsidRPr="00C82E3A" w:rsidRDefault="00E86136" w:rsidP="00E8613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C82E3A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XRN</w:t>
                  </w:r>
                  <w:r w:rsidRPr="00C82E3A"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64BC03E" w14:textId="77777777" w:rsidR="00E86136" w:rsidRPr="00C82E3A" w:rsidRDefault="00E86136" w:rsidP="00E8613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C82E3A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  <w:t>Xoserve Service Area</w:t>
                  </w:r>
                  <w:r w:rsidRPr="00C82E3A"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31AE410" w14:textId="77777777" w:rsidR="00E86136" w:rsidRPr="00C82E3A" w:rsidRDefault="00E86136" w:rsidP="00E8613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C82E3A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  <w:t>(+/-) Projected Change in Annual Cost</w:t>
                  </w:r>
                  <w:r w:rsidRPr="00C82E3A"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AC15FA" w14:textId="77777777" w:rsidR="00E86136" w:rsidRPr="00C82E3A" w:rsidRDefault="00E86136" w:rsidP="00E86136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2EE2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  <w:t>(+/-) Actual Change in Annual Cost</w:t>
                  </w:r>
                </w:p>
              </w:tc>
            </w:tr>
            <w:tr w:rsidR="00E86136" w:rsidRPr="00C82E3A" w14:paraId="0BF6BC06" w14:textId="77777777" w:rsidTr="002A6A8A">
              <w:trPr>
                <w:trHeight w:val="675"/>
              </w:trPr>
              <w:tc>
                <w:tcPr>
                  <w:tcW w:w="9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92189B" w14:textId="77777777" w:rsidR="00E86136" w:rsidRPr="00C82E3A" w:rsidRDefault="00E86136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C82E3A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4941 </w:t>
                  </w:r>
                </w:p>
              </w:tc>
              <w:tc>
                <w:tcPr>
                  <w:tcW w:w="2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929F7B" w14:textId="670DF974" w:rsidR="00E86136" w:rsidRPr="00C82E3A" w:rsidRDefault="00BF6EC3" w:rsidP="00BF6EC3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BF6EC3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Service Area 1 (Previous Dec 18 – Mar 21)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F6EC3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Manage Supply Point Registration</w:t>
                  </w:r>
                </w:p>
              </w:tc>
              <w:tc>
                <w:tcPr>
                  <w:tcW w:w="27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6FCE4B6" w14:textId="5CAFE27C" w:rsidR="00E86136" w:rsidRPr="00C82E3A" w:rsidRDefault="00E86136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C82E3A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£5,101 </w:t>
                  </w:r>
                </w:p>
              </w:tc>
              <w:tc>
                <w:tcPr>
                  <w:tcW w:w="27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DEFF59" w14:textId="66346A1E" w:rsidR="00E86136" w:rsidRPr="00C82E3A" w:rsidRDefault="00A02776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£</w:t>
                  </w:r>
                  <w:r w:rsidR="00747383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4,468</w:t>
                  </w:r>
                </w:p>
              </w:tc>
            </w:tr>
            <w:tr w:rsidR="00E86136" w:rsidRPr="00C82E3A" w14:paraId="046B02A7" w14:textId="77777777" w:rsidTr="002A6A8A">
              <w:trPr>
                <w:trHeight w:val="285"/>
              </w:trPr>
              <w:tc>
                <w:tcPr>
                  <w:tcW w:w="9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397D89F" w14:textId="77777777" w:rsidR="00E86136" w:rsidRPr="00C82E3A" w:rsidRDefault="00E86136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C82E3A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5007 </w:t>
                  </w:r>
                </w:p>
              </w:tc>
              <w:tc>
                <w:tcPr>
                  <w:tcW w:w="2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35E0635" w14:textId="3FF9EAC8" w:rsidR="00E86136" w:rsidRPr="00C82E3A" w:rsidRDefault="007776F3" w:rsidP="00E8613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2E7AEF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Service Area 5 (Previous Dec 18 – Mar 21)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2E7AEF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Metered Volume and Metered Quantity</w:t>
                  </w:r>
                </w:p>
              </w:tc>
              <w:tc>
                <w:tcPr>
                  <w:tcW w:w="27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920ECCF" w14:textId="4F02A365" w:rsidR="00E86136" w:rsidRPr="00C82E3A" w:rsidRDefault="00E86136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C82E3A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£1,700 </w:t>
                  </w:r>
                </w:p>
              </w:tc>
              <w:tc>
                <w:tcPr>
                  <w:tcW w:w="27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297499" w14:textId="3A5F721E" w:rsidR="00E86136" w:rsidRPr="00C82E3A" w:rsidRDefault="000C7C56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£</w:t>
                  </w:r>
                  <w:r w:rsidR="00A358BB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1,554</w:t>
                  </w:r>
                </w:p>
              </w:tc>
            </w:tr>
            <w:tr w:rsidR="00E86136" w:rsidRPr="00C82E3A" w14:paraId="14783CFD" w14:textId="77777777" w:rsidTr="002A6A8A">
              <w:trPr>
                <w:trHeight w:val="285"/>
              </w:trPr>
              <w:tc>
                <w:tcPr>
                  <w:tcW w:w="9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5177D1" w14:textId="77777777" w:rsidR="00E86136" w:rsidRPr="00C82E3A" w:rsidRDefault="00E86136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C82E3A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5072 </w:t>
                  </w:r>
                </w:p>
              </w:tc>
              <w:tc>
                <w:tcPr>
                  <w:tcW w:w="2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6E5AC8" w14:textId="7220F814" w:rsidR="00E86136" w:rsidRPr="00C82E3A" w:rsidRDefault="00692893" w:rsidP="00692893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692893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Service Area 3 (Previous Dec 18 – Mar 21)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92893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Record/submit Data in Compliance with UNC</w:t>
                  </w:r>
                </w:p>
              </w:tc>
              <w:tc>
                <w:tcPr>
                  <w:tcW w:w="27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C9D5392" w14:textId="2F48A212" w:rsidR="00E86136" w:rsidRPr="00C82E3A" w:rsidRDefault="00E86136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C82E3A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£10,202 </w:t>
                  </w:r>
                </w:p>
              </w:tc>
              <w:tc>
                <w:tcPr>
                  <w:tcW w:w="27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9BC243" w14:textId="148C5D8F" w:rsidR="00E86136" w:rsidRPr="00C82E3A" w:rsidRDefault="000C7C56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£</w:t>
                  </w:r>
                  <w:r w:rsidR="00A358BB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8,936</w:t>
                  </w:r>
                </w:p>
              </w:tc>
            </w:tr>
            <w:tr w:rsidR="00E86136" w:rsidRPr="00C82E3A" w14:paraId="1E43260A" w14:textId="77777777" w:rsidTr="002A6A8A">
              <w:trPr>
                <w:trHeight w:val="285"/>
              </w:trPr>
              <w:tc>
                <w:tcPr>
                  <w:tcW w:w="9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C875AC" w14:textId="77777777" w:rsidR="00E86136" w:rsidRPr="00C82E3A" w:rsidRDefault="00E86136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C82E3A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5142 </w:t>
                  </w:r>
                </w:p>
              </w:tc>
              <w:tc>
                <w:tcPr>
                  <w:tcW w:w="2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14:paraId="1C57376E" w14:textId="4B43A6D6" w:rsidR="00E86136" w:rsidRPr="00C82E3A" w:rsidRDefault="00D51B72" w:rsidP="00D51B72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D51B72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Service Area 16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 w:rsidRPr="00D51B72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Provision of Supply Point Information Services and Other Services Required to be Provided Under Condition of the GT Licence</w:t>
                  </w:r>
                </w:p>
              </w:tc>
              <w:tc>
                <w:tcPr>
                  <w:tcW w:w="27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8F638AC" w14:textId="5DDED5FB" w:rsidR="00E86136" w:rsidRPr="00C82E3A" w:rsidRDefault="00E86136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C82E3A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£1,700 </w:t>
                  </w:r>
                </w:p>
              </w:tc>
              <w:tc>
                <w:tcPr>
                  <w:tcW w:w="27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E903C9" w14:textId="68330287" w:rsidR="00E86136" w:rsidRPr="00C82E3A" w:rsidRDefault="000C7C56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£</w:t>
                  </w:r>
                  <w:r w:rsidR="00120DA5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2,087</w:t>
                  </w:r>
                </w:p>
              </w:tc>
            </w:tr>
            <w:tr w:rsidR="00E86136" w:rsidRPr="00C82E3A" w14:paraId="017D675B" w14:textId="77777777" w:rsidTr="002A6A8A">
              <w:trPr>
                <w:trHeight w:val="285"/>
              </w:trPr>
              <w:tc>
                <w:tcPr>
                  <w:tcW w:w="9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171664" w14:textId="77777777" w:rsidR="00E86136" w:rsidRPr="00C82E3A" w:rsidRDefault="00E86136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C82E3A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5180 </w:t>
                  </w:r>
                </w:p>
              </w:tc>
              <w:tc>
                <w:tcPr>
                  <w:tcW w:w="2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DC2BC1E" w14:textId="790AE647" w:rsidR="00E86136" w:rsidRPr="00C82E3A" w:rsidRDefault="002E7AEF" w:rsidP="002E7AEF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2E7AEF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Service Area 5 (Previous Dec 18 – Mar 21)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2E7AEF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Metered Volume and Metered Quantity</w:t>
                  </w:r>
                </w:p>
              </w:tc>
              <w:tc>
                <w:tcPr>
                  <w:tcW w:w="27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2B790CE" w14:textId="69653837" w:rsidR="00E86136" w:rsidRPr="00C82E3A" w:rsidRDefault="00E86136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C82E3A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£5,101 </w:t>
                  </w:r>
                </w:p>
              </w:tc>
              <w:tc>
                <w:tcPr>
                  <w:tcW w:w="27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3B1ABD" w14:textId="476069E4" w:rsidR="00E86136" w:rsidRPr="00C82E3A" w:rsidRDefault="000726F5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  <w:r w:rsidRPr="4636FAB3">
                    <w:rPr>
                      <w:rFonts w:eastAsia="Times New Roman" w:cs="Arial"/>
                      <w:color w:val="000000" w:themeColor="text1"/>
                      <w:sz w:val="18"/>
                      <w:szCs w:val="18"/>
                    </w:rPr>
                    <w:t>£</w:t>
                  </w:r>
                  <w:r w:rsidR="00A358BB">
                    <w:rPr>
                      <w:rFonts w:eastAsia="Times New Roman" w:cs="Arial"/>
                      <w:color w:val="000000" w:themeColor="text1"/>
                      <w:sz w:val="18"/>
                      <w:szCs w:val="18"/>
                    </w:rPr>
                    <w:t xml:space="preserve">4,468  </w:t>
                  </w:r>
                </w:p>
              </w:tc>
            </w:tr>
            <w:tr w:rsidR="00E86136" w:rsidRPr="00C82E3A" w14:paraId="7C257F81" w14:textId="77777777" w:rsidTr="002A6A8A">
              <w:trPr>
                <w:trHeight w:val="285"/>
              </w:trPr>
              <w:tc>
                <w:tcPr>
                  <w:tcW w:w="9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2F2C55B" w14:textId="0DC035C6" w:rsidR="00E86136" w:rsidRPr="00BD433D" w:rsidRDefault="00E86136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7D7F39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4780</w:t>
                  </w:r>
                  <w:r w:rsidR="0057214D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2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68A0FD8" w14:textId="1008AF54" w:rsidR="00E86136" w:rsidRPr="00BD433D" w:rsidRDefault="00DE341E" w:rsidP="007D7F39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DE341E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Service Area 1 (Previous Dec 18 – Mar 21)</w:t>
                  </w:r>
                  <w:r w:rsidR="007D7F39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 w:rsidRPr="00DE341E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Manage Supply Point Registration</w:t>
                  </w:r>
                </w:p>
              </w:tc>
              <w:tc>
                <w:tcPr>
                  <w:tcW w:w="27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98ECA54" w14:textId="7DDF0C0D" w:rsidR="00E86136" w:rsidRPr="00BD433D" w:rsidRDefault="00B73C1A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73C1A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27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F4D1E7" w14:textId="1EEAB8BD" w:rsidR="00E86136" w:rsidRPr="00BD433D" w:rsidRDefault="00B73C1A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73C1A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</w:tr>
            <w:tr w:rsidR="00E86136" w:rsidRPr="00C82E3A" w14:paraId="79BC5268" w14:textId="77777777" w:rsidTr="002A6A8A">
              <w:trPr>
                <w:trHeight w:val="285"/>
              </w:trPr>
              <w:tc>
                <w:tcPr>
                  <w:tcW w:w="9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59969FB" w14:textId="77777777" w:rsidR="00E86136" w:rsidRPr="00BD433D" w:rsidRDefault="00E86136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1D34B5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4992a</w:t>
                  </w:r>
                </w:p>
              </w:tc>
              <w:tc>
                <w:tcPr>
                  <w:tcW w:w="2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9838E3D" w14:textId="5FA8259E" w:rsidR="00E86136" w:rsidRPr="00BD433D" w:rsidRDefault="001D34B5" w:rsidP="00E86136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DE341E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Service Area 1 (Previous Dec 18 – Mar 21)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 w:rsidRPr="00DE341E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Manage Supply Point Registration</w:t>
                  </w:r>
                </w:p>
              </w:tc>
              <w:tc>
                <w:tcPr>
                  <w:tcW w:w="27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6F47BA6" w14:textId="70DE39CB" w:rsidR="00E86136" w:rsidRPr="00BD433D" w:rsidRDefault="00B73C1A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73C1A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27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385FB4" w14:textId="2DBDDED0" w:rsidR="00E86136" w:rsidRPr="00BD433D" w:rsidRDefault="00B73C1A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73C1A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</w:tr>
            <w:tr w:rsidR="00E86136" w:rsidRPr="00C82E3A" w14:paraId="0E17D958" w14:textId="77777777" w:rsidTr="002A6A8A">
              <w:trPr>
                <w:trHeight w:val="285"/>
              </w:trPr>
              <w:tc>
                <w:tcPr>
                  <w:tcW w:w="9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8B24DB3" w14:textId="77777777" w:rsidR="00E86136" w:rsidRPr="00BD433D" w:rsidRDefault="00E86136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F33047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5188b</w:t>
                  </w:r>
                </w:p>
              </w:tc>
              <w:tc>
                <w:tcPr>
                  <w:tcW w:w="2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B5BB7D9" w14:textId="2C351EFF" w:rsidR="00E86136" w:rsidRPr="00BD433D" w:rsidRDefault="00F33047" w:rsidP="00E86136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DE341E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Service Area 1 (Previous Dec 18 – Mar 21)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 w:rsidRPr="00DE341E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>Manage Supply Point Registration</w:t>
                  </w:r>
                </w:p>
              </w:tc>
              <w:tc>
                <w:tcPr>
                  <w:tcW w:w="27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8A8E849" w14:textId="185C1051" w:rsidR="00E86136" w:rsidRPr="00BD433D" w:rsidRDefault="00B73C1A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73C1A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  <w:tc>
                <w:tcPr>
                  <w:tcW w:w="27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62B580" w14:textId="457FF66B" w:rsidR="102FEAF5" w:rsidRDefault="102FEAF5" w:rsidP="102FEAF5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 w:themeColor="text1"/>
                      <w:sz w:val="18"/>
                      <w:szCs w:val="18"/>
                    </w:rPr>
                  </w:pPr>
                </w:p>
                <w:p w14:paraId="52E3F416" w14:textId="68199538" w:rsidR="00E86136" w:rsidRPr="00BD433D" w:rsidRDefault="00B73C1A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73C1A"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  <w:t xml:space="preserve">N/A </w:t>
                  </w:r>
                </w:p>
              </w:tc>
            </w:tr>
            <w:tr w:rsidR="009E54B5" w:rsidRPr="00C82E3A" w14:paraId="01A103D2" w14:textId="77777777" w:rsidTr="002A6A8A">
              <w:trPr>
                <w:trHeight w:val="285"/>
              </w:trPr>
              <w:tc>
                <w:tcPr>
                  <w:tcW w:w="649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9EF430B" w14:textId="1B637CD2" w:rsidR="009E54B5" w:rsidRPr="00B73C1A" w:rsidRDefault="009E54B5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  <w:r w:rsidRPr="002A6A8A">
                    <w:rPr>
                      <w:rFonts w:eastAsia="Times New Roman" w:cs="Arial"/>
                      <w:color w:val="000000" w:themeColor="text1"/>
                      <w:sz w:val="18"/>
                      <w:szCs w:val="18"/>
                    </w:rPr>
                    <w:t>£</w:t>
                  </w:r>
                  <w:r w:rsidR="001C62E3" w:rsidRPr="002A6A8A">
                    <w:rPr>
                      <w:rFonts w:eastAsia="Times New Roman" w:cs="Arial"/>
                      <w:color w:val="000000" w:themeColor="text1"/>
                      <w:sz w:val="18"/>
                      <w:szCs w:val="18"/>
                    </w:rPr>
                    <w:t>23,805</w:t>
                  </w:r>
                  <w:r w:rsidRPr="002A6A8A">
                    <w:rPr>
                      <w:rFonts w:eastAsia="Times New Roman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EBC2E8" w14:textId="35E255FB" w:rsidR="009E54B5" w:rsidRPr="00B73C1A" w:rsidRDefault="009E54B5" w:rsidP="00E86136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  <w:r w:rsidRPr="002A6A8A">
                    <w:rPr>
                      <w:rFonts w:eastAsia="Times New Roman" w:cs="Arial"/>
                      <w:color w:val="000000" w:themeColor="text1"/>
                      <w:sz w:val="18"/>
                      <w:szCs w:val="18"/>
                    </w:rPr>
                    <w:t>£</w:t>
                  </w:r>
                  <w:r w:rsidR="00E00D7F">
                    <w:rPr>
                      <w:rFonts w:eastAsia="Times New Roman" w:cs="Arial"/>
                      <w:color w:val="000000" w:themeColor="text1"/>
                      <w:sz w:val="18"/>
                      <w:szCs w:val="18"/>
                    </w:rPr>
                    <w:t>21</w:t>
                  </w:r>
                  <w:r w:rsidR="0081590E">
                    <w:rPr>
                      <w:rFonts w:eastAsia="Times New Roman" w:cs="Arial"/>
                      <w:color w:val="000000" w:themeColor="text1"/>
                      <w:sz w:val="18"/>
                      <w:szCs w:val="18"/>
                    </w:rPr>
                    <w:t>,513</w:t>
                  </w:r>
                </w:p>
              </w:tc>
            </w:tr>
          </w:tbl>
          <w:p w14:paraId="53B7B9A1" w14:textId="77777777" w:rsidR="00EA73B3" w:rsidRDefault="00EA73B3" w:rsidP="0A57A144">
            <w:pPr>
              <w:contextualSpacing/>
              <w:rPr>
                <w:rFonts w:eastAsia="Times New Roman" w:cs="Arial"/>
                <w:i/>
                <w:iCs/>
                <w:color w:val="0070C0"/>
                <w:sz w:val="20"/>
                <w:szCs w:val="20"/>
              </w:rPr>
            </w:pPr>
          </w:p>
          <w:p w14:paraId="646B8C30" w14:textId="0D716EE3" w:rsidR="004A4144" w:rsidRPr="00EA73B3" w:rsidRDefault="004A4144" w:rsidP="0A57A144">
            <w:pPr>
              <w:contextualSpacing/>
              <w:rPr>
                <w:rFonts w:eastAsia="Times New Roman" w:cs="Arial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EA73B3" w:rsidRPr="00EA73B3" w14:paraId="0C90DDA4" w14:textId="77777777" w:rsidTr="002A6A8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3E5AA8" w:themeFill="accent1"/>
            <w:vAlign w:val="center"/>
          </w:tcPr>
          <w:p w14:paraId="22D62687" w14:textId="77777777" w:rsidR="00EA73B3" w:rsidRPr="00EA73B3" w:rsidRDefault="00EA73B3" w:rsidP="00EA73B3">
            <w:pPr>
              <w:jc w:val="center"/>
              <w:rPr>
                <w:rFonts w:eastAsia="Times New Roman" w:cs="Arial"/>
                <w:b/>
                <w:color w:val="FFFFFF"/>
                <w:sz w:val="20"/>
                <w:szCs w:val="20"/>
              </w:rPr>
            </w:pPr>
            <w:r w:rsidRPr="00EA73B3">
              <w:rPr>
                <w:rFonts w:eastAsia="Arial" w:cs="Arial"/>
                <w:b/>
                <w:color w:val="FFFFFF"/>
                <w:sz w:val="20"/>
                <w:lang w:eastAsia="en-US"/>
              </w:rPr>
              <w:lastRenderedPageBreak/>
              <w:t>Section 2: Confirmed Funding Arrangements</w:t>
            </w:r>
          </w:p>
        </w:tc>
      </w:tr>
      <w:tr w:rsidR="00EA73B3" w:rsidRPr="00EA73B3" w14:paraId="45233572" w14:textId="77777777" w:rsidTr="002A6A8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Style w:val="TableGrid1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126"/>
              <w:gridCol w:w="1985"/>
              <w:gridCol w:w="2835"/>
            </w:tblGrid>
            <w:tr w:rsidR="003E04DD" w:rsidRPr="00EA73B3" w14:paraId="6E11255F" w14:textId="77777777" w:rsidTr="002A6A8A">
              <w:tc>
                <w:tcPr>
                  <w:tcW w:w="2547" w:type="dxa"/>
                </w:tcPr>
                <w:p w14:paraId="2C9392D4" w14:textId="77777777" w:rsidR="003E04DD" w:rsidRPr="00EA73B3" w:rsidRDefault="003E04DD" w:rsidP="00EA73B3">
                  <w:pPr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EA73B3">
                    <w:rPr>
                      <w:rFonts w:eastAsia="Times New Roman" w:cs="Arial"/>
                      <w:b/>
                      <w:sz w:val="20"/>
                      <w:szCs w:val="20"/>
                    </w:rPr>
                    <w:t>Gas Industry Participant</w:t>
                  </w:r>
                </w:p>
              </w:tc>
              <w:tc>
                <w:tcPr>
                  <w:tcW w:w="2126" w:type="dxa"/>
                </w:tcPr>
                <w:p w14:paraId="347495F9" w14:textId="3A75E77D" w:rsidR="003E04DD" w:rsidRPr="00EA73B3" w:rsidRDefault="003E04DD" w:rsidP="00EA73B3">
                  <w:pPr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EA73B3">
                    <w:rPr>
                      <w:rFonts w:eastAsia="Times New Roman" w:cs="Arial"/>
                      <w:b/>
                      <w:sz w:val="20"/>
                      <w:szCs w:val="20"/>
                    </w:rPr>
                    <w:t>BER Share of Cost</w:t>
                  </w:r>
                </w:p>
              </w:tc>
              <w:tc>
                <w:tcPr>
                  <w:tcW w:w="1985" w:type="dxa"/>
                </w:tcPr>
                <w:p w14:paraId="5B2B9360" w14:textId="77777777" w:rsidR="003E04DD" w:rsidRPr="00EA73B3" w:rsidRDefault="003E04DD" w:rsidP="00EA73B3">
                  <w:pPr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EA73B3">
                    <w:rPr>
                      <w:rFonts w:eastAsia="Times New Roman" w:cs="Arial"/>
                      <w:b/>
                      <w:sz w:val="20"/>
                      <w:szCs w:val="20"/>
                    </w:rPr>
                    <w:t>BER Cost Value</w:t>
                  </w:r>
                </w:p>
              </w:tc>
              <w:tc>
                <w:tcPr>
                  <w:tcW w:w="2835" w:type="dxa"/>
                </w:tcPr>
                <w:p w14:paraId="31C1ACDB" w14:textId="180B1A22" w:rsidR="003E04DD" w:rsidRPr="00EA73B3" w:rsidRDefault="003E04DD" w:rsidP="00EA73B3">
                  <w:pPr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EA73B3">
                    <w:rPr>
                      <w:rFonts w:eastAsia="Times New Roman" w:cs="Arial"/>
                      <w:b/>
                      <w:sz w:val="20"/>
                      <w:szCs w:val="20"/>
                    </w:rPr>
                    <w:t>Actual Cost Value</w:t>
                  </w:r>
                  <w:r>
                    <w:rPr>
                      <w:rFonts w:eastAsia="Times New Roman" w:cs="Arial"/>
                      <w:b/>
                      <w:sz w:val="20"/>
                      <w:szCs w:val="20"/>
                    </w:rPr>
                    <w:t xml:space="preserve"> for 1</w:t>
                  </w:r>
                  <w:r w:rsidRPr="00DA24D7">
                    <w:rPr>
                      <w:rFonts w:eastAsia="Times New Roman" w:cs="Arial"/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rFonts w:eastAsia="Times New Roman" w:cs="Arial"/>
                      <w:b/>
                      <w:sz w:val="20"/>
                      <w:szCs w:val="20"/>
                    </w:rPr>
                    <w:t xml:space="preserve"> year</w:t>
                  </w:r>
                </w:p>
              </w:tc>
            </w:tr>
            <w:tr w:rsidR="003E04DD" w:rsidRPr="00EA73B3" w14:paraId="26F15468" w14:textId="77777777" w:rsidTr="002A6A8A">
              <w:tc>
                <w:tcPr>
                  <w:tcW w:w="2547" w:type="dxa"/>
                </w:tcPr>
                <w:p w14:paraId="7FC01E34" w14:textId="7B5E251A" w:rsidR="003E04DD" w:rsidRPr="00EA73B3" w:rsidRDefault="003E04DD" w:rsidP="0A57A144">
                  <w:pPr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</w:pPr>
                  <w:r w:rsidRPr="0A57A144"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  <w:t>Shippers:</w:t>
                  </w:r>
                </w:p>
                <w:p w14:paraId="22D3A938" w14:textId="42CD666B" w:rsidR="003E04DD" w:rsidRPr="00EA73B3" w:rsidRDefault="003E04DD" w:rsidP="0A57A144">
                  <w:pPr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D0F9EFD" w14:textId="5B859E96" w:rsidR="003E04DD" w:rsidRPr="00EA73B3" w:rsidRDefault="003E04DD" w:rsidP="00923B1E">
                  <w:pPr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69.5%</w:t>
                  </w:r>
                </w:p>
              </w:tc>
              <w:tc>
                <w:tcPr>
                  <w:tcW w:w="1985" w:type="dxa"/>
                  <w:vAlign w:val="center"/>
                </w:tcPr>
                <w:p w14:paraId="4E3F35E6" w14:textId="5BB4C384" w:rsidR="003E04DD" w:rsidRPr="00EA73B3" w:rsidRDefault="003E04DD" w:rsidP="0A57A144">
                  <w:pPr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£908,244</w:t>
                  </w:r>
                </w:p>
              </w:tc>
              <w:tc>
                <w:tcPr>
                  <w:tcW w:w="2835" w:type="dxa"/>
                  <w:vAlign w:val="center"/>
                </w:tcPr>
                <w:p w14:paraId="6A039829" w14:textId="3D89304D" w:rsidR="003E04DD" w:rsidRPr="00EA73B3" w:rsidRDefault="00E142BF" w:rsidP="00195A39">
                  <w:pPr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£</w:t>
                  </w:r>
                  <w:r w:rsidR="00DE6DCC">
                    <w:rPr>
                      <w:rFonts w:eastAsia="Times New Roman" w:cs="Arial"/>
                      <w:sz w:val="20"/>
                      <w:szCs w:val="20"/>
                    </w:rPr>
                    <w:t>8</w:t>
                  </w:r>
                  <w:r w:rsidR="00317ACA">
                    <w:rPr>
                      <w:rFonts w:eastAsia="Times New Roman" w:cs="Arial"/>
                      <w:sz w:val="20"/>
                      <w:szCs w:val="20"/>
                    </w:rPr>
                    <w:t>29,738</w:t>
                  </w:r>
                </w:p>
              </w:tc>
            </w:tr>
            <w:tr w:rsidR="003E04DD" w:rsidRPr="00EA73B3" w14:paraId="199F5DC6" w14:textId="77777777" w:rsidTr="002A6A8A">
              <w:tc>
                <w:tcPr>
                  <w:tcW w:w="2547" w:type="dxa"/>
                </w:tcPr>
                <w:p w14:paraId="133FE8C2" w14:textId="77777777" w:rsidR="003E04DD" w:rsidRPr="00EA73B3" w:rsidRDefault="003E04DD" w:rsidP="00923B1E">
                  <w:pPr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EA73B3">
                    <w:rPr>
                      <w:rFonts w:eastAsia="Times New Roman" w:cs="Arial"/>
                      <w:b/>
                      <w:sz w:val="20"/>
                      <w:szCs w:val="20"/>
                    </w:rPr>
                    <w:t>IGTs</w:t>
                  </w:r>
                </w:p>
              </w:tc>
              <w:tc>
                <w:tcPr>
                  <w:tcW w:w="2126" w:type="dxa"/>
                  <w:vAlign w:val="center"/>
                </w:tcPr>
                <w:p w14:paraId="15D11F30" w14:textId="2D74BDA4" w:rsidR="003E04DD" w:rsidRPr="00EA73B3" w:rsidRDefault="003E04DD" w:rsidP="00923B1E">
                  <w:pPr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1.8%</w:t>
                  </w:r>
                </w:p>
              </w:tc>
              <w:tc>
                <w:tcPr>
                  <w:tcW w:w="1985" w:type="dxa"/>
                  <w:vAlign w:val="center"/>
                </w:tcPr>
                <w:p w14:paraId="0E94C84F" w14:textId="0E51875F" w:rsidR="003E04DD" w:rsidRPr="00EA73B3" w:rsidRDefault="003E04DD" w:rsidP="00923B1E">
                  <w:pPr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£22,632</w:t>
                  </w:r>
                </w:p>
              </w:tc>
              <w:tc>
                <w:tcPr>
                  <w:tcW w:w="2835" w:type="dxa"/>
                  <w:vAlign w:val="center"/>
                </w:tcPr>
                <w:p w14:paraId="7CD53000" w14:textId="6EA4FFC6" w:rsidR="003E04DD" w:rsidRPr="00EA73B3" w:rsidRDefault="003D4C9C" w:rsidP="00923B1E">
                  <w:pPr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£21,</w:t>
                  </w:r>
                  <w:r w:rsidR="00317ACA">
                    <w:rPr>
                      <w:rFonts w:eastAsia="Times New Roman" w:cs="Arial"/>
                      <w:sz w:val="20"/>
                      <w:szCs w:val="20"/>
                    </w:rPr>
                    <w:t>490</w:t>
                  </w:r>
                </w:p>
              </w:tc>
            </w:tr>
            <w:tr w:rsidR="003E04DD" w:rsidRPr="00EA73B3" w14:paraId="634F441F" w14:textId="77777777" w:rsidTr="002A6A8A">
              <w:tc>
                <w:tcPr>
                  <w:tcW w:w="2547" w:type="dxa"/>
                </w:tcPr>
                <w:p w14:paraId="11DD2C74" w14:textId="77777777" w:rsidR="003E04DD" w:rsidRPr="00EA73B3" w:rsidRDefault="003E04DD" w:rsidP="00923B1E">
                  <w:pPr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EA73B3">
                    <w:rPr>
                      <w:rFonts w:eastAsia="Times New Roman" w:cs="Arial"/>
                      <w:b/>
                      <w:sz w:val="20"/>
                      <w:szCs w:val="20"/>
                    </w:rPr>
                    <w:t>DNOs</w:t>
                  </w:r>
                </w:p>
              </w:tc>
              <w:tc>
                <w:tcPr>
                  <w:tcW w:w="2126" w:type="dxa"/>
                  <w:vAlign w:val="center"/>
                </w:tcPr>
                <w:p w14:paraId="6CFF2878" w14:textId="64CA729E" w:rsidR="003E04DD" w:rsidRPr="00EA73B3" w:rsidRDefault="003E04DD" w:rsidP="00923B1E">
                  <w:pPr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28.7%</w:t>
                  </w:r>
                </w:p>
              </w:tc>
              <w:tc>
                <w:tcPr>
                  <w:tcW w:w="1985" w:type="dxa"/>
                  <w:vAlign w:val="center"/>
                </w:tcPr>
                <w:p w14:paraId="56E130A8" w14:textId="3C3785C3" w:rsidR="003E04DD" w:rsidRPr="00EA73B3" w:rsidRDefault="003E04DD" w:rsidP="00923B1E">
                  <w:pPr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£375,055</w:t>
                  </w:r>
                </w:p>
              </w:tc>
              <w:tc>
                <w:tcPr>
                  <w:tcW w:w="2835" w:type="dxa"/>
                  <w:vAlign w:val="center"/>
                </w:tcPr>
                <w:p w14:paraId="18147167" w14:textId="1FBF7171" w:rsidR="003E04DD" w:rsidRPr="00EA73B3" w:rsidRDefault="00430479" w:rsidP="00923B1E">
                  <w:pPr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£34</w:t>
                  </w:r>
                  <w:r w:rsidR="00317ACA">
                    <w:rPr>
                      <w:rFonts w:eastAsia="Times New Roman" w:cs="Arial"/>
                      <w:sz w:val="20"/>
                      <w:szCs w:val="20"/>
                    </w:rPr>
                    <w:t>2,640</w:t>
                  </w:r>
                </w:p>
              </w:tc>
            </w:tr>
            <w:tr w:rsidR="003E04DD" w:rsidRPr="00EA73B3" w14:paraId="66A0BF97" w14:textId="77777777" w:rsidTr="002A6A8A">
              <w:tc>
                <w:tcPr>
                  <w:tcW w:w="2547" w:type="dxa"/>
                </w:tcPr>
                <w:p w14:paraId="72F552F1" w14:textId="77777777" w:rsidR="003E04DD" w:rsidRPr="00EA73B3" w:rsidRDefault="003E04DD" w:rsidP="00923B1E">
                  <w:pPr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EA73B3">
                    <w:rPr>
                      <w:rFonts w:eastAsia="Times New Roman" w:cs="Arial"/>
                      <w:b/>
                      <w:sz w:val="20"/>
                      <w:szCs w:val="20"/>
                    </w:rPr>
                    <w:t>Transmission</w:t>
                  </w:r>
                </w:p>
              </w:tc>
              <w:tc>
                <w:tcPr>
                  <w:tcW w:w="2126" w:type="dxa"/>
                  <w:vAlign w:val="center"/>
                </w:tcPr>
                <w:p w14:paraId="487BE727" w14:textId="5F603E1F" w:rsidR="003E04DD" w:rsidRPr="00EA73B3" w:rsidRDefault="003E04DD" w:rsidP="00923B1E">
                  <w:pPr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1985" w:type="dxa"/>
                  <w:vAlign w:val="center"/>
                </w:tcPr>
                <w:p w14:paraId="75059127" w14:textId="5CBA97CE" w:rsidR="003E04DD" w:rsidRPr="00EA73B3" w:rsidRDefault="003E04DD" w:rsidP="00923B1E">
                  <w:pPr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£0</w:t>
                  </w:r>
                </w:p>
              </w:tc>
              <w:tc>
                <w:tcPr>
                  <w:tcW w:w="2835" w:type="dxa"/>
                  <w:vAlign w:val="center"/>
                </w:tcPr>
                <w:p w14:paraId="719E72A3" w14:textId="4710708C" w:rsidR="003E04DD" w:rsidRPr="00EA73B3" w:rsidRDefault="003E04DD" w:rsidP="00923B1E">
                  <w:pPr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£0</w:t>
                  </w:r>
                </w:p>
              </w:tc>
            </w:tr>
            <w:tr w:rsidR="003E04DD" w:rsidRPr="00EA73B3" w14:paraId="45F4F837" w14:textId="77777777" w:rsidTr="002A6A8A">
              <w:tc>
                <w:tcPr>
                  <w:tcW w:w="2547" w:type="dxa"/>
                </w:tcPr>
                <w:p w14:paraId="24A0218E" w14:textId="77777777" w:rsidR="003E04DD" w:rsidRPr="00EA73B3" w:rsidRDefault="003E04DD" w:rsidP="00923B1E">
                  <w:pPr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E3417D5" w14:textId="1BE4DD34" w:rsidR="003E04DD" w:rsidRDefault="003E04DD" w:rsidP="00923B1E">
                  <w:pPr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985" w:type="dxa"/>
                  <w:vAlign w:val="center"/>
                </w:tcPr>
                <w:p w14:paraId="03558315" w14:textId="126C9F58" w:rsidR="003E04DD" w:rsidRDefault="4BF91067" w:rsidP="00923B1E">
                  <w:pPr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2A6A8A">
                    <w:rPr>
                      <w:rFonts w:eastAsia="Times New Roman" w:cs="Arial"/>
                      <w:sz w:val="20"/>
                      <w:szCs w:val="20"/>
                    </w:rPr>
                    <w:t>£1,305,931</w:t>
                  </w:r>
                </w:p>
              </w:tc>
              <w:tc>
                <w:tcPr>
                  <w:tcW w:w="2835" w:type="dxa"/>
                  <w:vAlign w:val="center"/>
                </w:tcPr>
                <w:p w14:paraId="029269E4" w14:textId="4303D8C6" w:rsidR="003E04DD" w:rsidRDefault="3EE4078B" w:rsidP="00923B1E">
                  <w:pPr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2A6A8A">
                    <w:rPr>
                      <w:rFonts w:eastAsia="Times New Roman" w:cs="Arial"/>
                      <w:sz w:val="20"/>
                      <w:szCs w:val="20"/>
                    </w:rPr>
                    <w:t>£1,</w:t>
                  </w:r>
                  <w:r w:rsidR="00317ACA">
                    <w:rPr>
                      <w:rFonts w:eastAsia="Times New Roman" w:cs="Arial"/>
                      <w:sz w:val="20"/>
                      <w:szCs w:val="20"/>
                    </w:rPr>
                    <w:t>193,868</w:t>
                  </w:r>
                </w:p>
              </w:tc>
            </w:tr>
          </w:tbl>
          <w:p w14:paraId="5B2E930A" w14:textId="77777777" w:rsidR="00EA73B3" w:rsidRDefault="00EA73B3" w:rsidP="00EA73B3">
            <w:pPr>
              <w:contextualSpacing/>
              <w:rPr>
                <w:rFonts w:eastAsia="Times New Roman" w:cs="Arial"/>
                <w:b/>
                <w:i/>
                <w:sz w:val="20"/>
                <w:szCs w:val="20"/>
              </w:rPr>
            </w:pPr>
          </w:p>
          <w:p w14:paraId="48BBC493" w14:textId="5EAEC91A" w:rsidR="004A4144" w:rsidRPr="00490C3D" w:rsidRDefault="00AE3A41" w:rsidP="00EA73B3">
            <w:pPr>
              <w:contextualSpacing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Latest </w:t>
            </w:r>
            <w:r w:rsidR="00155BF9" w:rsidRPr="00490C3D">
              <w:rPr>
                <w:rFonts w:eastAsia="Times New Roman" w:cs="Arial"/>
                <w:sz w:val="20"/>
                <w:szCs w:val="20"/>
              </w:rPr>
              <w:t xml:space="preserve">BER costs </w:t>
            </w:r>
            <w:r w:rsidR="006D33AF">
              <w:rPr>
                <w:rFonts w:eastAsia="Times New Roman" w:cs="Arial"/>
                <w:sz w:val="20"/>
                <w:szCs w:val="20"/>
              </w:rPr>
              <w:t>are</w:t>
            </w:r>
            <w:r w:rsidR="00155BF9" w:rsidRPr="00490C3D">
              <w:rPr>
                <w:rFonts w:eastAsia="Times New Roman" w:cs="Arial"/>
                <w:sz w:val="20"/>
                <w:szCs w:val="20"/>
              </w:rPr>
              <w:t xml:space="preserve"> documented in BER </w:t>
            </w:r>
            <w:r w:rsidR="00155BF9" w:rsidRPr="00AE3A41">
              <w:rPr>
                <w:rFonts w:eastAsia="Times New Roman" w:cs="Arial"/>
                <w:sz w:val="20"/>
                <w:szCs w:val="20"/>
              </w:rPr>
              <w:t>V</w:t>
            </w:r>
            <w:r w:rsidRPr="00AE3A41">
              <w:rPr>
                <w:rFonts w:eastAsia="Times New Roman" w:cs="Arial"/>
                <w:sz w:val="20"/>
                <w:szCs w:val="20"/>
              </w:rPr>
              <w:t>3</w:t>
            </w:r>
            <w:r w:rsidR="00396308" w:rsidRPr="00490C3D">
              <w:rPr>
                <w:rFonts w:eastAsia="Times New Roman" w:cs="Arial"/>
                <w:sz w:val="20"/>
                <w:szCs w:val="20"/>
              </w:rPr>
              <w:t xml:space="preserve"> which was approved by </w:t>
            </w:r>
            <w:proofErr w:type="spellStart"/>
            <w:r w:rsidR="00396308" w:rsidRPr="00490C3D">
              <w:rPr>
                <w:rFonts w:eastAsia="Times New Roman" w:cs="Arial"/>
                <w:sz w:val="20"/>
                <w:szCs w:val="20"/>
              </w:rPr>
              <w:t>ChMC</w:t>
            </w:r>
            <w:proofErr w:type="spellEnd"/>
            <w:r w:rsidR="00396308" w:rsidRPr="00490C3D">
              <w:rPr>
                <w:rFonts w:eastAsia="Times New Roman" w:cs="Arial"/>
                <w:sz w:val="20"/>
                <w:szCs w:val="20"/>
              </w:rPr>
              <w:t xml:space="preserve"> on the </w:t>
            </w:r>
            <w:proofErr w:type="gramStart"/>
            <w:r w:rsidR="00CC4271">
              <w:rPr>
                <w:rFonts w:eastAsia="Times New Roman" w:cs="Arial"/>
                <w:sz w:val="20"/>
                <w:szCs w:val="20"/>
              </w:rPr>
              <w:t>9</w:t>
            </w:r>
            <w:r w:rsidR="00CC4271" w:rsidRPr="00CC4271">
              <w:rPr>
                <w:rFonts w:eastAsia="Times New Roman" w:cs="Arial"/>
                <w:sz w:val="20"/>
                <w:szCs w:val="20"/>
                <w:vertAlign w:val="superscript"/>
              </w:rPr>
              <w:t>th</w:t>
            </w:r>
            <w:proofErr w:type="gramEnd"/>
            <w:r w:rsidR="00C64C83">
              <w:rPr>
                <w:rFonts w:eastAsia="Times New Roman" w:cs="Arial"/>
                <w:sz w:val="20"/>
                <w:szCs w:val="20"/>
                <w:vertAlign w:val="superscript"/>
              </w:rPr>
              <w:t xml:space="preserve"> </w:t>
            </w:r>
            <w:r w:rsidR="00CC4271">
              <w:rPr>
                <w:rFonts w:eastAsia="Times New Roman" w:cs="Arial"/>
                <w:sz w:val="20"/>
                <w:szCs w:val="20"/>
              </w:rPr>
              <w:t>February 2022</w:t>
            </w:r>
          </w:p>
          <w:p w14:paraId="23B12299" w14:textId="77B985F0" w:rsidR="001633D1" w:rsidRPr="00490C3D" w:rsidRDefault="001633D1" w:rsidP="00EA73B3">
            <w:pPr>
              <w:contextualSpacing/>
              <w:rPr>
                <w:rFonts w:eastAsia="Times New Roman" w:cs="Arial"/>
                <w:sz w:val="20"/>
                <w:szCs w:val="20"/>
              </w:rPr>
            </w:pPr>
          </w:p>
          <w:p w14:paraId="42FA92F6" w14:textId="10B358F2" w:rsidR="0053549D" w:rsidRDefault="001633D1" w:rsidP="00EA73B3">
            <w:pPr>
              <w:contextualSpacing/>
              <w:rPr>
                <w:rFonts w:eastAsia="Times New Roman" w:cs="Arial"/>
                <w:sz w:val="20"/>
                <w:szCs w:val="20"/>
              </w:rPr>
            </w:pPr>
            <w:r w:rsidRPr="002A6A8A">
              <w:rPr>
                <w:rFonts w:eastAsia="Times New Roman" w:cs="Arial"/>
                <w:sz w:val="20"/>
                <w:szCs w:val="20"/>
              </w:rPr>
              <w:t xml:space="preserve">November 21 release </w:t>
            </w:r>
            <w:r w:rsidR="00A12EA5">
              <w:rPr>
                <w:rFonts w:eastAsia="Times New Roman" w:cs="Arial"/>
                <w:sz w:val="20"/>
                <w:szCs w:val="20"/>
              </w:rPr>
              <w:t xml:space="preserve">has been delivered </w:t>
            </w:r>
            <w:r w:rsidRPr="002A6A8A">
              <w:rPr>
                <w:rFonts w:eastAsia="Times New Roman" w:cs="Arial"/>
                <w:sz w:val="20"/>
                <w:szCs w:val="20"/>
              </w:rPr>
              <w:t>within</w:t>
            </w:r>
            <w:r w:rsidR="0088378E" w:rsidRPr="002A6A8A">
              <w:rPr>
                <w:rFonts w:eastAsia="Times New Roman" w:cs="Arial"/>
                <w:sz w:val="20"/>
                <w:szCs w:val="20"/>
              </w:rPr>
              <w:t xml:space="preserve"> the approved budget and ha</w:t>
            </w:r>
            <w:r w:rsidR="00A12EA5">
              <w:rPr>
                <w:rFonts w:eastAsia="Times New Roman" w:cs="Arial"/>
                <w:sz w:val="20"/>
                <w:szCs w:val="20"/>
              </w:rPr>
              <w:t xml:space="preserve">s </w:t>
            </w:r>
            <w:r w:rsidR="0088378E" w:rsidRPr="002A6A8A">
              <w:rPr>
                <w:rFonts w:eastAsia="Times New Roman" w:cs="Arial"/>
                <w:sz w:val="20"/>
                <w:szCs w:val="20"/>
              </w:rPr>
              <w:t xml:space="preserve">utilised </w:t>
            </w:r>
            <w:r w:rsidR="002157F1" w:rsidRPr="002A6A8A">
              <w:rPr>
                <w:rFonts w:eastAsia="Times New Roman" w:cs="Arial"/>
                <w:sz w:val="20"/>
                <w:szCs w:val="20"/>
              </w:rPr>
              <w:t>£82,831</w:t>
            </w:r>
            <w:r w:rsidR="0088378E" w:rsidRPr="002A6A8A">
              <w:rPr>
                <w:rFonts w:eastAsia="Times New Roman" w:cs="Arial"/>
                <w:sz w:val="20"/>
                <w:szCs w:val="20"/>
              </w:rPr>
              <w:t xml:space="preserve"> of the </w:t>
            </w:r>
            <w:r w:rsidR="002F48E9">
              <w:rPr>
                <w:rFonts w:eastAsia="Times New Roman" w:cs="Arial"/>
                <w:sz w:val="20"/>
                <w:szCs w:val="20"/>
              </w:rPr>
              <w:t>approved</w:t>
            </w:r>
            <w:r w:rsidR="0088378E" w:rsidRPr="002A6A8A">
              <w:rPr>
                <w:rFonts w:eastAsia="Times New Roman" w:cs="Arial"/>
                <w:sz w:val="20"/>
                <w:szCs w:val="20"/>
              </w:rPr>
              <w:t xml:space="preserve"> risk </w:t>
            </w:r>
            <w:r w:rsidR="002F48E9">
              <w:rPr>
                <w:rFonts w:eastAsia="Times New Roman" w:cs="Arial"/>
                <w:sz w:val="20"/>
                <w:szCs w:val="20"/>
              </w:rPr>
              <w:t>margin</w:t>
            </w:r>
            <w:r w:rsidR="0088378E" w:rsidRPr="002A6A8A">
              <w:rPr>
                <w:rFonts w:eastAsia="Times New Roman" w:cs="Arial"/>
                <w:sz w:val="20"/>
                <w:szCs w:val="20"/>
              </w:rPr>
              <w:t>, leaving</w:t>
            </w:r>
            <w:r w:rsidR="00A558B8" w:rsidRPr="002A6A8A">
              <w:rPr>
                <w:rFonts w:eastAsia="Times New Roman" w:cs="Arial"/>
                <w:sz w:val="20"/>
                <w:szCs w:val="20"/>
              </w:rPr>
              <w:t xml:space="preserve"> £</w:t>
            </w:r>
            <w:r w:rsidR="006B4326" w:rsidRPr="002A6A8A">
              <w:rPr>
                <w:rFonts w:eastAsia="Times New Roman" w:cs="Arial"/>
                <w:sz w:val="20"/>
                <w:szCs w:val="20"/>
              </w:rPr>
              <w:t>97,169</w:t>
            </w:r>
            <w:r w:rsidR="0088378E" w:rsidRPr="002A6A8A">
              <w:rPr>
                <w:rFonts w:eastAsia="Times New Roman" w:cs="Arial"/>
                <w:sz w:val="20"/>
                <w:szCs w:val="20"/>
              </w:rPr>
              <w:t xml:space="preserve"> of unspent risk </w:t>
            </w:r>
            <w:r w:rsidR="002F48E9">
              <w:rPr>
                <w:rFonts w:eastAsia="Times New Roman" w:cs="Arial"/>
                <w:sz w:val="20"/>
                <w:szCs w:val="20"/>
              </w:rPr>
              <w:t>margin</w:t>
            </w:r>
            <w:r w:rsidR="0088378E" w:rsidRPr="002A6A8A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53549D" w:rsidRPr="002A6A8A">
              <w:rPr>
                <w:rFonts w:eastAsia="Times New Roman" w:cs="Arial"/>
                <w:sz w:val="20"/>
                <w:szCs w:val="20"/>
              </w:rPr>
              <w:t>to be returned</w:t>
            </w:r>
          </w:p>
          <w:p w14:paraId="4D8936D2" w14:textId="77777777" w:rsidR="00406A93" w:rsidRDefault="00406A93" w:rsidP="00EA73B3">
            <w:pPr>
              <w:contextualSpacing/>
              <w:rPr>
                <w:rFonts w:eastAsia="Times New Roman" w:cs="Arial"/>
                <w:sz w:val="20"/>
                <w:szCs w:val="20"/>
              </w:rPr>
            </w:pPr>
          </w:p>
          <w:p w14:paraId="343968FD" w14:textId="77777777" w:rsidR="00D1713D" w:rsidRDefault="00406A93" w:rsidP="00EA73B3">
            <w:pPr>
              <w:contextualSpacing/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The de-scoping of XRN5091 halted </w:t>
            </w:r>
            <w:r w:rsidR="00DC1CFC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the </w:t>
            </w: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completion of detailed design; result</w:t>
            </w:r>
            <w:r w:rsidR="00DC1CFC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ing</w:t>
            </w: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in an underspend of </w:t>
            </w:r>
            <w:r w:rsidR="00DC1CFC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£</w:t>
            </w:r>
            <w:r w:rsidR="009D5249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14,894</w:t>
            </w:r>
            <w:r w:rsidR="00D1713D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to be returned</w:t>
            </w: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092347C" w14:textId="77777777" w:rsidR="00D1713D" w:rsidRDefault="00D1713D" w:rsidP="00EA73B3">
            <w:pPr>
              <w:contextualSpacing/>
              <w:rPr>
                <w:rStyle w:val="eop"/>
                <w:rFonts w:cs="Arial"/>
                <w:sz w:val="20"/>
                <w:szCs w:val="20"/>
              </w:rPr>
            </w:pPr>
          </w:p>
          <w:p w14:paraId="0613721D" w14:textId="7287562C" w:rsidR="00406A93" w:rsidRPr="00490C3D" w:rsidRDefault="00D1713D" w:rsidP="00EA73B3">
            <w:pPr>
              <w:contextualSpacing/>
              <w:rPr>
                <w:rFonts w:eastAsia="Times New Roman" w:cs="Arial"/>
                <w:sz w:val="20"/>
                <w:szCs w:val="20"/>
              </w:rPr>
            </w:pPr>
            <w:r>
              <w:rPr>
                <w:rStyle w:val="eop"/>
                <w:rFonts w:cs="Arial"/>
                <w:sz w:val="20"/>
                <w:szCs w:val="20"/>
              </w:rPr>
              <w:t>Total unspent money to be returned is £</w:t>
            </w:r>
            <w:r w:rsidR="00603EF6">
              <w:rPr>
                <w:rStyle w:val="eop"/>
                <w:rFonts w:cs="Arial"/>
                <w:sz w:val="20"/>
                <w:szCs w:val="20"/>
              </w:rPr>
              <w:t>112,063.</w:t>
            </w:r>
            <w:r w:rsidR="00406A93">
              <w:rPr>
                <w:rStyle w:val="eop"/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672974D" w14:textId="6229798E" w:rsidR="00396308" w:rsidRPr="00EA73B3" w:rsidRDefault="00396308" w:rsidP="00EA73B3">
            <w:pPr>
              <w:contextualSpacing/>
              <w:rPr>
                <w:rFonts w:eastAsia="Times New Roman" w:cs="Arial"/>
                <w:b/>
                <w:i/>
                <w:sz w:val="20"/>
                <w:szCs w:val="20"/>
              </w:rPr>
            </w:pPr>
          </w:p>
        </w:tc>
      </w:tr>
      <w:tr w:rsidR="00EA73B3" w:rsidRPr="00EA73B3" w14:paraId="3A67F60A" w14:textId="77777777" w:rsidTr="002A6A8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3E5AA8" w:themeFill="accent1"/>
            <w:vAlign w:val="center"/>
          </w:tcPr>
          <w:p w14:paraId="72C63EE6" w14:textId="77777777" w:rsidR="00EA73B3" w:rsidRPr="00EA73B3" w:rsidRDefault="00EA73B3" w:rsidP="00EA73B3">
            <w:pPr>
              <w:jc w:val="center"/>
              <w:rPr>
                <w:rFonts w:eastAsia="Times New Roman" w:cs="Arial"/>
                <w:b/>
                <w:color w:val="0070C0"/>
              </w:rPr>
            </w:pPr>
            <w:r w:rsidRPr="00EA73B3">
              <w:rPr>
                <w:rFonts w:eastAsia="Arial" w:cs="Arial"/>
                <w:b/>
                <w:color w:val="FFFFFF"/>
                <w:sz w:val="20"/>
                <w:lang w:eastAsia="en-US"/>
              </w:rPr>
              <w:t>Section 3: Provide a summary of any agreed scope changes</w:t>
            </w:r>
          </w:p>
        </w:tc>
      </w:tr>
      <w:tr w:rsidR="00EA73B3" w:rsidRPr="00EA73B3" w14:paraId="373C6975" w14:textId="77777777" w:rsidTr="002A6A8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276DD" w14:textId="77777777" w:rsidR="00EA73B3" w:rsidRDefault="00EA73B3" w:rsidP="0A57A144">
            <w:pPr>
              <w:spacing w:line="276" w:lineRule="auto"/>
              <w:contextualSpacing/>
              <w:rPr>
                <w:rFonts w:eastAsia="Times New Roman" w:cs="Arial"/>
                <w:sz w:val="20"/>
                <w:szCs w:val="20"/>
              </w:rPr>
            </w:pPr>
          </w:p>
          <w:p w14:paraId="6C387E8B" w14:textId="1440978A" w:rsidR="00923B1E" w:rsidRPr="00DC2DB1" w:rsidRDefault="00490C3D" w:rsidP="00DC2DB1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  <w:sz w:val="20"/>
                <w:szCs w:val="20"/>
              </w:rPr>
            </w:pPr>
            <w:r w:rsidRPr="00DC2DB1">
              <w:rPr>
                <w:rFonts w:eastAsia="Times New Roman" w:cs="Arial"/>
                <w:sz w:val="20"/>
                <w:szCs w:val="20"/>
              </w:rPr>
              <w:t>XRN4780C</w:t>
            </w:r>
            <w:r w:rsidR="00923B1E" w:rsidRPr="00DC2DB1">
              <w:rPr>
                <w:rFonts w:eastAsia="Times New Roman" w:cs="Arial"/>
                <w:sz w:val="20"/>
                <w:szCs w:val="20"/>
              </w:rPr>
              <w:t xml:space="preserve"> was included in the scope of November 21 at £0 for the November 21 Release as </w:t>
            </w:r>
            <w:r w:rsidR="0047255D">
              <w:rPr>
                <w:rFonts w:eastAsia="Times New Roman" w:cs="Arial"/>
                <w:sz w:val="20"/>
                <w:szCs w:val="20"/>
              </w:rPr>
              <w:t>all funding and impact to MTB</w:t>
            </w:r>
            <w:r w:rsidR="001922CA">
              <w:rPr>
                <w:rFonts w:eastAsia="Times New Roman" w:cs="Arial"/>
                <w:sz w:val="20"/>
                <w:szCs w:val="20"/>
              </w:rPr>
              <w:t xml:space="preserve"> is via the</w:t>
            </w:r>
            <w:r w:rsidR="00923B1E" w:rsidRPr="00DC2DB1">
              <w:rPr>
                <w:rFonts w:eastAsia="Times New Roman" w:cs="Arial"/>
                <w:sz w:val="20"/>
                <w:szCs w:val="20"/>
              </w:rPr>
              <w:t xml:space="preserve"> CSSC</w:t>
            </w:r>
            <w:r w:rsidR="001922CA">
              <w:rPr>
                <w:rFonts w:eastAsia="Times New Roman" w:cs="Arial"/>
                <w:sz w:val="20"/>
                <w:szCs w:val="20"/>
              </w:rPr>
              <w:t xml:space="preserve"> programme</w:t>
            </w:r>
          </w:p>
          <w:p w14:paraId="274B44D1" w14:textId="0B2492BC" w:rsidR="00923B1E" w:rsidRDefault="001922CA" w:rsidP="0A57A144">
            <w:pPr>
              <w:spacing w:line="276" w:lineRule="auto"/>
              <w:contextualSpacing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31056627" w14:textId="0D02471A" w:rsidR="00490C3D" w:rsidRPr="00DC2DB1" w:rsidRDefault="00490C3D" w:rsidP="00DC2DB1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  <w:sz w:val="20"/>
                <w:szCs w:val="20"/>
              </w:rPr>
            </w:pPr>
            <w:r w:rsidRPr="00DC2DB1">
              <w:rPr>
                <w:rFonts w:eastAsia="Times New Roman" w:cs="Arial"/>
                <w:sz w:val="20"/>
                <w:szCs w:val="20"/>
              </w:rPr>
              <w:t xml:space="preserve">XRN4992A and XRN5188b </w:t>
            </w:r>
            <w:r w:rsidR="00923B1E" w:rsidRPr="00DC2DB1">
              <w:rPr>
                <w:rFonts w:eastAsia="Times New Roman" w:cs="Arial"/>
                <w:sz w:val="20"/>
                <w:szCs w:val="20"/>
              </w:rPr>
              <w:t xml:space="preserve">were both included in the scope of November 21 </w:t>
            </w:r>
            <w:r w:rsidR="0048071A">
              <w:rPr>
                <w:rFonts w:eastAsia="Times New Roman" w:cs="Arial"/>
                <w:sz w:val="20"/>
                <w:szCs w:val="20"/>
              </w:rPr>
              <w:t xml:space="preserve">Release </w:t>
            </w:r>
            <w:r w:rsidR="00923B1E" w:rsidRPr="00DC2DB1">
              <w:rPr>
                <w:rFonts w:eastAsia="Times New Roman" w:cs="Arial"/>
                <w:sz w:val="20"/>
                <w:szCs w:val="20"/>
              </w:rPr>
              <w:t>at £0 cost</w:t>
            </w:r>
            <w:r w:rsidR="007D147D">
              <w:rPr>
                <w:rFonts w:eastAsia="Times New Roman" w:cs="Arial"/>
                <w:sz w:val="20"/>
                <w:szCs w:val="20"/>
              </w:rPr>
              <w:t xml:space="preserve">; both were </w:t>
            </w:r>
            <w:r w:rsidR="00923B1E" w:rsidRPr="00DC2DB1">
              <w:rPr>
                <w:rFonts w:eastAsia="Times New Roman" w:cs="Arial"/>
                <w:sz w:val="20"/>
                <w:szCs w:val="20"/>
              </w:rPr>
              <w:t xml:space="preserve">funded </w:t>
            </w:r>
            <w:r w:rsidR="008162C5">
              <w:rPr>
                <w:rFonts w:eastAsia="Times New Roman" w:cs="Arial"/>
                <w:sz w:val="20"/>
                <w:szCs w:val="20"/>
              </w:rPr>
              <w:t>from the Minor Release budget</w:t>
            </w:r>
          </w:p>
          <w:p w14:paraId="0309D724" w14:textId="2B8F3820" w:rsidR="00923B1E" w:rsidRDefault="00923B1E" w:rsidP="0A57A144">
            <w:pPr>
              <w:spacing w:line="276" w:lineRule="auto"/>
              <w:contextualSpacing/>
              <w:rPr>
                <w:rFonts w:eastAsia="Times New Roman" w:cs="Arial"/>
                <w:sz w:val="20"/>
                <w:szCs w:val="20"/>
              </w:rPr>
            </w:pPr>
          </w:p>
          <w:p w14:paraId="3068F85F" w14:textId="2B6E6C3D" w:rsidR="00923B1E" w:rsidRPr="00DC2DB1" w:rsidRDefault="00923B1E" w:rsidP="00DC2DB1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  <w:sz w:val="20"/>
                <w:szCs w:val="20"/>
              </w:rPr>
            </w:pPr>
            <w:r w:rsidRPr="00DC2DB1">
              <w:rPr>
                <w:rFonts w:eastAsia="Times New Roman" w:cs="Arial"/>
                <w:sz w:val="20"/>
                <w:szCs w:val="20"/>
              </w:rPr>
              <w:lastRenderedPageBreak/>
              <w:t xml:space="preserve">The implementation date was </w:t>
            </w:r>
            <w:r w:rsidR="007D147D">
              <w:rPr>
                <w:rFonts w:eastAsia="Times New Roman" w:cs="Arial"/>
                <w:sz w:val="20"/>
                <w:szCs w:val="20"/>
              </w:rPr>
              <w:t xml:space="preserve">deferred </w:t>
            </w:r>
            <w:r w:rsidRPr="00DC2DB1">
              <w:rPr>
                <w:rFonts w:eastAsia="Times New Roman" w:cs="Arial"/>
                <w:sz w:val="20"/>
                <w:szCs w:val="20"/>
              </w:rPr>
              <w:t xml:space="preserve">from the </w:t>
            </w:r>
            <w:proofErr w:type="gramStart"/>
            <w:r w:rsidRPr="00DC2DB1">
              <w:rPr>
                <w:rFonts w:eastAsia="Times New Roman" w:cs="Arial"/>
                <w:sz w:val="20"/>
                <w:szCs w:val="20"/>
              </w:rPr>
              <w:t>5</w:t>
            </w:r>
            <w:r w:rsidRPr="00DC2DB1">
              <w:rPr>
                <w:rFonts w:eastAsia="Times New Roman" w:cs="Arial"/>
                <w:sz w:val="20"/>
                <w:szCs w:val="20"/>
                <w:vertAlign w:val="superscript"/>
              </w:rPr>
              <w:t>th</w:t>
            </w:r>
            <w:proofErr w:type="gramEnd"/>
            <w:r w:rsidRPr="00DC2DB1">
              <w:rPr>
                <w:rFonts w:eastAsia="Times New Roman" w:cs="Arial"/>
                <w:sz w:val="20"/>
                <w:szCs w:val="20"/>
              </w:rPr>
              <w:t xml:space="preserve"> November to the 22</w:t>
            </w:r>
            <w:r w:rsidRPr="00DC2DB1">
              <w:rPr>
                <w:rFonts w:eastAsia="Times New Roman" w:cs="Arial"/>
                <w:sz w:val="20"/>
                <w:szCs w:val="20"/>
                <w:vertAlign w:val="superscript"/>
              </w:rPr>
              <w:t>nd</w:t>
            </w:r>
            <w:r w:rsidRPr="00DC2DB1">
              <w:rPr>
                <w:rFonts w:eastAsia="Times New Roman" w:cs="Arial"/>
                <w:sz w:val="20"/>
                <w:szCs w:val="20"/>
              </w:rPr>
              <w:t xml:space="preserve"> January for the following changes</w:t>
            </w:r>
            <w:r w:rsidR="00A85492" w:rsidRPr="00DC2DB1">
              <w:rPr>
                <w:rFonts w:eastAsia="Times New Roman" w:cs="Arial"/>
                <w:sz w:val="20"/>
                <w:szCs w:val="20"/>
              </w:rPr>
              <w:t xml:space="preserve">: XRN4941, XRN5072, XRN5007, </w:t>
            </w:r>
            <w:r w:rsidR="00455814" w:rsidRPr="00DC2DB1">
              <w:rPr>
                <w:rFonts w:eastAsia="Times New Roman" w:cs="Arial"/>
                <w:sz w:val="20"/>
                <w:szCs w:val="20"/>
              </w:rPr>
              <w:t>XRN5180, XRN</w:t>
            </w:r>
            <w:r w:rsidR="006B3213" w:rsidRPr="00DC2DB1">
              <w:rPr>
                <w:rFonts w:eastAsia="Times New Roman" w:cs="Arial"/>
                <w:sz w:val="20"/>
                <w:szCs w:val="20"/>
              </w:rPr>
              <w:t>4780C, this was due to the S</w:t>
            </w:r>
            <w:r w:rsidR="007D147D">
              <w:rPr>
                <w:rFonts w:eastAsia="Times New Roman" w:cs="Arial"/>
                <w:sz w:val="20"/>
                <w:szCs w:val="20"/>
              </w:rPr>
              <w:t xml:space="preserve">upplier </w:t>
            </w:r>
            <w:r w:rsidR="006B3213" w:rsidRPr="00DC2DB1">
              <w:rPr>
                <w:rFonts w:eastAsia="Times New Roman" w:cs="Arial"/>
                <w:sz w:val="20"/>
                <w:szCs w:val="20"/>
              </w:rPr>
              <w:t>O</w:t>
            </w:r>
            <w:r w:rsidR="007D147D">
              <w:rPr>
                <w:rFonts w:eastAsia="Times New Roman" w:cs="Arial"/>
                <w:sz w:val="20"/>
                <w:szCs w:val="20"/>
              </w:rPr>
              <w:t xml:space="preserve">f </w:t>
            </w:r>
            <w:r w:rsidR="006B3213" w:rsidRPr="00DC2DB1">
              <w:rPr>
                <w:rFonts w:eastAsia="Times New Roman" w:cs="Arial"/>
                <w:sz w:val="20"/>
                <w:szCs w:val="20"/>
              </w:rPr>
              <w:t>L</w:t>
            </w:r>
            <w:r w:rsidR="007D147D">
              <w:rPr>
                <w:rFonts w:eastAsia="Times New Roman" w:cs="Arial"/>
                <w:sz w:val="20"/>
                <w:szCs w:val="20"/>
              </w:rPr>
              <w:t xml:space="preserve">ast </w:t>
            </w:r>
            <w:r w:rsidR="006B3213" w:rsidRPr="00DC2DB1">
              <w:rPr>
                <w:rFonts w:eastAsia="Times New Roman" w:cs="Arial"/>
                <w:sz w:val="20"/>
                <w:szCs w:val="20"/>
              </w:rPr>
              <w:t>R</w:t>
            </w:r>
            <w:r w:rsidR="007D147D">
              <w:rPr>
                <w:rFonts w:eastAsia="Times New Roman" w:cs="Arial"/>
                <w:sz w:val="20"/>
                <w:szCs w:val="20"/>
              </w:rPr>
              <w:t>esort (SOLR)</w:t>
            </w:r>
            <w:r w:rsidR="006B3213" w:rsidRPr="00DC2DB1">
              <w:rPr>
                <w:rFonts w:eastAsia="Times New Roman" w:cs="Arial"/>
                <w:sz w:val="20"/>
                <w:szCs w:val="20"/>
              </w:rPr>
              <w:t xml:space="preserve"> impacts to both internal and external parties over the winter period</w:t>
            </w:r>
          </w:p>
          <w:p w14:paraId="4156BA78" w14:textId="2EBD58D3" w:rsidR="00490C3D" w:rsidRPr="00EA73B3" w:rsidRDefault="00490C3D" w:rsidP="0A57A144">
            <w:pPr>
              <w:spacing w:line="276" w:lineRule="auto"/>
              <w:contextualSpacing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EA73B3" w:rsidRPr="00EA73B3" w14:paraId="44DCE113" w14:textId="77777777" w:rsidTr="002A6A8A">
        <w:tc>
          <w:tcPr>
            <w:tcW w:w="5000" w:type="pct"/>
            <w:gridSpan w:val="2"/>
            <w:shd w:val="clear" w:color="auto" w:fill="3E5AA8" w:themeFill="accent1"/>
            <w:vAlign w:val="center"/>
          </w:tcPr>
          <w:p w14:paraId="23A67B82" w14:textId="77777777" w:rsidR="00EA73B3" w:rsidRPr="00EA73B3" w:rsidRDefault="00EA73B3" w:rsidP="00EA73B3">
            <w:pPr>
              <w:jc w:val="center"/>
              <w:rPr>
                <w:rFonts w:eastAsia="Times New Roman" w:cs="Arial"/>
                <w:b/>
                <w:color w:val="FFFFFF"/>
                <w:szCs w:val="16"/>
              </w:rPr>
            </w:pPr>
            <w:r w:rsidRPr="00EA73B3">
              <w:rPr>
                <w:rFonts w:eastAsia="Arial" w:cs="Arial"/>
                <w:b/>
                <w:color w:val="FFFFFF"/>
                <w:sz w:val="20"/>
                <w:lang w:eastAsia="en-US"/>
              </w:rPr>
              <w:lastRenderedPageBreak/>
              <w:t>Section 4: Detail any changes to the Xoserve Service Description</w:t>
            </w:r>
          </w:p>
        </w:tc>
      </w:tr>
      <w:tr w:rsidR="00EA73B3" w:rsidRPr="00EA73B3" w14:paraId="7B78493D" w14:textId="77777777" w:rsidTr="002A6A8A">
        <w:tc>
          <w:tcPr>
            <w:tcW w:w="5000" w:type="pct"/>
            <w:gridSpan w:val="2"/>
            <w:shd w:val="clear" w:color="auto" w:fill="auto"/>
          </w:tcPr>
          <w:p w14:paraId="0458A3F9" w14:textId="77777777" w:rsidR="001069D1" w:rsidRDefault="001069D1" w:rsidP="00195A39">
            <w:pPr>
              <w:rPr>
                <w:rFonts w:eastAsia="Times New Roman" w:cs="Arial"/>
                <w:b/>
                <w:sz w:val="20"/>
                <w:szCs w:val="16"/>
                <w:highlight w:val="yellow"/>
              </w:rPr>
            </w:pPr>
          </w:p>
          <w:p w14:paraId="5799C3E5" w14:textId="3C723446" w:rsidR="00294136" w:rsidRDefault="00294136" w:rsidP="007D147D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bCs/>
                <w:sz w:val="20"/>
                <w:szCs w:val="16"/>
              </w:rPr>
            </w:pPr>
            <w:r w:rsidRPr="007D147D">
              <w:rPr>
                <w:rFonts w:eastAsia="Times New Roman" w:cs="Arial"/>
                <w:bCs/>
                <w:sz w:val="20"/>
                <w:szCs w:val="16"/>
              </w:rPr>
              <w:t>Not applicable for XRN’s 4941, 5007, 5072, 5142 &amp; 5180</w:t>
            </w:r>
          </w:p>
          <w:p w14:paraId="68E22708" w14:textId="77777777" w:rsidR="00C64C83" w:rsidRPr="007D147D" w:rsidRDefault="00C64C83" w:rsidP="00C64C83">
            <w:pPr>
              <w:pStyle w:val="ListParagraph"/>
              <w:rPr>
                <w:rFonts w:eastAsia="Times New Roman" w:cs="Arial"/>
                <w:bCs/>
                <w:sz w:val="20"/>
                <w:szCs w:val="16"/>
              </w:rPr>
            </w:pPr>
          </w:p>
          <w:p w14:paraId="2FB623FB" w14:textId="72CEC886" w:rsidR="00294136" w:rsidRPr="007D147D" w:rsidRDefault="00294136" w:rsidP="007D147D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bCs/>
                <w:sz w:val="20"/>
                <w:szCs w:val="16"/>
              </w:rPr>
            </w:pPr>
            <w:r w:rsidRPr="007D147D">
              <w:rPr>
                <w:rFonts w:eastAsia="Times New Roman" w:cs="Arial"/>
                <w:bCs/>
                <w:sz w:val="20"/>
                <w:szCs w:val="16"/>
              </w:rPr>
              <w:t xml:space="preserve">Any changes applicable to XRN4780C will be </w:t>
            </w:r>
            <w:r w:rsidR="008E6575" w:rsidRPr="007D147D">
              <w:rPr>
                <w:rFonts w:eastAsia="Times New Roman" w:cs="Arial"/>
                <w:bCs/>
                <w:sz w:val="20"/>
                <w:szCs w:val="16"/>
              </w:rPr>
              <w:t>p</w:t>
            </w:r>
            <w:r w:rsidR="00706676" w:rsidRPr="007D147D">
              <w:rPr>
                <w:rFonts w:eastAsia="Times New Roman" w:cs="Arial"/>
                <w:bCs/>
                <w:sz w:val="20"/>
                <w:szCs w:val="16"/>
              </w:rPr>
              <w:t>r</w:t>
            </w:r>
            <w:r w:rsidR="008E6575" w:rsidRPr="007D147D">
              <w:rPr>
                <w:rFonts w:eastAsia="Times New Roman" w:cs="Arial"/>
                <w:bCs/>
                <w:sz w:val="20"/>
                <w:szCs w:val="16"/>
              </w:rPr>
              <w:t>ovided by the</w:t>
            </w:r>
            <w:r w:rsidRPr="007D147D">
              <w:rPr>
                <w:rFonts w:eastAsia="Times New Roman" w:cs="Arial"/>
                <w:bCs/>
                <w:sz w:val="20"/>
                <w:szCs w:val="16"/>
              </w:rPr>
              <w:t xml:space="preserve"> CSSC</w:t>
            </w:r>
            <w:r w:rsidR="00931C33" w:rsidRPr="007D147D">
              <w:rPr>
                <w:rFonts w:eastAsia="Times New Roman" w:cs="Arial"/>
                <w:bCs/>
                <w:sz w:val="20"/>
                <w:szCs w:val="16"/>
              </w:rPr>
              <w:t xml:space="preserve"> programme</w:t>
            </w:r>
          </w:p>
          <w:p w14:paraId="499F0C66" w14:textId="77777777" w:rsidR="00294136" w:rsidRDefault="00294136" w:rsidP="00195A39">
            <w:pPr>
              <w:rPr>
                <w:rFonts w:eastAsia="Times New Roman" w:cs="Arial"/>
                <w:b/>
                <w:sz w:val="20"/>
                <w:szCs w:val="16"/>
                <w:highlight w:val="yellow"/>
              </w:rPr>
            </w:pPr>
          </w:p>
          <w:p w14:paraId="46992048" w14:textId="25EDF996" w:rsidR="001069D1" w:rsidRPr="00EA73B3" w:rsidRDefault="001069D1" w:rsidP="00706676">
            <w:pPr>
              <w:rPr>
                <w:rFonts w:eastAsia="Times New Roman" w:cs="Arial"/>
                <w:b/>
                <w:sz w:val="20"/>
                <w:szCs w:val="16"/>
              </w:rPr>
            </w:pPr>
          </w:p>
        </w:tc>
      </w:tr>
      <w:tr w:rsidR="00EA73B3" w:rsidRPr="00EA73B3" w14:paraId="6EF7276F" w14:textId="77777777" w:rsidTr="002A6A8A">
        <w:tc>
          <w:tcPr>
            <w:tcW w:w="5000" w:type="pct"/>
            <w:gridSpan w:val="2"/>
            <w:shd w:val="clear" w:color="auto" w:fill="3E5AA8" w:themeFill="accent1"/>
            <w:vAlign w:val="center"/>
          </w:tcPr>
          <w:p w14:paraId="509E9641" w14:textId="77777777" w:rsidR="00EA73B3" w:rsidRPr="00EA73B3" w:rsidRDefault="00EA73B3" w:rsidP="00EA73B3">
            <w:pPr>
              <w:jc w:val="center"/>
              <w:rPr>
                <w:rFonts w:eastAsia="Times New Roman" w:cs="Arial"/>
                <w:b/>
                <w:color w:val="FFFFFF"/>
                <w:szCs w:val="16"/>
              </w:rPr>
            </w:pPr>
            <w:r w:rsidRPr="00EA73B3">
              <w:rPr>
                <w:rFonts w:eastAsia="Arial" w:cs="Arial"/>
                <w:b/>
                <w:color w:val="FFFFFF"/>
                <w:sz w:val="20"/>
                <w:lang w:eastAsia="en-US"/>
              </w:rPr>
              <w:t>Section 5: Provide details of any revisions to the text of the UK Link Manual</w:t>
            </w:r>
          </w:p>
        </w:tc>
      </w:tr>
      <w:tr w:rsidR="00EA73B3" w:rsidRPr="00EA73B3" w14:paraId="083A4EDD" w14:textId="77777777" w:rsidTr="002A6A8A">
        <w:tc>
          <w:tcPr>
            <w:tcW w:w="5000" w:type="pct"/>
            <w:gridSpan w:val="2"/>
            <w:shd w:val="clear" w:color="auto" w:fill="auto"/>
          </w:tcPr>
          <w:p w14:paraId="09882149" w14:textId="77777777" w:rsidR="00EA73B3" w:rsidRDefault="00EA73B3" w:rsidP="0A57A144">
            <w:pPr>
              <w:spacing w:line="276" w:lineRule="auto"/>
              <w:contextualSpacing/>
              <w:rPr>
                <w:rFonts w:eastAsia="Times New Roman" w:cs="Arial"/>
                <w:b/>
                <w:color w:val="FF0000"/>
                <w:szCs w:val="16"/>
              </w:rPr>
            </w:pPr>
          </w:p>
          <w:p w14:paraId="0E858E96" w14:textId="77777777" w:rsidR="007135E5" w:rsidRPr="00E2185A" w:rsidRDefault="007135E5" w:rsidP="0A57A144">
            <w:pPr>
              <w:spacing w:line="276" w:lineRule="auto"/>
              <w:contextualSpacing/>
              <w:rPr>
                <w:rFonts w:eastAsia="Times New Roman" w:cs="Arial"/>
                <w:sz w:val="20"/>
                <w:szCs w:val="20"/>
                <w:u w:val="single"/>
              </w:rPr>
            </w:pPr>
            <w:r w:rsidRPr="00E2185A">
              <w:rPr>
                <w:rFonts w:eastAsia="Times New Roman" w:cs="Arial"/>
                <w:sz w:val="20"/>
                <w:szCs w:val="20"/>
                <w:u w:val="single"/>
              </w:rPr>
              <w:t>XRN5007</w:t>
            </w:r>
          </w:p>
          <w:p w14:paraId="638BCCD4" w14:textId="77777777" w:rsidR="00433F3A" w:rsidRDefault="002F0F35" w:rsidP="0A57A144">
            <w:pPr>
              <w:spacing w:line="276" w:lineRule="auto"/>
              <w:contextualSpacing/>
              <w:rPr>
                <w:rFonts w:eastAsia="Times New Roman" w:cs="Arial"/>
                <w:sz w:val="20"/>
                <w:szCs w:val="20"/>
              </w:rPr>
            </w:pPr>
            <w:r w:rsidRPr="0001213D">
              <w:rPr>
                <w:rFonts w:eastAsia="Times New Roman" w:cs="Arial"/>
                <w:sz w:val="20"/>
                <w:szCs w:val="20"/>
              </w:rPr>
              <w:t xml:space="preserve">A new guidance document was created - Reconciliation Factor calculation where Prevailing Volume is zero V1L. This was published in January in the UK Documentation Library under </w:t>
            </w:r>
          </w:p>
          <w:p w14:paraId="355BD644" w14:textId="6A6298C6" w:rsidR="00306A94" w:rsidRPr="0001213D" w:rsidRDefault="002F0F35" w:rsidP="0A57A144">
            <w:pPr>
              <w:spacing w:line="276" w:lineRule="auto"/>
              <w:contextualSpacing/>
              <w:rPr>
                <w:rFonts w:eastAsia="Times New Roman" w:cs="Arial"/>
                <w:sz w:val="20"/>
                <w:szCs w:val="20"/>
              </w:rPr>
            </w:pPr>
            <w:r w:rsidRPr="0001213D">
              <w:rPr>
                <w:rFonts w:eastAsia="Times New Roman" w:cs="Arial"/>
                <w:sz w:val="20"/>
                <w:szCs w:val="20"/>
              </w:rPr>
              <w:t>4.</w:t>
            </w:r>
            <w:r w:rsidR="007135E5" w:rsidRPr="0001213D">
              <w:rPr>
                <w:rFonts w:eastAsia="Times New Roman" w:cs="Arial"/>
                <w:sz w:val="20"/>
                <w:szCs w:val="20"/>
              </w:rPr>
              <w:t xml:space="preserve"> Guidance</w:t>
            </w:r>
            <w:r w:rsidRPr="0001213D">
              <w:rPr>
                <w:rFonts w:eastAsia="Times New Roman" w:cs="Arial"/>
                <w:sz w:val="20"/>
                <w:szCs w:val="20"/>
              </w:rPr>
              <w:t xml:space="preserve"> Docs</w:t>
            </w:r>
            <w:r w:rsidR="00E2185A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01213D">
              <w:rPr>
                <w:rFonts w:eastAsia="Times New Roman" w:cs="Arial"/>
                <w:sz w:val="20"/>
                <w:szCs w:val="20"/>
              </w:rPr>
              <w:t>&gt;</w:t>
            </w:r>
            <w:r w:rsidR="00E2185A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01213D">
              <w:rPr>
                <w:rFonts w:eastAsia="Times New Roman" w:cs="Arial"/>
                <w:sz w:val="20"/>
                <w:szCs w:val="20"/>
              </w:rPr>
              <w:t>Reconciliation Calculation</w:t>
            </w:r>
          </w:p>
          <w:p w14:paraId="36D0D3CD" w14:textId="77777777" w:rsidR="002F0F35" w:rsidRDefault="002F0F35" w:rsidP="0A57A144">
            <w:pPr>
              <w:spacing w:line="276" w:lineRule="auto"/>
              <w:contextualSpacing/>
              <w:rPr>
                <w:rFonts w:ascii="Segoe UI" w:hAnsi="Segoe UI" w:cs="Segoe UI"/>
                <w:b/>
                <w:color w:val="242424"/>
                <w:sz w:val="21"/>
                <w:szCs w:val="21"/>
                <w:shd w:val="clear" w:color="auto" w:fill="FFFFFF"/>
              </w:rPr>
            </w:pPr>
          </w:p>
          <w:p w14:paraId="138D164B" w14:textId="2E769E83" w:rsidR="007135E5" w:rsidRPr="00E2185A" w:rsidRDefault="007135E5" w:rsidP="0A57A144">
            <w:pPr>
              <w:spacing w:line="276" w:lineRule="auto"/>
              <w:contextualSpacing/>
              <w:rPr>
                <w:rFonts w:eastAsia="Times New Roman" w:cs="Arial"/>
                <w:sz w:val="20"/>
                <w:szCs w:val="20"/>
                <w:u w:val="single"/>
              </w:rPr>
            </w:pPr>
            <w:r w:rsidRPr="00E2185A">
              <w:rPr>
                <w:rFonts w:eastAsia="Times New Roman" w:cs="Arial"/>
                <w:sz w:val="20"/>
                <w:szCs w:val="20"/>
                <w:u w:val="single"/>
              </w:rPr>
              <w:t>XRN5072</w:t>
            </w:r>
          </w:p>
          <w:p w14:paraId="2067F5BE" w14:textId="7FBDB712" w:rsidR="007135E5" w:rsidRPr="0001213D" w:rsidRDefault="007135E5" w:rsidP="0A57A144">
            <w:pPr>
              <w:spacing w:line="276" w:lineRule="auto"/>
              <w:contextualSpacing/>
              <w:rPr>
                <w:rFonts w:eastAsia="Times New Roman" w:cs="Arial"/>
                <w:sz w:val="20"/>
                <w:szCs w:val="20"/>
              </w:rPr>
            </w:pPr>
            <w:r w:rsidRPr="0001213D">
              <w:rPr>
                <w:rFonts w:eastAsia="Times New Roman" w:cs="Arial"/>
                <w:sz w:val="20"/>
                <w:szCs w:val="20"/>
              </w:rPr>
              <w:t xml:space="preserve">Updates were made to the </w:t>
            </w:r>
            <w:r w:rsidR="00E2185A">
              <w:rPr>
                <w:rFonts w:eastAsia="Times New Roman" w:cs="Arial"/>
                <w:sz w:val="20"/>
                <w:szCs w:val="20"/>
              </w:rPr>
              <w:t>Uniform Network Code Validation Rules (</w:t>
            </w:r>
            <w:r w:rsidRPr="0001213D">
              <w:rPr>
                <w:rFonts w:eastAsia="Times New Roman" w:cs="Arial"/>
                <w:sz w:val="20"/>
                <w:szCs w:val="20"/>
              </w:rPr>
              <w:t>UNCVR</w:t>
            </w:r>
            <w:r w:rsidR="00E2185A">
              <w:rPr>
                <w:rFonts w:eastAsia="Times New Roman" w:cs="Arial"/>
                <w:sz w:val="20"/>
                <w:szCs w:val="20"/>
              </w:rPr>
              <w:t>)</w:t>
            </w:r>
            <w:r w:rsidRPr="0001213D">
              <w:rPr>
                <w:rFonts w:eastAsia="Times New Roman" w:cs="Arial"/>
                <w:sz w:val="20"/>
                <w:szCs w:val="20"/>
              </w:rPr>
              <w:t xml:space="preserve"> document to reflect the TTZ changes made. The updated version was published by the Joint Office in January</w:t>
            </w:r>
          </w:p>
          <w:p w14:paraId="1AB0B5C7" w14:textId="1F37B2BE" w:rsidR="002F0F35" w:rsidRPr="00EA73B3" w:rsidRDefault="002F0F35" w:rsidP="0A57A144">
            <w:pPr>
              <w:spacing w:line="276" w:lineRule="auto"/>
              <w:contextualSpacing/>
              <w:rPr>
                <w:rFonts w:eastAsia="Times New Roman" w:cs="Arial"/>
                <w:b/>
                <w:color w:val="FF0000"/>
                <w:szCs w:val="16"/>
              </w:rPr>
            </w:pPr>
          </w:p>
        </w:tc>
      </w:tr>
      <w:tr w:rsidR="00EA73B3" w:rsidRPr="00EA73B3" w14:paraId="7D853ABD" w14:textId="77777777" w:rsidTr="002A6A8A">
        <w:tc>
          <w:tcPr>
            <w:tcW w:w="5000" w:type="pct"/>
            <w:gridSpan w:val="2"/>
            <w:shd w:val="clear" w:color="auto" w:fill="3E5AA8" w:themeFill="accent1"/>
            <w:vAlign w:val="center"/>
          </w:tcPr>
          <w:p w14:paraId="3FF03745" w14:textId="77777777" w:rsidR="00EA73B3" w:rsidRPr="00EA73B3" w:rsidRDefault="00EA73B3" w:rsidP="00EA73B3">
            <w:pPr>
              <w:jc w:val="center"/>
              <w:rPr>
                <w:rFonts w:eastAsia="Times New Roman" w:cs="Arial"/>
                <w:b/>
                <w:color w:val="0070C0"/>
              </w:rPr>
            </w:pPr>
            <w:r w:rsidRPr="00EA73B3">
              <w:rPr>
                <w:rFonts w:eastAsia="Arial" w:cs="Arial"/>
                <w:b/>
                <w:color w:val="FFFFFF"/>
                <w:sz w:val="20"/>
                <w:lang w:eastAsia="en-US"/>
              </w:rPr>
              <w:t>Section 6: Lessons Learnt</w:t>
            </w:r>
          </w:p>
        </w:tc>
      </w:tr>
      <w:tr w:rsidR="00EA73B3" w:rsidRPr="00EA73B3" w14:paraId="495C3462" w14:textId="77777777" w:rsidTr="002A6A8A">
        <w:tc>
          <w:tcPr>
            <w:tcW w:w="5000" w:type="pct"/>
            <w:gridSpan w:val="2"/>
            <w:shd w:val="clear" w:color="auto" w:fill="auto"/>
          </w:tcPr>
          <w:p w14:paraId="13699D01" w14:textId="77777777" w:rsidR="00EA73B3" w:rsidRDefault="00EA73B3" w:rsidP="00A34B6C">
            <w:pPr>
              <w:rPr>
                <w:rFonts w:eastAsia="Times New Roman" w:cs="Arial"/>
              </w:rPr>
            </w:pPr>
          </w:p>
          <w:p w14:paraId="31F1579F" w14:textId="0177E35B" w:rsidR="00A34B6C" w:rsidRPr="00A34B6C" w:rsidRDefault="004D7B0E" w:rsidP="00A34B6C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 </w:t>
            </w:r>
            <w:r w:rsidR="00EF7454" w:rsidRPr="00EF7454">
              <w:rPr>
                <w:rFonts w:eastAsia="Times New Roman" w:cs="Arial"/>
              </w:rPr>
              <w:t>changes within the November 21 release focused heavily on the reads process which, when combined with other inflight changes (</w:t>
            </w:r>
            <w:r w:rsidR="00242AAE" w:rsidRPr="00EF7454">
              <w:rPr>
                <w:rFonts w:eastAsia="Times New Roman" w:cs="Arial"/>
              </w:rPr>
              <w:t>e.g.,</w:t>
            </w:r>
            <w:r w:rsidR="00EF7454" w:rsidRPr="00EF7454">
              <w:rPr>
                <w:rFonts w:eastAsia="Times New Roman" w:cs="Arial"/>
              </w:rPr>
              <w:t xml:space="preserve"> CSSC</w:t>
            </w:r>
            <w:r w:rsidR="00242AAE">
              <w:rPr>
                <w:rFonts w:eastAsia="Times New Roman" w:cs="Arial"/>
              </w:rPr>
              <w:t xml:space="preserve"> programme</w:t>
            </w:r>
            <w:r w:rsidR="00EF7454" w:rsidRPr="00EF7454">
              <w:rPr>
                <w:rFonts w:eastAsia="Times New Roman" w:cs="Arial"/>
              </w:rPr>
              <w:t>), placed additional strain on Operational resources. Consideration</w:t>
            </w:r>
            <w:r w:rsidR="007609B2">
              <w:rPr>
                <w:rFonts w:eastAsia="Times New Roman" w:cs="Arial"/>
              </w:rPr>
              <w:t>, where possible,</w:t>
            </w:r>
            <w:r w:rsidR="00EF7454" w:rsidRPr="00EF7454">
              <w:rPr>
                <w:rFonts w:eastAsia="Times New Roman" w:cs="Arial"/>
              </w:rPr>
              <w:t xml:space="preserve"> needs to be given to all inflight changes when scoping a release.</w:t>
            </w:r>
          </w:p>
          <w:p w14:paraId="7B2B5B58" w14:textId="55B8E9E2" w:rsidR="00A34B6C" w:rsidRPr="00A34B6C" w:rsidRDefault="00A34B6C" w:rsidP="00A34B6C">
            <w:pPr>
              <w:rPr>
                <w:rFonts w:eastAsia="Times New Roman" w:cs="Arial"/>
              </w:rPr>
            </w:pPr>
          </w:p>
        </w:tc>
      </w:tr>
    </w:tbl>
    <w:p w14:paraId="4CC1E547" w14:textId="77777777" w:rsidR="001C2268" w:rsidRDefault="001C2268" w:rsidP="00EA73B3">
      <w:pPr>
        <w:rPr>
          <w:rFonts w:eastAsia="Arial" w:cs="Arial"/>
          <w:b/>
        </w:rPr>
      </w:pPr>
    </w:p>
    <w:p w14:paraId="54F4265B" w14:textId="3E896289" w:rsidR="00EA73B3" w:rsidRDefault="00EA73B3" w:rsidP="00EA73B3">
      <w:pPr>
        <w:rPr>
          <w:rFonts w:eastAsia="Arial" w:cs="Arial"/>
          <w:b/>
        </w:rPr>
      </w:pPr>
      <w:r w:rsidRPr="00EA73B3">
        <w:rPr>
          <w:rFonts w:eastAsia="Arial" w:cs="Arial"/>
          <w:b/>
        </w:rPr>
        <w:t xml:space="preserve">Please send completed form to: </w:t>
      </w:r>
      <w:hyperlink r:id="rId20" w:history="1">
        <w:r w:rsidRPr="00EA73B3">
          <w:rPr>
            <w:rFonts w:eastAsia="Arial" w:cs="Arial"/>
            <w:b/>
            <w:color w:val="D2232A"/>
            <w:u w:val="single"/>
          </w:rPr>
          <w:t>box.xoserve.portfoliooffice@xoserve.com</w:t>
        </w:r>
      </w:hyperlink>
    </w:p>
    <w:p w14:paraId="3796074C" w14:textId="77777777" w:rsidR="001C2268" w:rsidRPr="001C2268" w:rsidRDefault="001C2268" w:rsidP="001C2268">
      <w:pPr>
        <w:pStyle w:val="NoSpacing"/>
        <w:rPr>
          <w:rFonts w:eastAsia="Arial"/>
        </w:rPr>
      </w:pPr>
    </w:p>
    <w:p w14:paraId="0AF2244E" w14:textId="77777777" w:rsidR="00EA73B3" w:rsidRPr="00EA73B3" w:rsidRDefault="00EA73B3" w:rsidP="00EA73B3">
      <w:pPr>
        <w:rPr>
          <w:rFonts w:eastAsia="Arial" w:cs="Times New Roman"/>
          <w:b/>
          <w:sz w:val="20"/>
          <w:szCs w:val="20"/>
        </w:rPr>
      </w:pPr>
      <w:r w:rsidRPr="00EA73B3">
        <w:rPr>
          <w:rFonts w:eastAsia="Arial" w:cs="Times New Roman"/>
          <w:b/>
          <w:sz w:val="20"/>
          <w:szCs w:val="20"/>
        </w:rPr>
        <w:t>Document Version History</w:t>
      </w:r>
    </w:p>
    <w:tbl>
      <w:tblPr>
        <w:tblStyle w:val="TableGrid1"/>
        <w:tblW w:w="5522" w:type="pct"/>
        <w:tblInd w:w="-459" w:type="dxa"/>
        <w:tblLook w:val="04A0" w:firstRow="1" w:lastRow="0" w:firstColumn="1" w:lastColumn="0" w:noHBand="0" w:noVBand="1"/>
      </w:tblPr>
      <w:tblGrid>
        <w:gridCol w:w="1768"/>
        <w:gridCol w:w="1636"/>
        <w:gridCol w:w="1217"/>
        <w:gridCol w:w="1492"/>
        <w:gridCol w:w="3844"/>
      </w:tblGrid>
      <w:tr w:rsidR="00EA73B3" w:rsidRPr="00EA73B3" w14:paraId="3208E80C" w14:textId="77777777" w:rsidTr="01D5F638">
        <w:trPr>
          <w:trHeight w:val="611"/>
        </w:trPr>
        <w:tc>
          <w:tcPr>
            <w:tcW w:w="902" w:type="pct"/>
            <w:shd w:val="clear" w:color="auto" w:fill="D6DCF0" w:themeFill="accent1" w:themeFillTint="33"/>
            <w:vAlign w:val="center"/>
          </w:tcPr>
          <w:p w14:paraId="0667806F" w14:textId="77777777" w:rsidR="00EA73B3" w:rsidRPr="00EA73B3" w:rsidRDefault="00EA73B3" w:rsidP="00EA73B3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A73B3">
              <w:rPr>
                <w:rFonts w:eastAsia="Times New Roman" w:cs="Arial"/>
                <w:b/>
                <w:sz w:val="20"/>
                <w:szCs w:val="20"/>
              </w:rPr>
              <w:t>Version</w:t>
            </w:r>
          </w:p>
        </w:tc>
        <w:tc>
          <w:tcPr>
            <w:tcW w:w="835" w:type="pct"/>
            <w:shd w:val="clear" w:color="auto" w:fill="D6DCF0" w:themeFill="accent1" w:themeFillTint="33"/>
            <w:vAlign w:val="center"/>
          </w:tcPr>
          <w:p w14:paraId="4BB6D7BD" w14:textId="77777777" w:rsidR="00EA73B3" w:rsidRPr="00EA73B3" w:rsidRDefault="00EA73B3" w:rsidP="00EA73B3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A73B3">
              <w:rPr>
                <w:rFonts w:eastAsia="Times New Roman" w:cs="Arial"/>
                <w:b/>
                <w:sz w:val="20"/>
                <w:szCs w:val="20"/>
              </w:rPr>
              <w:t>Status</w:t>
            </w:r>
          </w:p>
        </w:tc>
        <w:tc>
          <w:tcPr>
            <w:tcW w:w="556" w:type="pct"/>
            <w:shd w:val="clear" w:color="auto" w:fill="D6DCF0" w:themeFill="accent1" w:themeFillTint="33"/>
            <w:vAlign w:val="center"/>
          </w:tcPr>
          <w:p w14:paraId="407F4BCC" w14:textId="77777777" w:rsidR="00EA73B3" w:rsidRPr="00EA73B3" w:rsidRDefault="00EA73B3" w:rsidP="00EA73B3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A73B3">
              <w:rPr>
                <w:rFonts w:eastAsia="Times New Roman" w:cs="Arial"/>
                <w:b/>
                <w:sz w:val="20"/>
                <w:szCs w:val="20"/>
              </w:rPr>
              <w:t>Date</w:t>
            </w:r>
          </w:p>
        </w:tc>
        <w:tc>
          <w:tcPr>
            <w:tcW w:w="763" w:type="pct"/>
            <w:shd w:val="clear" w:color="auto" w:fill="D6DCF0" w:themeFill="accent1" w:themeFillTint="33"/>
            <w:vAlign w:val="center"/>
          </w:tcPr>
          <w:p w14:paraId="6E8BB7C2" w14:textId="77777777" w:rsidR="00EA73B3" w:rsidRPr="00EA73B3" w:rsidRDefault="00EA73B3" w:rsidP="00EA73B3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A73B3">
              <w:rPr>
                <w:rFonts w:eastAsia="Times New Roman" w:cs="Arial"/>
                <w:b/>
                <w:sz w:val="20"/>
                <w:szCs w:val="20"/>
              </w:rPr>
              <w:t>Author(s)</w:t>
            </w:r>
          </w:p>
        </w:tc>
        <w:tc>
          <w:tcPr>
            <w:tcW w:w="1944" w:type="pct"/>
            <w:shd w:val="clear" w:color="auto" w:fill="D6DCF0" w:themeFill="accent1" w:themeFillTint="33"/>
            <w:vAlign w:val="center"/>
          </w:tcPr>
          <w:p w14:paraId="011587D7" w14:textId="77777777" w:rsidR="00EA73B3" w:rsidRPr="00EA73B3" w:rsidRDefault="00EA73B3" w:rsidP="00EA73B3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A73B3">
              <w:rPr>
                <w:rFonts w:eastAsia="Times New Roman" w:cs="Arial"/>
                <w:b/>
                <w:sz w:val="20"/>
                <w:szCs w:val="20"/>
              </w:rPr>
              <w:t>Summary of Changes</w:t>
            </w:r>
          </w:p>
        </w:tc>
      </w:tr>
      <w:tr w:rsidR="00EA73B3" w:rsidRPr="00EA73B3" w14:paraId="622CB1EF" w14:textId="77777777" w:rsidTr="01D5F638">
        <w:tc>
          <w:tcPr>
            <w:tcW w:w="902" w:type="pct"/>
          </w:tcPr>
          <w:p w14:paraId="1ABADCE5" w14:textId="4D6F023A" w:rsidR="00EA73B3" w:rsidRPr="00EA73B3" w:rsidRDefault="0A57A144" w:rsidP="0A57A144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A57A144">
              <w:rPr>
                <w:rFonts w:eastAsia="Times New Roman" w:cs="Arial"/>
                <w:sz w:val="20"/>
                <w:szCs w:val="20"/>
              </w:rPr>
              <w:t>0.1</w:t>
            </w:r>
          </w:p>
        </w:tc>
        <w:tc>
          <w:tcPr>
            <w:tcW w:w="835" w:type="pct"/>
          </w:tcPr>
          <w:p w14:paraId="0DB8F594" w14:textId="557108F2" w:rsidR="00EA73B3" w:rsidRPr="00EA73B3" w:rsidRDefault="005342AA" w:rsidP="0A57A144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Draft</w:t>
            </w:r>
          </w:p>
        </w:tc>
        <w:tc>
          <w:tcPr>
            <w:tcW w:w="556" w:type="pct"/>
          </w:tcPr>
          <w:p w14:paraId="0BB1E953" w14:textId="393A4BCC" w:rsidR="00EA73B3" w:rsidRPr="00EA73B3" w:rsidRDefault="005342AA" w:rsidP="0A57A144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27/06/2022</w:t>
            </w:r>
          </w:p>
        </w:tc>
        <w:tc>
          <w:tcPr>
            <w:tcW w:w="763" w:type="pct"/>
          </w:tcPr>
          <w:p w14:paraId="4350D9F9" w14:textId="4FEF25E0" w:rsidR="00EA73B3" w:rsidRPr="00EA73B3" w:rsidRDefault="0040675E" w:rsidP="0A57A144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Simon Burton</w:t>
            </w:r>
          </w:p>
        </w:tc>
        <w:tc>
          <w:tcPr>
            <w:tcW w:w="1944" w:type="pct"/>
          </w:tcPr>
          <w:p w14:paraId="0FC70C39" w14:textId="1693C2C9" w:rsidR="00EA73B3" w:rsidRPr="00EA73B3" w:rsidRDefault="0040675E" w:rsidP="0A57A144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Initial draft</w:t>
            </w:r>
          </w:p>
        </w:tc>
      </w:tr>
      <w:tr w:rsidR="00B02B1F" w:rsidRPr="00EA73B3" w14:paraId="754DA542" w14:textId="77777777" w:rsidTr="01D5F638">
        <w:tc>
          <w:tcPr>
            <w:tcW w:w="902" w:type="pct"/>
          </w:tcPr>
          <w:p w14:paraId="11C7F5EB" w14:textId="1DFBF201" w:rsidR="00B02B1F" w:rsidRPr="0A57A144" w:rsidRDefault="00C65A92" w:rsidP="0A57A144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0.2</w:t>
            </w:r>
          </w:p>
        </w:tc>
        <w:tc>
          <w:tcPr>
            <w:tcW w:w="835" w:type="pct"/>
          </w:tcPr>
          <w:p w14:paraId="3F320147" w14:textId="7E790158" w:rsidR="00B02B1F" w:rsidRDefault="00C65A92" w:rsidP="0A57A144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Internally Reviewed</w:t>
            </w:r>
          </w:p>
        </w:tc>
        <w:tc>
          <w:tcPr>
            <w:tcW w:w="556" w:type="pct"/>
          </w:tcPr>
          <w:p w14:paraId="7C67D083" w14:textId="179E948C" w:rsidR="00B02B1F" w:rsidRDefault="00C65A92" w:rsidP="0A57A144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28/06/22</w:t>
            </w:r>
          </w:p>
        </w:tc>
        <w:tc>
          <w:tcPr>
            <w:tcW w:w="763" w:type="pct"/>
          </w:tcPr>
          <w:p w14:paraId="35B73BFC" w14:textId="77777777" w:rsidR="00B02B1F" w:rsidRDefault="00B02B1F" w:rsidP="0A57A144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44" w:type="pct"/>
          </w:tcPr>
          <w:p w14:paraId="5184F8E7" w14:textId="77777777" w:rsidR="00B02B1F" w:rsidRDefault="00B02B1F" w:rsidP="0A57A144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65A92" w:rsidRPr="00EA73B3" w14:paraId="7D6065F1" w14:textId="77777777" w:rsidTr="01D5F638">
        <w:tc>
          <w:tcPr>
            <w:tcW w:w="902" w:type="pct"/>
          </w:tcPr>
          <w:p w14:paraId="6D34364F" w14:textId="79860134" w:rsidR="00C65A92" w:rsidRDefault="000B6CF0" w:rsidP="0A57A144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1D5F638">
              <w:rPr>
                <w:rFonts w:eastAsia="Times New Roman" w:cs="Arial"/>
                <w:sz w:val="20"/>
                <w:szCs w:val="20"/>
              </w:rPr>
              <w:t>1.0</w:t>
            </w:r>
          </w:p>
        </w:tc>
        <w:tc>
          <w:tcPr>
            <w:tcW w:w="835" w:type="pct"/>
          </w:tcPr>
          <w:p w14:paraId="0714725C" w14:textId="011756E6" w:rsidR="00C65A92" w:rsidRDefault="00C65A92" w:rsidP="0A57A144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Internally Approved</w:t>
            </w:r>
          </w:p>
        </w:tc>
        <w:tc>
          <w:tcPr>
            <w:tcW w:w="556" w:type="pct"/>
          </w:tcPr>
          <w:p w14:paraId="3673D810" w14:textId="315CD51D" w:rsidR="00C65A92" w:rsidRDefault="00C65A92" w:rsidP="0A57A144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29/06/22</w:t>
            </w:r>
          </w:p>
        </w:tc>
        <w:tc>
          <w:tcPr>
            <w:tcW w:w="763" w:type="pct"/>
          </w:tcPr>
          <w:p w14:paraId="1534B0D6" w14:textId="77777777" w:rsidR="00C65A92" w:rsidRDefault="00C65A92" w:rsidP="0A57A144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44" w:type="pct"/>
          </w:tcPr>
          <w:p w14:paraId="2170BF1C" w14:textId="3C6C05A3" w:rsidR="00C65A92" w:rsidRDefault="00C65A92" w:rsidP="0A57A144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To be issued to </w:t>
            </w:r>
            <w:proofErr w:type="spellStart"/>
            <w:r>
              <w:rPr>
                <w:rFonts w:eastAsia="Times New Roman" w:cs="Arial"/>
                <w:sz w:val="20"/>
                <w:szCs w:val="20"/>
              </w:rPr>
              <w:t>ChMC</w:t>
            </w:r>
            <w:proofErr w:type="spellEnd"/>
            <w:r>
              <w:rPr>
                <w:rFonts w:eastAsia="Times New Roman" w:cs="Arial"/>
                <w:sz w:val="20"/>
                <w:szCs w:val="20"/>
              </w:rPr>
              <w:t xml:space="preserve"> for Approval</w:t>
            </w:r>
          </w:p>
        </w:tc>
      </w:tr>
    </w:tbl>
    <w:p w14:paraId="67B305BF" w14:textId="77777777" w:rsidR="00EA73B3" w:rsidRPr="00EA73B3" w:rsidRDefault="00EA73B3" w:rsidP="00EA73B3">
      <w:pPr>
        <w:rPr>
          <w:rFonts w:eastAsia="Arial" w:cs="Times New Roman"/>
          <w:sz w:val="20"/>
          <w:szCs w:val="20"/>
        </w:rPr>
      </w:pPr>
    </w:p>
    <w:p w14:paraId="59F06E1D" w14:textId="77777777" w:rsidR="00EA73B3" w:rsidRPr="00EA73B3" w:rsidRDefault="00EA73B3" w:rsidP="00EA73B3">
      <w:pPr>
        <w:rPr>
          <w:rFonts w:eastAsia="Arial" w:cs="Times New Roman"/>
          <w:b/>
          <w:sz w:val="20"/>
          <w:szCs w:val="20"/>
        </w:rPr>
      </w:pPr>
      <w:r w:rsidRPr="00EA73B3">
        <w:rPr>
          <w:rFonts w:eastAsia="Arial" w:cs="Times New Roman"/>
          <w:b/>
          <w:sz w:val="20"/>
          <w:szCs w:val="20"/>
        </w:rPr>
        <w:t>Template Version History</w:t>
      </w:r>
    </w:p>
    <w:tbl>
      <w:tblPr>
        <w:tblStyle w:val="TableGrid1"/>
        <w:tblW w:w="5522" w:type="pct"/>
        <w:tblInd w:w="-459" w:type="dxa"/>
        <w:tblLook w:val="04A0" w:firstRow="1" w:lastRow="0" w:firstColumn="1" w:lastColumn="0" w:noHBand="0" w:noVBand="1"/>
      </w:tblPr>
      <w:tblGrid>
        <w:gridCol w:w="1797"/>
        <w:gridCol w:w="1663"/>
        <w:gridCol w:w="1107"/>
        <w:gridCol w:w="1519"/>
        <w:gridCol w:w="3871"/>
      </w:tblGrid>
      <w:tr w:rsidR="00EA73B3" w:rsidRPr="00EA73B3" w14:paraId="448EF1F8" w14:textId="77777777" w:rsidTr="00EF7454">
        <w:trPr>
          <w:trHeight w:val="611"/>
        </w:trPr>
        <w:tc>
          <w:tcPr>
            <w:tcW w:w="902" w:type="pct"/>
            <w:tcBorders>
              <w:bottom w:val="single" w:sz="4" w:space="0" w:color="auto"/>
            </w:tcBorders>
            <w:shd w:val="clear" w:color="auto" w:fill="D6DCF0" w:themeFill="accent1" w:themeFillTint="33"/>
            <w:vAlign w:val="center"/>
          </w:tcPr>
          <w:p w14:paraId="77BD46CB" w14:textId="77777777" w:rsidR="00EA73B3" w:rsidRPr="00EA73B3" w:rsidRDefault="00EA73B3" w:rsidP="00EA73B3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A73B3">
              <w:rPr>
                <w:rFonts w:eastAsia="Times New Roman" w:cs="Arial"/>
                <w:b/>
                <w:sz w:val="20"/>
                <w:szCs w:val="20"/>
              </w:rPr>
              <w:t>Version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D6DCF0" w:themeFill="accent1" w:themeFillTint="33"/>
            <w:vAlign w:val="center"/>
          </w:tcPr>
          <w:p w14:paraId="3351C80B" w14:textId="77777777" w:rsidR="00EA73B3" w:rsidRPr="00EA73B3" w:rsidRDefault="00EA73B3" w:rsidP="00EA73B3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A73B3">
              <w:rPr>
                <w:rFonts w:eastAsia="Times New Roman" w:cs="Arial"/>
                <w:b/>
                <w:sz w:val="20"/>
                <w:szCs w:val="20"/>
              </w:rPr>
              <w:t>Status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D6DCF0" w:themeFill="accent1" w:themeFillTint="33"/>
            <w:vAlign w:val="center"/>
          </w:tcPr>
          <w:p w14:paraId="63740FDB" w14:textId="77777777" w:rsidR="00EA73B3" w:rsidRPr="00EA73B3" w:rsidRDefault="00EA73B3" w:rsidP="00EA73B3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A73B3">
              <w:rPr>
                <w:rFonts w:eastAsia="Times New Roman" w:cs="Arial"/>
                <w:b/>
                <w:sz w:val="20"/>
                <w:szCs w:val="20"/>
              </w:rPr>
              <w:t>Date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D6DCF0" w:themeFill="accent1" w:themeFillTint="33"/>
            <w:vAlign w:val="center"/>
          </w:tcPr>
          <w:p w14:paraId="769137CC" w14:textId="77777777" w:rsidR="00EA73B3" w:rsidRPr="00EA73B3" w:rsidRDefault="00EA73B3" w:rsidP="00EA73B3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A73B3">
              <w:rPr>
                <w:rFonts w:eastAsia="Times New Roman" w:cs="Arial"/>
                <w:b/>
                <w:sz w:val="20"/>
                <w:szCs w:val="20"/>
              </w:rPr>
              <w:t>Author(s)</w:t>
            </w:r>
          </w:p>
        </w:tc>
        <w:tc>
          <w:tcPr>
            <w:tcW w:w="1944" w:type="pct"/>
            <w:tcBorders>
              <w:bottom w:val="single" w:sz="4" w:space="0" w:color="auto"/>
            </w:tcBorders>
            <w:shd w:val="clear" w:color="auto" w:fill="D6DCF0" w:themeFill="accent1" w:themeFillTint="33"/>
            <w:vAlign w:val="center"/>
          </w:tcPr>
          <w:p w14:paraId="3C1674E3" w14:textId="77777777" w:rsidR="00EA73B3" w:rsidRPr="00EA73B3" w:rsidRDefault="00EA73B3" w:rsidP="00EA73B3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A73B3">
              <w:rPr>
                <w:rFonts w:eastAsia="Times New Roman" w:cs="Arial"/>
                <w:b/>
                <w:sz w:val="20"/>
                <w:szCs w:val="20"/>
              </w:rPr>
              <w:t>Summary of Changes</w:t>
            </w:r>
          </w:p>
        </w:tc>
      </w:tr>
      <w:tr w:rsidR="00EA73B3" w:rsidRPr="00EA73B3" w14:paraId="1A840032" w14:textId="77777777" w:rsidTr="00EF7454">
        <w:trPr>
          <w:trHeight w:val="611"/>
        </w:trPr>
        <w:tc>
          <w:tcPr>
            <w:tcW w:w="902" w:type="pct"/>
            <w:shd w:val="clear" w:color="auto" w:fill="FFFFFF" w:themeFill="background1"/>
            <w:vAlign w:val="center"/>
          </w:tcPr>
          <w:p w14:paraId="3AE59834" w14:textId="77777777" w:rsidR="00EA73B3" w:rsidRPr="00EA73B3" w:rsidRDefault="00EA73B3" w:rsidP="00EA73B3">
            <w:pPr>
              <w:jc w:val="center"/>
              <w:rPr>
                <w:rFonts w:eastAsia="Times New Roman" w:cs="Arial"/>
                <w:sz w:val="20"/>
              </w:rPr>
            </w:pPr>
            <w:r w:rsidRPr="00EA73B3">
              <w:rPr>
                <w:rFonts w:eastAsia="Times New Roman" w:cs="Arial"/>
                <w:sz w:val="20"/>
              </w:rPr>
              <w:t>2.0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14:paraId="150CC5F4" w14:textId="77777777" w:rsidR="00EA73B3" w:rsidRPr="00EA73B3" w:rsidRDefault="00EA73B3" w:rsidP="00EA73B3">
            <w:pPr>
              <w:jc w:val="center"/>
              <w:rPr>
                <w:rFonts w:eastAsia="Times New Roman" w:cs="Arial"/>
                <w:sz w:val="20"/>
              </w:rPr>
            </w:pPr>
            <w:r w:rsidRPr="00EA73B3">
              <w:rPr>
                <w:rFonts w:eastAsia="Times New Roman" w:cs="Arial"/>
                <w:sz w:val="20"/>
              </w:rPr>
              <w:t>Approved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14:paraId="2612EAEC" w14:textId="77777777" w:rsidR="00EA73B3" w:rsidRPr="00EA73B3" w:rsidRDefault="00EA73B3" w:rsidP="00EA73B3">
            <w:pPr>
              <w:jc w:val="center"/>
              <w:rPr>
                <w:rFonts w:eastAsia="Times New Roman" w:cs="Arial"/>
                <w:sz w:val="20"/>
              </w:rPr>
            </w:pPr>
            <w:r w:rsidRPr="00EA73B3">
              <w:rPr>
                <w:rFonts w:eastAsia="Times New Roman" w:cs="Arial"/>
                <w:sz w:val="20"/>
              </w:rPr>
              <w:t>17/07/18</w:t>
            </w:r>
          </w:p>
        </w:tc>
        <w:tc>
          <w:tcPr>
            <w:tcW w:w="763" w:type="pct"/>
            <w:shd w:val="clear" w:color="auto" w:fill="FFFFFF" w:themeFill="background1"/>
            <w:vAlign w:val="center"/>
          </w:tcPr>
          <w:p w14:paraId="3ECB2BF0" w14:textId="77777777" w:rsidR="00EA73B3" w:rsidRPr="00EA73B3" w:rsidRDefault="00EA73B3" w:rsidP="00EA73B3">
            <w:pPr>
              <w:jc w:val="center"/>
              <w:rPr>
                <w:rFonts w:eastAsia="Times New Roman" w:cs="Arial"/>
                <w:sz w:val="20"/>
              </w:rPr>
            </w:pPr>
            <w:r w:rsidRPr="00EA73B3">
              <w:rPr>
                <w:rFonts w:eastAsia="Times New Roman" w:cs="Arial"/>
                <w:sz w:val="20"/>
              </w:rPr>
              <w:t>Rebecca Perkins</w:t>
            </w:r>
          </w:p>
        </w:tc>
        <w:tc>
          <w:tcPr>
            <w:tcW w:w="1944" w:type="pct"/>
            <w:shd w:val="clear" w:color="auto" w:fill="FFFFFF" w:themeFill="background1"/>
            <w:vAlign w:val="center"/>
          </w:tcPr>
          <w:p w14:paraId="1361659D" w14:textId="77777777" w:rsidR="00EA73B3" w:rsidRPr="00EA73B3" w:rsidRDefault="00EA73B3" w:rsidP="00EA73B3">
            <w:pPr>
              <w:rPr>
                <w:rFonts w:eastAsia="Times New Roman" w:cs="Arial"/>
                <w:sz w:val="20"/>
              </w:rPr>
            </w:pPr>
            <w:r w:rsidRPr="00EA73B3">
              <w:rPr>
                <w:rFonts w:eastAsia="Times New Roman" w:cs="Arial"/>
                <w:sz w:val="20"/>
              </w:rPr>
              <w:t xml:space="preserve">Template approved at </w:t>
            </w:r>
            <w:proofErr w:type="spellStart"/>
            <w:r w:rsidRPr="00EA73B3">
              <w:rPr>
                <w:rFonts w:eastAsia="Times New Roman" w:cs="Arial"/>
                <w:sz w:val="20"/>
              </w:rPr>
              <w:t>ChMC</w:t>
            </w:r>
            <w:proofErr w:type="spellEnd"/>
            <w:r w:rsidRPr="00EA73B3">
              <w:rPr>
                <w:rFonts w:eastAsia="Times New Roman" w:cs="Arial"/>
                <w:sz w:val="20"/>
              </w:rPr>
              <w:t xml:space="preserve"> on 11</w:t>
            </w:r>
            <w:r w:rsidRPr="00EA73B3">
              <w:rPr>
                <w:rFonts w:eastAsia="Times New Roman" w:cs="Arial"/>
                <w:sz w:val="20"/>
                <w:vertAlign w:val="superscript"/>
              </w:rPr>
              <w:t>th</w:t>
            </w:r>
            <w:r w:rsidRPr="00EA73B3">
              <w:rPr>
                <w:rFonts w:eastAsia="Times New Roman" w:cs="Arial"/>
                <w:sz w:val="20"/>
              </w:rPr>
              <w:t xml:space="preserve"> July</w:t>
            </w:r>
          </w:p>
        </w:tc>
      </w:tr>
      <w:tr w:rsidR="00EA73B3" w:rsidRPr="00EA73B3" w14:paraId="19151F85" w14:textId="77777777" w:rsidTr="00EF7454">
        <w:trPr>
          <w:trHeight w:val="611"/>
        </w:trPr>
        <w:tc>
          <w:tcPr>
            <w:tcW w:w="902" w:type="pct"/>
            <w:shd w:val="clear" w:color="auto" w:fill="FFFFFF" w:themeFill="background1"/>
            <w:vAlign w:val="center"/>
          </w:tcPr>
          <w:p w14:paraId="0EFC9A7B" w14:textId="3F88E08F" w:rsidR="00EA73B3" w:rsidRPr="00EA73B3" w:rsidRDefault="007E7C5B" w:rsidP="00EA73B3">
            <w:pPr>
              <w:jc w:val="center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lastRenderedPageBreak/>
              <w:t>3.0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14:paraId="0BBF25B2" w14:textId="4CE44B67" w:rsidR="00EA73B3" w:rsidRPr="00EA73B3" w:rsidRDefault="007E7C5B" w:rsidP="007E7C5B">
            <w:pPr>
              <w:jc w:val="center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Approved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14:paraId="3F15DC4E" w14:textId="09A98BC7" w:rsidR="00EA73B3" w:rsidRPr="00EA73B3" w:rsidRDefault="00EA73B3" w:rsidP="00EA73B3">
            <w:pPr>
              <w:jc w:val="center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19/12/18</w:t>
            </w:r>
          </w:p>
        </w:tc>
        <w:tc>
          <w:tcPr>
            <w:tcW w:w="763" w:type="pct"/>
            <w:shd w:val="clear" w:color="auto" w:fill="FFFFFF" w:themeFill="background1"/>
            <w:vAlign w:val="center"/>
          </w:tcPr>
          <w:p w14:paraId="44B1707B" w14:textId="486416E7" w:rsidR="00EA73B3" w:rsidRPr="00EA73B3" w:rsidRDefault="00EA73B3" w:rsidP="00EA73B3">
            <w:pPr>
              <w:jc w:val="center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Heather Spensley</w:t>
            </w:r>
          </w:p>
        </w:tc>
        <w:tc>
          <w:tcPr>
            <w:tcW w:w="1944" w:type="pct"/>
            <w:shd w:val="clear" w:color="auto" w:fill="FFFFFF" w:themeFill="background1"/>
            <w:vAlign w:val="center"/>
          </w:tcPr>
          <w:p w14:paraId="6634F7D9" w14:textId="2F130DD4" w:rsidR="00EA73B3" w:rsidRPr="00EA73B3" w:rsidRDefault="00EA73B3" w:rsidP="00EA73B3">
            <w:pPr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Moved onto Xoserve’s new Word template in line with new branding</w:t>
            </w:r>
          </w:p>
        </w:tc>
      </w:tr>
    </w:tbl>
    <w:p w14:paraId="7651F714" w14:textId="77777777" w:rsidR="00D66C7E" w:rsidRPr="00EA73B3" w:rsidRDefault="00D66C7E" w:rsidP="00EA73B3"/>
    <w:sectPr w:rsidR="00D66C7E" w:rsidRPr="00EA73B3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33CC" w14:textId="77777777" w:rsidR="008B4955" w:rsidRDefault="008B4955" w:rsidP="00324744">
      <w:pPr>
        <w:spacing w:after="0" w:line="240" w:lineRule="auto"/>
      </w:pPr>
      <w:r>
        <w:separator/>
      </w:r>
    </w:p>
  </w:endnote>
  <w:endnote w:type="continuationSeparator" w:id="0">
    <w:p w14:paraId="4C3938A1" w14:textId="77777777" w:rsidR="008B4955" w:rsidRDefault="008B4955" w:rsidP="00324744">
      <w:pPr>
        <w:spacing w:after="0" w:line="240" w:lineRule="auto"/>
      </w:pPr>
      <w:r>
        <w:continuationSeparator/>
      </w:r>
    </w:p>
  </w:endnote>
  <w:endnote w:type="continuationNotice" w:id="1">
    <w:p w14:paraId="5379173B" w14:textId="77777777" w:rsidR="008B4955" w:rsidRDefault="008B49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9F8C" w14:textId="77777777" w:rsidR="00BD0A45" w:rsidRDefault="00BD0A4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7279F8F" wp14:editId="67279F90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0AFA1" id="Rectangle 2" o:spid="_x0000_s1026" style="position:absolute;margin-left:-1in;margin-top:29.65pt;width:595.5pt;height:20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" fillcolor="#40d1f5 [3208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2055" w14:textId="77777777" w:rsidR="008B4955" w:rsidRDefault="008B4955" w:rsidP="00324744">
      <w:pPr>
        <w:spacing w:after="0" w:line="240" w:lineRule="auto"/>
      </w:pPr>
      <w:r>
        <w:separator/>
      </w:r>
    </w:p>
  </w:footnote>
  <w:footnote w:type="continuationSeparator" w:id="0">
    <w:p w14:paraId="71E7AF85" w14:textId="77777777" w:rsidR="008B4955" w:rsidRDefault="008B4955" w:rsidP="00324744">
      <w:pPr>
        <w:spacing w:after="0" w:line="240" w:lineRule="auto"/>
      </w:pPr>
      <w:r>
        <w:continuationSeparator/>
      </w:r>
    </w:p>
  </w:footnote>
  <w:footnote w:type="continuationNotice" w:id="1">
    <w:p w14:paraId="61E906B4" w14:textId="77777777" w:rsidR="008B4955" w:rsidRDefault="008B49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9F8B" w14:textId="77777777" w:rsidR="00324744" w:rsidRDefault="003247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279F8D" wp14:editId="67279F8E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C0180" id="Rectangle 1" o:spid="_x0000_s1026" style="position:absolute;margin-left:-1in;margin-top:-38.4pt;width:595.5pt;height:2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" fillcolor="#3e5aa8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8B0"/>
    <w:multiLevelType w:val="hybridMultilevel"/>
    <w:tmpl w:val="B860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B353B"/>
    <w:multiLevelType w:val="hybridMultilevel"/>
    <w:tmpl w:val="B9F0B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B1384"/>
    <w:multiLevelType w:val="hybridMultilevel"/>
    <w:tmpl w:val="EA381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712"/>
    <w:multiLevelType w:val="hybridMultilevel"/>
    <w:tmpl w:val="D4427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86465"/>
    <w:multiLevelType w:val="hybridMultilevel"/>
    <w:tmpl w:val="E9B2CF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140B"/>
    <w:rsid w:val="000115D2"/>
    <w:rsid w:val="0001213D"/>
    <w:rsid w:val="000166B3"/>
    <w:rsid w:val="000179CB"/>
    <w:rsid w:val="00027484"/>
    <w:rsid w:val="00027966"/>
    <w:rsid w:val="00032353"/>
    <w:rsid w:val="000323C1"/>
    <w:rsid w:val="00037DF7"/>
    <w:rsid w:val="000438A7"/>
    <w:rsid w:val="000623C4"/>
    <w:rsid w:val="0006539D"/>
    <w:rsid w:val="00070CD6"/>
    <w:rsid w:val="000726F5"/>
    <w:rsid w:val="00082C55"/>
    <w:rsid w:val="000830CD"/>
    <w:rsid w:val="000A10FE"/>
    <w:rsid w:val="000A1AD1"/>
    <w:rsid w:val="000B6719"/>
    <w:rsid w:val="000B6CF0"/>
    <w:rsid w:val="000C7C56"/>
    <w:rsid w:val="000D046F"/>
    <w:rsid w:val="0010301E"/>
    <w:rsid w:val="001069D1"/>
    <w:rsid w:val="00120DA5"/>
    <w:rsid w:val="00125B61"/>
    <w:rsid w:val="00144E00"/>
    <w:rsid w:val="00155BF9"/>
    <w:rsid w:val="001633D1"/>
    <w:rsid w:val="001646B4"/>
    <w:rsid w:val="001661A3"/>
    <w:rsid w:val="00171157"/>
    <w:rsid w:val="001740B0"/>
    <w:rsid w:val="001913AE"/>
    <w:rsid w:val="001922CA"/>
    <w:rsid w:val="001937E3"/>
    <w:rsid w:val="00195A39"/>
    <w:rsid w:val="001A1C12"/>
    <w:rsid w:val="001A7490"/>
    <w:rsid w:val="001B5817"/>
    <w:rsid w:val="001C2268"/>
    <w:rsid w:val="001C62E3"/>
    <w:rsid w:val="001D34B5"/>
    <w:rsid w:val="001D4419"/>
    <w:rsid w:val="00204F88"/>
    <w:rsid w:val="002157F1"/>
    <w:rsid w:val="00226D34"/>
    <w:rsid w:val="00242AAE"/>
    <w:rsid w:val="00283CC1"/>
    <w:rsid w:val="00291FFF"/>
    <w:rsid w:val="00294136"/>
    <w:rsid w:val="00294D7A"/>
    <w:rsid w:val="002A2563"/>
    <w:rsid w:val="002A6A8A"/>
    <w:rsid w:val="002B3936"/>
    <w:rsid w:val="002C0324"/>
    <w:rsid w:val="002D165D"/>
    <w:rsid w:val="002D1A3A"/>
    <w:rsid w:val="002E7AEF"/>
    <w:rsid w:val="002F0F35"/>
    <w:rsid w:val="002F48E9"/>
    <w:rsid w:val="003026B8"/>
    <w:rsid w:val="00306A94"/>
    <w:rsid w:val="00317ACA"/>
    <w:rsid w:val="00324744"/>
    <w:rsid w:val="00336B96"/>
    <w:rsid w:val="00337676"/>
    <w:rsid w:val="00347B03"/>
    <w:rsid w:val="00350F68"/>
    <w:rsid w:val="0037511D"/>
    <w:rsid w:val="0038793C"/>
    <w:rsid w:val="00396308"/>
    <w:rsid w:val="003D4C9C"/>
    <w:rsid w:val="003E04DD"/>
    <w:rsid w:val="003E1AFE"/>
    <w:rsid w:val="003E6E8E"/>
    <w:rsid w:val="003F6BCE"/>
    <w:rsid w:val="0040675E"/>
    <w:rsid w:val="00406A93"/>
    <w:rsid w:val="00423F2D"/>
    <w:rsid w:val="00426807"/>
    <w:rsid w:val="00430479"/>
    <w:rsid w:val="00433F3A"/>
    <w:rsid w:val="00455814"/>
    <w:rsid w:val="00457EF4"/>
    <w:rsid w:val="0047255D"/>
    <w:rsid w:val="00472ABA"/>
    <w:rsid w:val="0048071A"/>
    <w:rsid w:val="00490C3D"/>
    <w:rsid w:val="004A4144"/>
    <w:rsid w:val="004A5083"/>
    <w:rsid w:val="004A67E9"/>
    <w:rsid w:val="004D07F6"/>
    <w:rsid w:val="004D7B0E"/>
    <w:rsid w:val="004F3362"/>
    <w:rsid w:val="004F3980"/>
    <w:rsid w:val="004F563D"/>
    <w:rsid w:val="0051004C"/>
    <w:rsid w:val="00517F6F"/>
    <w:rsid w:val="005246EB"/>
    <w:rsid w:val="005342AA"/>
    <w:rsid w:val="0053549D"/>
    <w:rsid w:val="00546DA8"/>
    <w:rsid w:val="0055298E"/>
    <w:rsid w:val="00565476"/>
    <w:rsid w:val="0057214D"/>
    <w:rsid w:val="005735E8"/>
    <w:rsid w:val="00574D00"/>
    <w:rsid w:val="00576166"/>
    <w:rsid w:val="00590E3E"/>
    <w:rsid w:val="0059118A"/>
    <w:rsid w:val="005916E7"/>
    <w:rsid w:val="005926E2"/>
    <w:rsid w:val="005A10BF"/>
    <w:rsid w:val="005B020A"/>
    <w:rsid w:val="005B557C"/>
    <w:rsid w:val="0060235D"/>
    <w:rsid w:val="00603EF6"/>
    <w:rsid w:val="0064675F"/>
    <w:rsid w:val="006508D6"/>
    <w:rsid w:val="00652EE2"/>
    <w:rsid w:val="00666AB0"/>
    <w:rsid w:val="006745FC"/>
    <w:rsid w:val="00692893"/>
    <w:rsid w:val="00692FBE"/>
    <w:rsid w:val="006A350E"/>
    <w:rsid w:val="006B3213"/>
    <w:rsid w:val="006B4326"/>
    <w:rsid w:val="006D33AF"/>
    <w:rsid w:val="006F5021"/>
    <w:rsid w:val="007049CD"/>
    <w:rsid w:val="00704A97"/>
    <w:rsid w:val="0070583F"/>
    <w:rsid w:val="00706676"/>
    <w:rsid w:val="007135E5"/>
    <w:rsid w:val="00715F21"/>
    <w:rsid w:val="0072352D"/>
    <w:rsid w:val="007243D3"/>
    <w:rsid w:val="00724FAA"/>
    <w:rsid w:val="007301F1"/>
    <w:rsid w:val="007348A1"/>
    <w:rsid w:val="00747383"/>
    <w:rsid w:val="00754CF0"/>
    <w:rsid w:val="007609B2"/>
    <w:rsid w:val="0077305D"/>
    <w:rsid w:val="007776F3"/>
    <w:rsid w:val="007A56DB"/>
    <w:rsid w:val="007C5B3E"/>
    <w:rsid w:val="007D147D"/>
    <w:rsid w:val="007D4F26"/>
    <w:rsid w:val="007D71AD"/>
    <w:rsid w:val="007D7F39"/>
    <w:rsid w:val="007E5102"/>
    <w:rsid w:val="007E7C5B"/>
    <w:rsid w:val="007F60AC"/>
    <w:rsid w:val="007F65FF"/>
    <w:rsid w:val="00807462"/>
    <w:rsid w:val="0081590E"/>
    <w:rsid w:val="008162C5"/>
    <w:rsid w:val="00817A62"/>
    <w:rsid w:val="00826969"/>
    <w:rsid w:val="00843980"/>
    <w:rsid w:val="00861BB0"/>
    <w:rsid w:val="008746FA"/>
    <w:rsid w:val="0088378E"/>
    <w:rsid w:val="00897C0F"/>
    <w:rsid w:val="008B4955"/>
    <w:rsid w:val="008E6575"/>
    <w:rsid w:val="008F0A1E"/>
    <w:rsid w:val="00903113"/>
    <w:rsid w:val="00903663"/>
    <w:rsid w:val="00923B1E"/>
    <w:rsid w:val="00927E1F"/>
    <w:rsid w:val="00931C33"/>
    <w:rsid w:val="0096119D"/>
    <w:rsid w:val="00961BBD"/>
    <w:rsid w:val="00974FC3"/>
    <w:rsid w:val="009C28A2"/>
    <w:rsid w:val="009D5249"/>
    <w:rsid w:val="009E54B5"/>
    <w:rsid w:val="00A02776"/>
    <w:rsid w:val="00A07E75"/>
    <w:rsid w:val="00A12EA5"/>
    <w:rsid w:val="00A22910"/>
    <w:rsid w:val="00A34B6C"/>
    <w:rsid w:val="00A358BB"/>
    <w:rsid w:val="00A4274D"/>
    <w:rsid w:val="00A558B8"/>
    <w:rsid w:val="00A85492"/>
    <w:rsid w:val="00AB5B54"/>
    <w:rsid w:val="00AB63DE"/>
    <w:rsid w:val="00AC4755"/>
    <w:rsid w:val="00AE1920"/>
    <w:rsid w:val="00AE3A41"/>
    <w:rsid w:val="00AE54E2"/>
    <w:rsid w:val="00AF045D"/>
    <w:rsid w:val="00AF0B1F"/>
    <w:rsid w:val="00AF5946"/>
    <w:rsid w:val="00B02B1F"/>
    <w:rsid w:val="00B30F8F"/>
    <w:rsid w:val="00B46EED"/>
    <w:rsid w:val="00B70492"/>
    <w:rsid w:val="00B73C1A"/>
    <w:rsid w:val="00B822D2"/>
    <w:rsid w:val="00B83760"/>
    <w:rsid w:val="00B8770C"/>
    <w:rsid w:val="00BB4A70"/>
    <w:rsid w:val="00BB5520"/>
    <w:rsid w:val="00BD0A45"/>
    <w:rsid w:val="00BF6EC3"/>
    <w:rsid w:val="00C14254"/>
    <w:rsid w:val="00C176D0"/>
    <w:rsid w:val="00C42638"/>
    <w:rsid w:val="00C44C7E"/>
    <w:rsid w:val="00C5551D"/>
    <w:rsid w:val="00C64C83"/>
    <w:rsid w:val="00C65238"/>
    <w:rsid w:val="00C65A92"/>
    <w:rsid w:val="00C75153"/>
    <w:rsid w:val="00C93891"/>
    <w:rsid w:val="00CC4271"/>
    <w:rsid w:val="00CD3781"/>
    <w:rsid w:val="00CF2B7B"/>
    <w:rsid w:val="00D11D80"/>
    <w:rsid w:val="00D1713D"/>
    <w:rsid w:val="00D46E8E"/>
    <w:rsid w:val="00D51B72"/>
    <w:rsid w:val="00D66C7E"/>
    <w:rsid w:val="00D817C0"/>
    <w:rsid w:val="00D96F5A"/>
    <w:rsid w:val="00DA24D7"/>
    <w:rsid w:val="00DA63D0"/>
    <w:rsid w:val="00DC1CFC"/>
    <w:rsid w:val="00DC2DB1"/>
    <w:rsid w:val="00DE15E9"/>
    <w:rsid w:val="00DE341E"/>
    <w:rsid w:val="00DE6DCC"/>
    <w:rsid w:val="00E00D7F"/>
    <w:rsid w:val="00E06ABB"/>
    <w:rsid w:val="00E074F2"/>
    <w:rsid w:val="00E142BF"/>
    <w:rsid w:val="00E16A73"/>
    <w:rsid w:val="00E2185A"/>
    <w:rsid w:val="00E35CB0"/>
    <w:rsid w:val="00E438D5"/>
    <w:rsid w:val="00E86136"/>
    <w:rsid w:val="00EA1E2D"/>
    <w:rsid w:val="00EA73B3"/>
    <w:rsid w:val="00EC3C6D"/>
    <w:rsid w:val="00ED0813"/>
    <w:rsid w:val="00EF7454"/>
    <w:rsid w:val="00F33047"/>
    <w:rsid w:val="00F633C1"/>
    <w:rsid w:val="00F95876"/>
    <w:rsid w:val="00FE31B9"/>
    <w:rsid w:val="00FE3470"/>
    <w:rsid w:val="00FF08D5"/>
    <w:rsid w:val="00FF21C2"/>
    <w:rsid w:val="00FF3107"/>
    <w:rsid w:val="01D5F638"/>
    <w:rsid w:val="0A57A144"/>
    <w:rsid w:val="102B1552"/>
    <w:rsid w:val="102FEAF5"/>
    <w:rsid w:val="2D94F2A1"/>
    <w:rsid w:val="2DACEC0E"/>
    <w:rsid w:val="34947AF7"/>
    <w:rsid w:val="366E51DB"/>
    <w:rsid w:val="382E1BB1"/>
    <w:rsid w:val="3BF8AE5E"/>
    <w:rsid w:val="3EE4078B"/>
    <w:rsid w:val="41DCD314"/>
    <w:rsid w:val="43B6A9F8"/>
    <w:rsid w:val="4636FAB3"/>
    <w:rsid w:val="4BF91067"/>
    <w:rsid w:val="4F252B31"/>
    <w:rsid w:val="578E0452"/>
    <w:rsid w:val="57E690FE"/>
    <w:rsid w:val="59C067E2"/>
    <w:rsid w:val="5C5589E1"/>
    <w:rsid w:val="5C6D834E"/>
    <w:rsid w:val="5F4AC465"/>
    <w:rsid w:val="6708BFFF"/>
    <w:rsid w:val="70C9A1B4"/>
    <w:rsid w:val="73D8A5ED"/>
    <w:rsid w:val="7A7A33C1"/>
    <w:rsid w:val="7BF7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279F40"/>
  <w15:docId w15:val="{70328970-EDB2-434E-A862-79E48C31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customStyle="1" w:styleId="TableGrid1">
    <w:name w:val="Table Grid1"/>
    <w:basedOn w:val="TableNormal"/>
    <w:next w:val="TableGrid"/>
    <w:uiPriority w:val="59"/>
    <w:rsid w:val="00EA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A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41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69D1"/>
    <w:pPr>
      <w:ind w:left="720"/>
      <w:contextualSpacing/>
    </w:pPr>
  </w:style>
  <w:style w:type="paragraph" w:customStyle="1" w:styleId="paragraph">
    <w:name w:val="paragraph"/>
    <w:basedOn w:val="Normal"/>
    <w:rsid w:val="00A4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274D"/>
  </w:style>
  <w:style w:type="character" w:customStyle="1" w:styleId="eop">
    <w:name w:val="eop"/>
    <w:basedOn w:val="DefaultParagraphFont"/>
    <w:rsid w:val="00A4274D"/>
  </w:style>
  <w:style w:type="character" w:customStyle="1" w:styleId="scxw93798886">
    <w:name w:val="scxw93798886"/>
    <w:basedOn w:val="DefaultParagraphFont"/>
    <w:rsid w:val="00A4274D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01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xoserve.com/change/change-proposals/xrn-5007-correction-in-the-reconciliation-process-when-volume-is-zero/?return=/change/change-proposals/?customers=&amp;statuses=&amp;search=5007" TargetMode="External"/><Relationship Id="rId18" Type="http://schemas.openxmlformats.org/officeDocument/2006/relationships/hyperlink" Target="https://www.xoserve.com/change/change-proposals/xrn-4992-modification-0687-creation-of-new-charge-to-recover-last-resort-supply-payments/?return=/change/change-proposals/?customers=&amp;statuses=&amp;search=4992a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xoserve.com/change/change-proposals/xrn-4941-auto-updates-to-meter-read-frequency-mod0692/?return=/change/change-proposals/?customers=&amp;statuses=&amp;search=4941" TargetMode="External"/><Relationship Id="rId17" Type="http://schemas.openxmlformats.org/officeDocument/2006/relationships/hyperlink" Target="https://www.xoserve.com/change/change-proposals/xrn-4780-inclusion-of-meter-asset-provider-identity-map-id-in-the-uk-link-system-css-consequential-chang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xoserve.com/change/change-proposals/xrn-5180-inner-tolerance-validation-for-replacement-reads-and-read-insertions/?return=/change/change-proposals/?customers=&amp;statuses=&amp;search=5180" TargetMode="External"/><Relationship Id="rId20" Type="http://schemas.openxmlformats.org/officeDocument/2006/relationships/hyperlink" Target="mailto:box.xoserve.portfoliooffice@xoserve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mon.g.burton@Correla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xoserve.com/change/change-proposals/xrn-5142-new-allowable-values-for-dcc-service-flag-in-dxi-file-from-dcc/?return=/change/change-proposals/?customers=&amp;statuses=&amp;search=5142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xoserve.com/media/42366/xrn5188-interim-data-loads-of-map-id-into-uk-link-cp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xoserve.com/change/change-proposals/xrn-5072-application-and-derivation-of-ttz-indicator-and-calculation-of-volume-and-energy-all-classes/?return=/change/change-proposals/?customers=&amp;statuses=&amp;search=507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5844fa40-a696-4ac9-bd38-c0330d295109" xsi:nil="true"/>
    <Date_x0020_of_x0020_Meetings xmlns="5844fa40-a696-4ac9-bd38-c0330d295109" xsi:nil="true"/>
    <lcf76f155ced4ddcb4097134ff3c332f xmlns="5844fa40-a696-4ac9-bd38-c0330d295109">
      <Terms xmlns="http://schemas.microsoft.com/office/infopath/2007/PartnerControls"/>
    </lcf76f155ced4ddcb4097134ff3c332f>
    <_x006a_hd3 xmlns="5844fa40-a696-4ac9-bd38-c0330d295109" xsi:nil="true"/>
    <Customer_x0020_Contracts_x0020_Lead xmlns="5844fa40-a696-4ac9-bd38-c0330d295109" xsi:nil="true"/>
    <TaxCatchAll xmlns="c78a4dae-5fc0-4ed3-ad80-da51122ab1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4E94D94ABB48A35A572EF9A60258" ma:contentTypeVersion="19" ma:contentTypeDescription="Create a new document." ma:contentTypeScope="" ma:versionID="4a465c647fca91cbeb9e7e04b51edf67">
  <xsd:schema xmlns:xsd="http://www.w3.org/2001/XMLSchema" xmlns:xs="http://www.w3.org/2001/XMLSchema" xmlns:p="http://schemas.microsoft.com/office/2006/metadata/properties" xmlns:ns2="5844fa40-a696-4ac9-bd38-c0330d295109" xmlns:ns3="c78a4dae-5fc0-4ed3-ad80-da51122ab114" targetNamespace="http://schemas.microsoft.com/office/2006/metadata/properties" ma:root="true" ma:fieldsID="ba6b772822e6608a1419af8bdffb8e12" ns2:_="" ns3:_="">
    <xsd:import namespace="5844fa40-a696-4ac9-bd38-c0330d295109"/>
    <xsd:import namespace="c78a4dae-5fc0-4ed3-ad80-da51122ab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CAM" minOccurs="0"/>
                <xsd:element ref="ns2:Customer_x0020_Contracts_x0020_Lead" minOccurs="0"/>
                <xsd:element ref="ns2:Date_x0020_of_x0020_Meetings" minOccurs="0"/>
                <xsd:element ref="ns2:_x006a_hd3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a40-a696-4ac9-bd38-c0330d295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CAM" ma:index="12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Customer_x0020_Contracts_x0020_Lead" ma:index="13" nillable="true" ma:displayName="Customer Contracts Lead" ma:format="Dropdown" ma:internalName="Customer_x0020_Contracts_x0020_Lead">
      <xsd:simpleType>
        <xsd:restriction base="dms:Text">
          <xsd:maxLength value="255"/>
        </xsd:restriction>
      </xsd:simpleType>
    </xsd:element>
    <xsd:element name="Date_x0020_of_x0020_Meetings" ma:index="14" nillable="true" ma:displayName="Date of Meetings" ma:format="Dropdown" ma:internalName="Date_x0020_of_x0020_Meetings">
      <xsd:simpleType>
        <xsd:restriction base="dms:Text">
          <xsd:maxLength value="255"/>
        </xsd:restriction>
      </xsd:simpleType>
    </xsd:element>
    <xsd:element name="_x006a_hd3" ma:index="15" nillable="true" ma:displayName="Date of Meeting" ma:internalName="_x006a_hd3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c6a340b-be33-4024-b1a4-a1d895e16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dae-5fc0-4ed3-ad80-da51122ab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6f4ebbf-2f03-4fc3-a03b-a5d54a7760b0}" ma:internalName="TaxCatchAll" ma:showField="CatchAllData" ma:web="c78a4dae-5fc0-4ed3-ad80-da51122ab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FD1E4-E801-45E3-8622-5705A3614C6C}">
  <ds:schemaRefs>
    <ds:schemaRef ds:uri="a0a73c9d-d591-440f-abb0-7256bbedc89b"/>
    <ds:schemaRef ds:uri="http://purl.org/dc/elements/1.1/"/>
    <ds:schemaRef ds:uri="http://www.w3.org/XML/1998/namespace"/>
    <ds:schemaRef ds:uri="c0e8993d-9b8c-43f5-b3fd-d3256c4c925d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AE8373-A3D3-4BCC-91EA-2CEDB8D994BC}"/>
</file>

<file path=customXml/itemProps3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9315</Characters>
  <Application>Microsoft Office Word</Application>
  <DocSecurity>0</DocSecurity>
  <Lines>77</Lines>
  <Paragraphs>21</Paragraphs>
  <ScaleCrop>false</ScaleCrop>
  <Company>National Grid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Ross</dc:creator>
  <cp:keywords/>
  <cp:lastModifiedBy>Molly Haley1</cp:lastModifiedBy>
  <cp:revision>2</cp:revision>
  <dcterms:created xsi:type="dcterms:W3CDTF">2022-07-18T14:43:00Z</dcterms:created>
  <dcterms:modified xsi:type="dcterms:W3CDTF">2022-07-18T14:43:00Z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0x0101002A9D4E94D94ABB48A35A572EF9A60258</vt:lpwstr>
  </property>
  <property fmtid="{D5CDD505-2E9C-101B-9397-08002B2CF9AE}" pid="3" name="Order">
    <vt:r8>553700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Owner">
    <vt:lpwstr>Unknown</vt:lpwstr>
  </property>
  <property fmtid="{D5CDD505-2E9C-101B-9397-08002B2CF9AE}" pid="9" name="MediaServiceImageTags">
    <vt:lpwstr/>
  </property>
</Properties>
</file>