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75A29" w14:textId="529EB393" w:rsidR="007D4F26" w:rsidRDefault="002B2E87" w:rsidP="002B2E87">
      <w:pPr>
        <w:pStyle w:val="Title"/>
        <w:jc w:val="center"/>
      </w:pPr>
      <w:r>
        <w:t>DSC Business Evaluation Report (BER)</w:t>
      </w:r>
    </w:p>
    <w:p w14:paraId="1B0A6AE9" w14:textId="2D5BFDE6" w:rsidR="002B2E87" w:rsidRDefault="002B2E87" w:rsidP="00D66C7E">
      <w:r>
        <w:rPr>
          <w:noProof/>
        </w:rPr>
        <w:drawing>
          <wp:anchor distT="0" distB="0" distL="114300" distR="114300" simplePos="0" relativeHeight="251658240" behindDoc="0" locked="0" layoutInCell="1" allowOverlap="1" wp14:anchorId="3E175A6E" wp14:editId="3D281ED2">
            <wp:simplePos x="0" y="0"/>
            <wp:positionH relativeFrom="column">
              <wp:posOffset>710565</wp:posOffset>
            </wp:positionH>
            <wp:positionV relativeFrom="paragraph">
              <wp:posOffset>41910</wp:posOffset>
            </wp:positionV>
            <wp:extent cx="4109720" cy="647700"/>
            <wp:effectExtent l="0" t="0" r="508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oserve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972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EB76A" w14:textId="77777777" w:rsidR="002B2E87" w:rsidRDefault="002B2E87" w:rsidP="00D66C7E"/>
    <w:p w14:paraId="1DA3FC3E" w14:textId="77777777" w:rsidR="002B2E87" w:rsidRDefault="002B2E87" w:rsidP="00D66C7E"/>
    <w:tbl>
      <w:tblPr>
        <w:tblStyle w:val="TableGrid1"/>
        <w:tblW w:w="5504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4841"/>
        <w:gridCol w:w="5084"/>
      </w:tblGrid>
      <w:tr w:rsidR="00B13C27" w:rsidRPr="002B2E87" w14:paraId="4E169BE3" w14:textId="77777777" w:rsidTr="7867B4B0">
        <w:tc>
          <w:tcPr>
            <w:tcW w:w="2439" w:type="pct"/>
            <w:shd w:val="clear" w:color="auto" w:fill="FFFFFF" w:themeFill="background1"/>
            <w:vAlign w:val="center"/>
          </w:tcPr>
          <w:p w14:paraId="5132746B" w14:textId="77777777" w:rsidR="00B13C27" w:rsidRPr="002B2E87" w:rsidRDefault="00B13C27" w:rsidP="00B13C27">
            <w:pPr>
              <w:rPr>
                <w:rFonts w:eastAsia="Times New Roman" w:cs="Arial"/>
                <w:b/>
                <w:sz w:val="20"/>
                <w:szCs w:val="16"/>
              </w:rPr>
            </w:pPr>
            <w:r w:rsidRPr="002B2E87">
              <w:rPr>
                <w:rFonts w:eastAsia="Times New Roman" w:cs="Arial"/>
                <w:b/>
                <w:sz w:val="20"/>
                <w:szCs w:val="16"/>
              </w:rPr>
              <w:t>Change Title</w:t>
            </w:r>
          </w:p>
        </w:tc>
        <w:tc>
          <w:tcPr>
            <w:tcW w:w="2561" w:type="pct"/>
          </w:tcPr>
          <w:p w14:paraId="17A91EFD" w14:textId="6D8665FB" w:rsidR="00B13C27" w:rsidRPr="002B2E87" w:rsidRDefault="00B13C27" w:rsidP="00B13C27">
            <w:pPr>
              <w:rPr>
                <w:rFonts w:eastAsia="Times New Roman" w:cs="Arial"/>
                <w:sz w:val="20"/>
                <w:szCs w:val="16"/>
              </w:rPr>
            </w:pPr>
            <w:r>
              <w:rPr>
                <w:rFonts w:eastAsia="Times New Roman" w:cs="Arial"/>
                <w:sz w:val="20"/>
                <w:szCs w:val="16"/>
              </w:rPr>
              <w:t xml:space="preserve">UK Link </w:t>
            </w:r>
            <w:r w:rsidR="003C3B5C">
              <w:rPr>
                <w:rFonts w:eastAsia="Times New Roman" w:cs="Arial"/>
                <w:sz w:val="20"/>
                <w:szCs w:val="16"/>
              </w:rPr>
              <w:t>February</w:t>
            </w:r>
            <w:r>
              <w:rPr>
                <w:rFonts w:eastAsia="Times New Roman" w:cs="Arial"/>
                <w:sz w:val="20"/>
                <w:szCs w:val="16"/>
              </w:rPr>
              <w:t xml:space="preserve"> 2</w:t>
            </w:r>
            <w:r w:rsidR="003C3B5C">
              <w:rPr>
                <w:rFonts w:eastAsia="Times New Roman" w:cs="Arial"/>
                <w:sz w:val="20"/>
                <w:szCs w:val="16"/>
              </w:rPr>
              <w:t>3</w:t>
            </w:r>
            <w:r>
              <w:rPr>
                <w:rFonts w:eastAsia="Times New Roman" w:cs="Arial"/>
                <w:sz w:val="20"/>
                <w:szCs w:val="16"/>
              </w:rPr>
              <w:t xml:space="preserve"> Major Release </w:t>
            </w:r>
          </w:p>
        </w:tc>
      </w:tr>
      <w:tr w:rsidR="00B13C27" w:rsidRPr="002B2E87" w14:paraId="185696D7" w14:textId="77777777" w:rsidTr="7867B4B0">
        <w:tc>
          <w:tcPr>
            <w:tcW w:w="2439" w:type="pct"/>
            <w:shd w:val="clear" w:color="auto" w:fill="FFFFFF" w:themeFill="background1"/>
            <w:vAlign w:val="center"/>
          </w:tcPr>
          <w:p w14:paraId="54673459" w14:textId="77777777" w:rsidR="00B13C27" w:rsidRPr="002B2E87" w:rsidRDefault="00B13C27" w:rsidP="00B13C27">
            <w:pPr>
              <w:rPr>
                <w:rFonts w:eastAsia="Times New Roman" w:cs="Arial"/>
                <w:b/>
                <w:sz w:val="20"/>
                <w:szCs w:val="16"/>
              </w:rPr>
            </w:pPr>
            <w:r w:rsidRPr="002B2E87">
              <w:rPr>
                <w:rFonts w:eastAsia="Times New Roman" w:cs="Arial"/>
                <w:b/>
                <w:sz w:val="20"/>
                <w:szCs w:val="16"/>
              </w:rPr>
              <w:t>Xoserve reference number (XRN)</w:t>
            </w:r>
          </w:p>
        </w:tc>
        <w:tc>
          <w:tcPr>
            <w:tcW w:w="2561" w:type="pct"/>
          </w:tcPr>
          <w:p w14:paraId="16500EDB" w14:textId="1F1441CC" w:rsidR="00B13C27" w:rsidRPr="002B2E87" w:rsidRDefault="008006C9" w:rsidP="00B13C27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55</w:t>
            </w:r>
            <w:r w:rsidR="003C3B5C">
              <w:rPr>
                <w:rFonts w:eastAsia="Times New Roman" w:cs="Arial"/>
                <w:sz w:val="20"/>
                <w:szCs w:val="20"/>
              </w:rPr>
              <w:t>33</w:t>
            </w:r>
          </w:p>
        </w:tc>
      </w:tr>
      <w:tr w:rsidR="00B13C27" w:rsidRPr="002B2E87" w14:paraId="74B6BF6B" w14:textId="77777777" w:rsidTr="7867B4B0">
        <w:tc>
          <w:tcPr>
            <w:tcW w:w="243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E5812F" w14:textId="74016740" w:rsidR="00B13C27" w:rsidRPr="002B2E87" w:rsidRDefault="384532EE" w:rsidP="6EEFDFBD">
            <w:pPr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6EEFDFBD">
              <w:rPr>
                <w:rFonts w:eastAsia="Times New Roman" w:cs="Arial"/>
                <w:b/>
                <w:bCs/>
                <w:sz w:val="20"/>
                <w:szCs w:val="20"/>
              </w:rPr>
              <w:t>Correla</w:t>
            </w:r>
            <w:r w:rsidR="00B13C27" w:rsidRPr="6EEFDFBD">
              <w:rPr>
                <w:rFonts w:eastAsia="Times New Roman" w:cs="Arial"/>
                <w:b/>
                <w:bCs/>
                <w:sz w:val="20"/>
                <w:szCs w:val="20"/>
              </w:rPr>
              <w:t xml:space="preserve"> Project Manager</w:t>
            </w:r>
          </w:p>
        </w:tc>
        <w:tc>
          <w:tcPr>
            <w:tcW w:w="2561" w:type="pct"/>
            <w:tcBorders>
              <w:bottom w:val="single" w:sz="4" w:space="0" w:color="auto"/>
            </w:tcBorders>
          </w:tcPr>
          <w:p w14:paraId="1B99C211" w14:textId="3E6242BD" w:rsidR="00B13C27" w:rsidRPr="002B2E87" w:rsidRDefault="00C661DD" w:rsidP="00B13C27">
            <w:pPr>
              <w:rPr>
                <w:rFonts w:eastAsia="Times New Roman" w:cs="Arial"/>
                <w:sz w:val="20"/>
                <w:szCs w:val="16"/>
              </w:rPr>
            </w:pPr>
            <w:r>
              <w:rPr>
                <w:rFonts w:eastAsia="Times New Roman" w:cs="Arial"/>
                <w:sz w:val="20"/>
                <w:szCs w:val="16"/>
              </w:rPr>
              <w:t>Surfaraz Tambe</w:t>
            </w:r>
          </w:p>
        </w:tc>
      </w:tr>
      <w:tr w:rsidR="00B13C27" w:rsidRPr="002B2E87" w14:paraId="35655359" w14:textId="77777777" w:rsidTr="7867B4B0">
        <w:tc>
          <w:tcPr>
            <w:tcW w:w="243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DA6362" w14:textId="77777777" w:rsidR="00B13C27" w:rsidRPr="002B2E87" w:rsidRDefault="00B13C27" w:rsidP="00B13C27">
            <w:pPr>
              <w:rPr>
                <w:rFonts w:eastAsia="Times New Roman" w:cs="Arial"/>
                <w:b/>
                <w:sz w:val="20"/>
                <w:szCs w:val="16"/>
              </w:rPr>
            </w:pPr>
            <w:r w:rsidRPr="002B2E87">
              <w:rPr>
                <w:rFonts w:eastAsia="Times New Roman" w:cs="Arial"/>
                <w:b/>
                <w:sz w:val="20"/>
                <w:szCs w:val="16"/>
              </w:rPr>
              <w:t>Email address</w:t>
            </w:r>
          </w:p>
        </w:tc>
        <w:tc>
          <w:tcPr>
            <w:tcW w:w="2561" w:type="pct"/>
            <w:tcBorders>
              <w:bottom w:val="single" w:sz="4" w:space="0" w:color="auto"/>
            </w:tcBorders>
          </w:tcPr>
          <w:p w14:paraId="522375A6" w14:textId="09E07B6F" w:rsidR="00B13C27" w:rsidRPr="002B2E87" w:rsidRDefault="00C661DD" w:rsidP="00B13C27">
            <w:pPr>
              <w:rPr>
                <w:rFonts w:eastAsia="Times New Roman" w:cs="Arial"/>
                <w:sz w:val="20"/>
                <w:szCs w:val="16"/>
              </w:rPr>
            </w:pPr>
            <w:r>
              <w:rPr>
                <w:rFonts w:eastAsia="Times New Roman" w:cs="Arial"/>
                <w:sz w:val="20"/>
                <w:szCs w:val="16"/>
              </w:rPr>
              <w:t>surfaraz.tambe</w:t>
            </w:r>
            <w:r w:rsidR="00B13C27">
              <w:rPr>
                <w:rFonts w:eastAsia="Times New Roman" w:cs="Arial"/>
                <w:sz w:val="20"/>
                <w:szCs w:val="16"/>
              </w:rPr>
              <w:t>@correla.com</w:t>
            </w:r>
          </w:p>
        </w:tc>
      </w:tr>
      <w:tr w:rsidR="00B13C27" w:rsidRPr="002B2E87" w14:paraId="1C247CD2" w14:textId="77777777" w:rsidTr="7867B4B0">
        <w:tc>
          <w:tcPr>
            <w:tcW w:w="243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B4258" w14:textId="77777777" w:rsidR="00B13C27" w:rsidRPr="002B2E87" w:rsidRDefault="00B13C27" w:rsidP="00B13C27">
            <w:pPr>
              <w:rPr>
                <w:rFonts w:eastAsia="Times New Roman" w:cs="Arial"/>
                <w:b/>
                <w:sz w:val="20"/>
                <w:szCs w:val="16"/>
              </w:rPr>
            </w:pPr>
            <w:r w:rsidRPr="002B2E87">
              <w:rPr>
                <w:rFonts w:eastAsia="Times New Roman" w:cs="Arial"/>
                <w:b/>
                <w:sz w:val="20"/>
                <w:szCs w:val="16"/>
              </w:rPr>
              <w:t>Contact number</w:t>
            </w:r>
          </w:p>
        </w:tc>
        <w:tc>
          <w:tcPr>
            <w:tcW w:w="2561" w:type="pct"/>
            <w:tcBorders>
              <w:bottom w:val="single" w:sz="4" w:space="0" w:color="auto"/>
            </w:tcBorders>
          </w:tcPr>
          <w:p w14:paraId="7B6CE89B" w14:textId="6C87B6F7" w:rsidR="00B13C27" w:rsidRPr="00C967C0" w:rsidRDefault="005F5B67" w:rsidP="00B13C27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0121 229 2693</w:t>
            </w:r>
          </w:p>
        </w:tc>
      </w:tr>
      <w:tr w:rsidR="00B13C27" w:rsidRPr="002B2E87" w14:paraId="1271BAA4" w14:textId="77777777" w:rsidTr="7867B4B0">
        <w:tc>
          <w:tcPr>
            <w:tcW w:w="243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D5372A" w14:textId="77777777" w:rsidR="00B13C27" w:rsidRPr="002B2E87" w:rsidRDefault="00B13C27" w:rsidP="00B13C27">
            <w:pPr>
              <w:rPr>
                <w:rFonts w:eastAsia="Times New Roman" w:cs="Arial"/>
                <w:b/>
                <w:sz w:val="20"/>
                <w:szCs w:val="16"/>
              </w:rPr>
            </w:pPr>
            <w:r w:rsidRPr="002B2E87">
              <w:rPr>
                <w:rFonts w:eastAsia="Times New Roman" w:cs="Arial"/>
                <w:b/>
                <w:sz w:val="20"/>
                <w:szCs w:val="16"/>
              </w:rPr>
              <w:t>Target Change Management Committee date</w:t>
            </w:r>
          </w:p>
        </w:tc>
        <w:tc>
          <w:tcPr>
            <w:tcW w:w="2561" w:type="pct"/>
            <w:tcBorders>
              <w:bottom w:val="single" w:sz="4" w:space="0" w:color="auto"/>
            </w:tcBorders>
          </w:tcPr>
          <w:p w14:paraId="14B22CEA" w14:textId="25DEED50" w:rsidR="00B13C27" w:rsidRPr="006D423B" w:rsidRDefault="006D423B" w:rsidP="00B13C27">
            <w:pPr>
              <w:rPr>
                <w:rFonts w:eastAsia="Times New Roman" w:cs="Arial"/>
                <w:sz w:val="20"/>
                <w:szCs w:val="16"/>
              </w:rPr>
            </w:pPr>
            <w:r>
              <w:rPr>
                <w:rFonts w:eastAsia="Times New Roman" w:cs="Arial"/>
                <w:sz w:val="20"/>
                <w:szCs w:val="16"/>
              </w:rPr>
              <w:t>22</w:t>
            </w:r>
            <w:r w:rsidRPr="006D423B">
              <w:rPr>
                <w:rFonts w:eastAsia="Times New Roman" w:cs="Arial"/>
                <w:sz w:val="20"/>
                <w:szCs w:val="16"/>
                <w:vertAlign w:val="superscript"/>
              </w:rPr>
              <w:t>nd</w:t>
            </w:r>
            <w:r w:rsidR="00296239" w:rsidRPr="00ED635E">
              <w:rPr>
                <w:rFonts w:eastAsia="Times New Roman" w:cs="Arial"/>
                <w:sz w:val="20"/>
                <w:szCs w:val="16"/>
              </w:rPr>
              <w:t xml:space="preserve"> </w:t>
            </w:r>
            <w:r w:rsidR="00ED635E" w:rsidRPr="00ED635E">
              <w:rPr>
                <w:rFonts w:eastAsia="Times New Roman" w:cs="Arial"/>
                <w:sz w:val="20"/>
                <w:szCs w:val="16"/>
              </w:rPr>
              <w:t>Ju</w:t>
            </w:r>
            <w:r w:rsidR="003C3B5C">
              <w:rPr>
                <w:rFonts w:eastAsia="Times New Roman" w:cs="Arial"/>
                <w:sz w:val="20"/>
                <w:szCs w:val="16"/>
              </w:rPr>
              <w:t>ly</w:t>
            </w:r>
            <w:r w:rsidR="00296239" w:rsidRPr="00ED635E">
              <w:rPr>
                <w:rFonts w:eastAsia="Times New Roman" w:cs="Arial"/>
                <w:sz w:val="20"/>
                <w:szCs w:val="16"/>
              </w:rPr>
              <w:t xml:space="preserve"> 2022</w:t>
            </w:r>
          </w:p>
        </w:tc>
      </w:tr>
      <w:tr w:rsidR="002B2E87" w:rsidRPr="002B2E87" w14:paraId="3B4FF6C3" w14:textId="77777777" w:rsidTr="7867B4B0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3E5AA8" w:themeFill="accent1"/>
            <w:vAlign w:val="center"/>
          </w:tcPr>
          <w:p w14:paraId="3011F0CF" w14:textId="77777777" w:rsidR="002B2E87" w:rsidRPr="002B2E87" w:rsidRDefault="002B2E87" w:rsidP="002B2E87">
            <w:pPr>
              <w:jc w:val="center"/>
              <w:rPr>
                <w:rFonts w:eastAsia="Times New Roman" w:cs="Arial"/>
                <w:b/>
              </w:rPr>
            </w:pPr>
            <w:r w:rsidRPr="002B2E87">
              <w:rPr>
                <w:rFonts w:eastAsia="Times New Roman" w:cs="Arial"/>
                <w:b/>
                <w:color w:val="FFFFFF"/>
                <w:sz w:val="20"/>
              </w:rPr>
              <w:t>Section 1: In Scope</w:t>
            </w:r>
          </w:p>
        </w:tc>
      </w:tr>
      <w:tr w:rsidR="002B2E87" w:rsidRPr="002B2E87" w14:paraId="5C22B926" w14:textId="77777777" w:rsidTr="7867B4B0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A12E4BA" w14:textId="77777777" w:rsidR="0028280D" w:rsidRDefault="0028280D" w:rsidP="0017478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03B48B50" w14:textId="77777777" w:rsidR="001F7621" w:rsidRDefault="00174786" w:rsidP="0017478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6609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This BER requests approval for funding of th</w:t>
            </w:r>
            <w:r w:rsidR="001F76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 February 23</w:t>
            </w:r>
            <w:r w:rsidRPr="0006609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UK Link </w:t>
            </w:r>
            <w:r w:rsidR="001F76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Major </w:t>
            </w:r>
            <w:r w:rsidRPr="0006609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Release</w:t>
            </w:r>
            <w:r w:rsidR="001F76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6068E151" w14:textId="77777777" w:rsidR="00765AB3" w:rsidRDefault="00765AB3" w:rsidP="0017478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  <w:p w14:paraId="60BD0A53" w14:textId="1A3D4815" w:rsidR="003E3022" w:rsidRDefault="00174786" w:rsidP="0017478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The</w:t>
            </w:r>
            <w:r w:rsidRPr="0006609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765AB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total </w:t>
            </w:r>
            <w:r w:rsidRPr="0006609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delivery cost</w:t>
            </w:r>
            <w:r w:rsidR="0088304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, including risk margin,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27F0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to be approved in this BER is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F2DD0">
              <w:rPr>
                <w:rFonts w:asciiTheme="minorHAnsi" w:eastAsia="Times New Roman" w:hAnsiTheme="minorHAnsi" w:cstheme="minorHAnsi"/>
                <w:sz w:val="20"/>
                <w:szCs w:val="20"/>
              </w:rPr>
              <w:t>£</w:t>
            </w:r>
            <w:r w:rsidR="00D82FA3" w:rsidRPr="00DF2DD0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  <w:r w:rsidR="001D0FA0">
              <w:rPr>
                <w:rFonts w:asciiTheme="minorHAnsi" w:eastAsia="Times New Roman" w:hAnsiTheme="minorHAnsi" w:cstheme="minorHAnsi"/>
                <w:sz w:val="20"/>
                <w:szCs w:val="20"/>
              </w:rPr>
              <w:t>09</w:t>
            </w:r>
            <w:r w:rsidR="004E3EFE" w:rsidRPr="00DF2DD0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  <w:r w:rsidR="001D0FA0">
              <w:rPr>
                <w:rFonts w:asciiTheme="minorHAnsi" w:eastAsia="Times New Roman" w:hAnsiTheme="minorHAnsi" w:cstheme="minorHAnsi"/>
                <w:sz w:val="20"/>
                <w:szCs w:val="20"/>
              </w:rPr>
              <w:t>359</w:t>
            </w:r>
            <w:r w:rsidR="00427F02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6076502A" w14:textId="20A3DFF0" w:rsidR="00B41C64" w:rsidRDefault="00F278FE" w:rsidP="0017478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This i</w:t>
            </w:r>
            <w:r w:rsidR="003E3022">
              <w:rPr>
                <w:rFonts w:asciiTheme="minorHAnsi" w:eastAsia="Times New Roman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3E3022">
              <w:rPr>
                <w:rFonts w:asciiTheme="minorHAnsi" w:eastAsia="Times New Roman" w:hAnsiTheme="minorHAnsi" w:cstheme="minorHAnsi"/>
                <w:sz w:val="20"/>
                <w:szCs w:val="20"/>
              </w:rPr>
              <w:t>to be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drawn down from the DSC</w:t>
            </w:r>
            <w:r w:rsidR="00A476C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General Change Budget.</w:t>
            </w:r>
          </w:p>
          <w:p w14:paraId="4E460CBB" w14:textId="77777777" w:rsidR="0021305D" w:rsidRDefault="0021305D" w:rsidP="0017478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83880C7" w14:textId="749717AD" w:rsidR="0021305D" w:rsidRDefault="0021305D" w:rsidP="0017478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The </w:t>
            </w:r>
            <w:r w:rsidR="00FB1F03">
              <w:rPr>
                <w:rFonts w:asciiTheme="minorHAnsi" w:eastAsia="Times New Roman" w:hAnsiTheme="minorHAnsi" w:cstheme="minorHAnsi"/>
                <w:sz w:val="20"/>
                <w:szCs w:val="20"/>
              </w:rPr>
              <w:t>scope</w:t>
            </w:r>
            <w:r w:rsidR="005B7AD6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  <w:r w:rsidR="00FB1F0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01772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approved </w:t>
            </w:r>
            <w:r w:rsidR="00FB1F03">
              <w:rPr>
                <w:rFonts w:asciiTheme="minorHAnsi" w:eastAsia="Times New Roman" w:hAnsiTheme="minorHAnsi" w:cstheme="minorHAnsi"/>
                <w:sz w:val="20"/>
                <w:szCs w:val="20"/>
              </w:rPr>
              <w:t>at ChMC on July 13</w:t>
            </w:r>
            <w:r w:rsidR="00FB1F03" w:rsidRPr="00FB1F03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  <w:t>th</w:t>
            </w:r>
            <w:proofErr w:type="gramStart"/>
            <w:r w:rsidR="00FB1F0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2022</w:t>
            </w:r>
            <w:proofErr w:type="gramEnd"/>
            <w:r w:rsidR="006843DD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  <w:r w:rsidR="0001772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for </w:t>
            </w:r>
            <w:r w:rsidR="003C4FE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the </w:t>
            </w:r>
            <w:r w:rsidR="0001772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release </w:t>
            </w:r>
            <w:r w:rsidR="002F1120">
              <w:rPr>
                <w:rFonts w:asciiTheme="minorHAnsi" w:eastAsia="Times New Roman" w:hAnsiTheme="minorHAnsi" w:cstheme="minorHAnsi"/>
                <w:sz w:val="20"/>
                <w:szCs w:val="20"/>
              </w:rPr>
              <w:t>contains</w:t>
            </w:r>
            <w:r w:rsidR="003C4FE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the following four XRNs that are to be funded from this BER:</w:t>
            </w:r>
          </w:p>
          <w:p w14:paraId="683B4EF4" w14:textId="42CF26AB" w:rsidR="0028280D" w:rsidRDefault="0028280D" w:rsidP="0007561C">
            <w:pPr>
              <w:spacing w:after="60" w:line="276" w:lineRule="auto"/>
              <w:rPr>
                <w:rFonts w:cs="Arial"/>
                <w:sz w:val="18"/>
                <w:szCs w:val="18"/>
              </w:rPr>
            </w:pPr>
          </w:p>
          <w:tbl>
            <w:tblPr>
              <w:tblW w:w="9696" w:type="dxa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1275"/>
              <w:gridCol w:w="1134"/>
              <w:gridCol w:w="3114"/>
              <w:gridCol w:w="2410"/>
              <w:gridCol w:w="992"/>
            </w:tblGrid>
            <w:tr w:rsidR="00A83436" w:rsidRPr="00C25F07" w14:paraId="6E5EC3E0" w14:textId="77777777" w:rsidTr="000E6BC8">
              <w:trPr>
                <w:trHeight w:val="290"/>
              </w:trPr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472C4"/>
                  <w:noWrap/>
                  <w:hideMark/>
                </w:tcPr>
                <w:p w14:paraId="1F548CC9" w14:textId="77777777" w:rsidR="00A83436" w:rsidRPr="00C25F07" w:rsidRDefault="00A83436" w:rsidP="00745D01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color w:val="FFFFFF"/>
                      <w:sz w:val="20"/>
                    </w:rPr>
                  </w:pPr>
                  <w:r w:rsidRPr="00C25F07">
                    <w:rPr>
                      <w:rFonts w:eastAsia="Times New Roman" w:cs="Arial"/>
                      <w:b/>
                      <w:color w:val="FFFFFF"/>
                      <w:sz w:val="20"/>
                    </w:rPr>
                    <w:t>XRN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472C4"/>
                  <w:noWrap/>
                  <w:hideMark/>
                </w:tcPr>
                <w:p w14:paraId="09A9C248" w14:textId="77777777" w:rsidR="00A83436" w:rsidRPr="00C25F07" w:rsidRDefault="00A83436" w:rsidP="00745D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C25F07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Title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472C4"/>
                  <w:noWrap/>
                  <w:hideMark/>
                </w:tcPr>
                <w:p w14:paraId="508EEDAA" w14:textId="77777777" w:rsidR="00A83436" w:rsidRPr="00C25F07" w:rsidRDefault="00A83436" w:rsidP="00745D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C25F07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Type</w:t>
                  </w:r>
                </w:p>
              </w:tc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472C4"/>
                  <w:noWrap/>
                  <w:hideMark/>
                </w:tcPr>
                <w:p w14:paraId="164084BA" w14:textId="77777777" w:rsidR="00A83436" w:rsidRPr="00C25F07" w:rsidRDefault="00A83436" w:rsidP="00745D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C25F07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Description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472C4"/>
                  <w:noWrap/>
                  <w:hideMark/>
                </w:tcPr>
                <w:p w14:paraId="4430919C" w14:textId="77777777" w:rsidR="00A83436" w:rsidRPr="00C25F07" w:rsidRDefault="00A83436" w:rsidP="00745D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C25F07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Link to Change Proposal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472C4"/>
                </w:tcPr>
                <w:p w14:paraId="0B8198A4" w14:textId="2DE22D79" w:rsidR="00A83436" w:rsidRPr="00C25F07" w:rsidRDefault="00A83436" w:rsidP="00745D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C25F07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Impacts</w:t>
                  </w:r>
                </w:p>
              </w:tc>
            </w:tr>
            <w:tr w:rsidR="005F673F" w:rsidRPr="00C25F07" w14:paraId="1CE0808E" w14:textId="77777777" w:rsidTr="000E6BC8">
              <w:trPr>
                <w:trHeight w:val="969"/>
              </w:trPr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C1783F" w14:textId="162E31A2" w:rsidR="005F673F" w:rsidRPr="0080149E" w:rsidRDefault="005F673F" w:rsidP="005F673F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80149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4978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2ED324" w14:textId="0532C070" w:rsidR="005F673F" w:rsidRPr="0080149E" w:rsidRDefault="005F673F" w:rsidP="005F673F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80149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Notification of Rolling AQ Value (following Transfer of Ownership between M-5 and M)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66E624" w14:textId="070D3F17" w:rsidR="005F673F" w:rsidRPr="0080149E" w:rsidRDefault="005F673F" w:rsidP="005F673F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80149E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Regulatory</w:t>
                  </w:r>
                </w:p>
              </w:tc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3A03E3" w14:textId="02C8EBDA" w:rsidR="005F673F" w:rsidRPr="007516E1" w:rsidRDefault="005F673F" w:rsidP="005F673F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7516E1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Provide the new </w:t>
                  </w:r>
                  <w:r w:rsidR="001C107B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Shipper a</w:t>
                  </w:r>
                  <w:r w:rsidRPr="007516E1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 view of the amended AQ/SOQ </w:t>
                  </w:r>
                  <w:r w:rsidR="004A0A34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when there is a </w:t>
                  </w:r>
                  <w:r w:rsidR="00835D2F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change of Shipper after the NRL file has been issued.</w:t>
                  </w:r>
                </w:p>
                <w:p w14:paraId="26B3ED97" w14:textId="64B15BBB" w:rsidR="001C107B" w:rsidRPr="007516E1" w:rsidRDefault="001C107B" w:rsidP="001C107B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14:paraId="0797D9A9" w14:textId="031912E4" w:rsidR="005F673F" w:rsidRPr="0080149E" w:rsidRDefault="005F673F" w:rsidP="005F673F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85CF21" w14:textId="42182261" w:rsidR="005F673F" w:rsidRDefault="00717368" w:rsidP="005F673F">
                  <w:pPr>
                    <w:spacing w:after="0" w:line="240" w:lineRule="auto"/>
                    <w:jc w:val="center"/>
                    <w:rPr>
                      <w:rStyle w:val="Hyperlink"/>
                      <w:rFonts w:asciiTheme="minorHAnsi" w:eastAsia="Times New Roman" w:hAnsiTheme="minorHAnsi" w:cstheme="minorHAnsi"/>
                      <w:sz w:val="18"/>
                      <w:szCs w:val="18"/>
                    </w:rPr>
                  </w:pPr>
                  <w:hyperlink r:id="rId12" w:history="1">
                    <w:r w:rsidR="005F673F" w:rsidRPr="004D0C0E">
                      <w:rPr>
                        <w:rStyle w:val="Hyperlink"/>
                        <w:rFonts w:asciiTheme="minorHAnsi" w:eastAsia="Times New Roman" w:hAnsiTheme="minorHAnsi" w:cstheme="minorHAnsi"/>
                        <w:color w:val="3E5AA8" w:themeColor="accent1"/>
                        <w:sz w:val="18"/>
                        <w:szCs w:val="18"/>
                      </w:rPr>
                      <w:t>https://www.xoserve.com/change/change-proposals/xrn-4978-notification-of-rolling-aq-value-following-transfer-of-ownership-between-m-5-and-m/</w:t>
                    </w:r>
                  </w:hyperlink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821AC" w14:textId="32EBB13D" w:rsidR="005F673F" w:rsidRPr="0080149E" w:rsidRDefault="005F673F" w:rsidP="005F673F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80149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Shipper</w:t>
                  </w:r>
                </w:p>
              </w:tc>
            </w:tr>
            <w:tr w:rsidR="005F673F" w:rsidRPr="00C25F07" w14:paraId="298A8B26" w14:textId="77777777" w:rsidTr="00290F15">
              <w:trPr>
                <w:trHeight w:val="969"/>
              </w:trPr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DCF0" w:themeFill="accent1" w:themeFillTint="33"/>
                  <w:noWrap/>
                </w:tcPr>
                <w:p w14:paraId="5E19E134" w14:textId="59F69863" w:rsidR="005F673F" w:rsidRPr="0080149E" w:rsidRDefault="00A91BED" w:rsidP="005F673F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A91BED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4989</w:t>
                  </w:r>
                  <w:r w:rsidR="003F6B37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B</w:t>
                  </w:r>
                  <w:r w:rsidRPr="00A91BED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DCF0" w:themeFill="accent1" w:themeFillTint="33"/>
                  <w:noWrap/>
                </w:tcPr>
                <w:p w14:paraId="21E175BD" w14:textId="38AD5D29" w:rsidR="005F673F" w:rsidRPr="0080149E" w:rsidRDefault="00A91BED" w:rsidP="005F673F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A91BED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Residual AMT </w:t>
                  </w:r>
                  <w:r w:rsidR="000E6BC8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A</w:t>
                  </w:r>
                  <w:r w:rsidRPr="00A91BED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ctivities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DCF0" w:themeFill="accent1" w:themeFillTint="33"/>
                  <w:noWrap/>
                </w:tcPr>
                <w:p w14:paraId="616E9213" w14:textId="469D16A7" w:rsidR="005F673F" w:rsidRPr="0080149E" w:rsidRDefault="005F23D7" w:rsidP="005F673F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Non - </w:t>
                  </w:r>
                  <w:r w:rsidRPr="0080149E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Regulatory</w:t>
                  </w:r>
                </w:p>
              </w:tc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DCF0" w:themeFill="accent1" w:themeFillTint="33"/>
                </w:tcPr>
                <w:p w14:paraId="69E6C881" w14:textId="46C23E88" w:rsidR="005F673F" w:rsidRPr="001535E6" w:rsidRDefault="003F6B37" w:rsidP="005F673F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1535E6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Residual AMT activities to complete 4989B.</w:t>
                  </w:r>
                  <w:r w:rsidR="00E45A62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 File format changes to </w:t>
                  </w:r>
                  <w:r w:rsidR="00CB3A29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prevent</w:t>
                  </w:r>
                  <w:r w:rsidR="00E45A62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 the need of a work around.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DCF0" w:themeFill="accent1" w:themeFillTint="33"/>
                </w:tcPr>
                <w:p w14:paraId="55A6E264" w14:textId="40D6B318" w:rsidR="005F673F" w:rsidRDefault="005F23D7" w:rsidP="005F673F">
                  <w:pPr>
                    <w:spacing w:after="0" w:line="240" w:lineRule="auto"/>
                    <w:jc w:val="center"/>
                    <w:rPr>
                      <w:rStyle w:val="Hyperlink"/>
                      <w:rFonts w:asciiTheme="minorHAnsi" w:eastAsia="Times New Roman" w:hAnsiTheme="minorHAnsi" w:cstheme="minorHAnsi"/>
                      <w:sz w:val="18"/>
                      <w:szCs w:val="18"/>
                    </w:rPr>
                  </w:pPr>
                  <w:r>
                    <w:rPr>
                      <w:rStyle w:val="Hyperlink"/>
                      <w:rFonts w:asciiTheme="minorHAnsi" w:eastAsia="Times New Roman" w:hAnsiTheme="minorHAnsi" w:cstheme="minorHAnsi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DCF0" w:themeFill="accent1" w:themeFillTint="33"/>
                </w:tcPr>
                <w:p w14:paraId="7E47F4E2" w14:textId="4610B9A5" w:rsidR="005F673F" w:rsidRPr="0080149E" w:rsidRDefault="005F23D7" w:rsidP="005F673F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Shipper</w:t>
                  </w:r>
                </w:p>
              </w:tc>
            </w:tr>
            <w:tr w:rsidR="00E35A43" w:rsidRPr="00C25F07" w14:paraId="5A24A11E" w14:textId="77777777" w:rsidTr="000E6BC8">
              <w:trPr>
                <w:trHeight w:val="969"/>
              </w:trPr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9D5DB4E" w14:textId="5D6BA81D" w:rsidR="00E35A43" w:rsidRPr="0080149E" w:rsidRDefault="00E35A43" w:rsidP="00E35A4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80149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4990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C4B1B47" w14:textId="061D4CE3" w:rsidR="00E35A43" w:rsidRPr="0080149E" w:rsidRDefault="00E35A43" w:rsidP="00E35A4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80149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MOD0664 –Transfer of Sites with Low Read Submission Performance from Class 2 and 3 into Class 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8622166" w14:textId="2D1B469B" w:rsidR="00E35A43" w:rsidRPr="0080149E" w:rsidRDefault="00E35A43" w:rsidP="00E35A4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80149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Regulatory</w:t>
                  </w:r>
                </w:p>
              </w:tc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A81F25" w14:textId="20F964BC" w:rsidR="00E35A43" w:rsidRPr="001535E6" w:rsidRDefault="0011133F" w:rsidP="00E35A4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Provide reporting to Shippers </w:t>
                  </w:r>
                  <w:r w:rsidR="00734B40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where they are not meeting their read </w:t>
                  </w:r>
                  <w:proofErr w:type="spellStart"/>
                  <w:r w:rsidR="00734B40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obiligations</w:t>
                  </w:r>
                  <w:proofErr w:type="spellEnd"/>
                  <w:r w:rsidR="00433764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 and remediation when they continue to not meet there read </w:t>
                  </w:r>
                  <w:proofErr w:type="spellStart"/>
                  <w:r w:rsidR="00433764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oboligations</w:t>
                  </w:r>
                  <w:proofErr w:type="spellEnd"/>
                  <w:r w:rsidR="00433764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BFA727" w14:textId="65340DC5" w:rsidR="00E35A43" w:rsidRDefault="00717368" w:rsidP="00E35A43">
                  <w:pPr>
                    <w:spacing w:after="0" w:line="240" w:lineRule="auto"/>
                    <w:jc w:val="center"/>
                    <w:rPr>
                      <w:rStyle w:val="Hyperlink"/>
                      <w:rFonts w:asciiTheme="minorHAnsi" w:eastAsia="Times New Roman" w:hAnsiTheme="minorHAnsi" w:cstheme="minorHAnsi"/>
                      <w:sz w:val="18"/>
                      <w:szCs w:val="18"/>
                    </w:rPr>
                  </w:pPr>
                  <w:hyperlink r:id="rId13" w:history="1">
                    <w:r w:rsidR="00E35A43" w:rsidRPr="007516E1">
                      <w:rPr>
                        <w:rStyle w:val="Hyperlink"/>
                        <w:rFonts w:asciiTheme="minorHAnsi" w:eastAsia="Times New Roman" w:hAnsiTheme="minorHAnsi" w:cstheme="minorHAnsi"/>
                        <w:sz w:val="18"/>
                        <w:szCs w:val="18"/>
                      </w:rPr>
                      <w:t>https://www.xoserve.com/change/change-proposals/xrn-4990-transfer-of-sites-with-low-read-submission-performance-from-class-2-and-3-into-class-4-mod0664/</w:t>
                    </w:r>
                  </w:hyperlink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C85C5" w14:textId="190121C6" w:rsidR="00E35A43" w:rsidRPr="0080149E" w:rsidRDefault="00E35A43" w:rsidP="00E35A4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80149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Shipper</w:t>
                  </w:r>
                </w:p>
              </w:tc>
            </w:tr>
            <w:tr w:rsidR="00E35A43" w:rsidRPr="00C25F07" w14:paraId="77B71EE7" w14:textId="77777777" w:rsidTr="00290F15">
              <w:trPr>
                <w:trHeight w:val="969"/>
              </w:trPr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DCF0" w:themeFill="accent1" w:themeFillTint="33"/>
                  <w:noWrap/>
                </w:tcPr>
                <w:p w14:paraId="1CE4F1A0" w14:textId="34A871BE" w:rsidR="00E35A43" w:rsidRPr="0080149E" w:rsidRDefault="0023324C" w:rsidP="00E35A4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23324C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4992B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DCF0" w:themeFill="accent1" w:themeFillTint="33"/>
                  <w:noWrap/>
                </w:tcPr>
                <w:p w14:paraId="16165714" w14:textId="73F6B88B" w:rsidR="00E35A43" w:rsidRPr="0080149E" w:rsidRDefault="0023324C" w:rsidP="00E35A4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23324C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Shipper - Mod 687 S</w:t>
                  </w:r>
                  <w:r w:rsidR="000C16E1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O</w:t>
                  </w:r>
                  <w:r w:rsidRPr="0023324C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LR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DCF0" w:themeFill="accent1" w:themeFillTint="33"/>
                  <w:noWrap/>
                </w:tcPr>
                <w:p w14:paraId="72174678" w14:textId="3A7F43B6" w:rsidR="00E35A43" w:rsidRPr="0080149E" w:rsidRDefault="0023324C" w:rsidP="00E35A4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80149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Regulatory</w:t>
                  </w:r>
                </w:p>
              </w:tc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DCF0" w:themeFill="accent1" w:themeFillTint="33"/>
                </w:tcPr>
                <w:p w14:paraId="01F7703E" w14:textId="48536BF1" w:rsidR="00E35A43" w:rsidRPr="0080149E" w:rsidRDefault="00B53DDE" w:rsidP="00E35A4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Updating </w:t>
                  </w:r>
                  <w:r w:rsidR="000C16E1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capacity invoice and supporting information to include SOLR charges.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DCF0" w:themeFill="accent1" w:themeFillTint="33"/>
                </w:tcPr>
                <w:p w14:paraId="0C99BDBD" w14:textId="39EAA313" w:rsidR="00290F15" w:rsidRDefault="00290F15" w:rsidP="00E35A43">
                  <w:pPr>
                    <w:spacing w:after="0" w:line="240" w:lineRule="auto"/>
                    <w:jc w:val="center"/>
                    <w:rPr>
                      <w:rStyle w:val="Hyperlink"/>
                      <w:rFonts w:asciiTheme="minorHAnsi" w:eastAsia="Times New Roman" w:hAnsiTheme="minorHAnsi" w:cstheme="minorHAnsi"/>
                      <w:sz w:val="18"/>
                      <w:szCs w:val="18"/>
                    </w:rPr>
                  </w:pPr>
                  <w:r w:rsidRPr="00290F15">
                    <w:rPr>
                      <w:rStyle w:val="Hyperlink"/>
                      <w:rFonts w:asciiTheme="minorHAnsi" w:eastAsia="Times New Roman" w:hAnsiTheme="minorHAnsi" w:cstheme="minorHAnsi"/>
                      <w:sz w:val="18"/>
                      <w:szCs w:val="18"/>
                    </w:rPr>
                    <w:t>https://www.xoserve.com/change/change-proposals/xrn-4992-modification-0687-creation-of-new-charge-to-recover-last-resort-supply-payments/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DCF0" w:themeFill="accent1" w:themeFillTint="33"/>
                </w:tcPr>
                <w:p w14:paraId="0110AC85" w14:textId="65597F9F" w:rsidR="00E35A43" w:rsidRPr="0080149E" w:rsidRDefault="000257F7" w:rsidP="00E35A4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Shipper</w:t>
                  </w:r>
                </w:p>
              </w:tc>
            </w:tr>
          </w:tbl>
          <w:p w14:paraId="34F3AD9F" w14:textId="77777777" w:rsidR="00A8007D" w:rsidRDefault="00A8007D" w:rsidP="00A476C8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030B7D33" w14:textId="77777777" w:rsidR="00C620E5" w:rsidRDefault="00C620E5" w:rsidP="00A476C8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91A554E" w14:textId="70A30D21" w:rsidR="00644F7A" w:rsidRDefault="00A476C8" w:rsidP="00A476C8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Also in</w:t>
            </w:r>
            <w:r w:rsidR="002E766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cluded in the approved scope for the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February 23 Release, </w:t>
            </w:r>
            <w:r w:rsidR="00540CC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are 2 additional changes </w:t>
            </w:r>
            <w:r w:rsidR="002E766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that will be </w:t>
            </w:r>
            <w:r w:rsidR="00540CC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funded </w:t>
            </w:r>
            <w:r w:rsidR="002E766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separately to this BER, </w:t>
            </w:r>
            <w:r w:rsidR="00540CC7">
              <w:rPr>
                <w:rFonts w:asciiTheme="minorHAnsi" w:eastAsia="Times New Roman" w:hAnsiTheme="minorHAnsi" w:cstheme="minorHAnsi"/>
                <w:sz w:val="20"/>
                <w:szCs w:val="20"/>
              </w:rPr>
              <w:t>by the Decarb</w:t>
            </w:r>
            <w:r w:rsidR="00A8357C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="00540CC7">
              <w:rPr>
                <w:rFonts w:asciiTheme="minorHAnsi" w:eastAsia="Times New Roman" w:hAnsiTheme="minorHAnsi" w:cstheme="minorHAnsi"/>
                <w:sz w:val="20"/>
                <w:szCs w:val="20"/>
              </w:rPr>
              <w:t>nisation Programm</w:t>
            </w:r>
            <w:r w:rsidR="00947AB0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="002E7662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</w:p>
          <w:p w14:paraId="36E7C60A" w14:textId="1286C55B" w:rsidR="00644F7A" w:rsidRDefault="00644F7A" w:rsidP="00A476C8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tbl>
            <w:tblPr>
              <w:tblW w:w="9696" w:type="dxa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1275"/>
              <w:gridCol w:w="1134"/>
              <w:gridCol w:w="2977"/>
              <w:gridCol w:w="2410"/>
              <w:gridCol w:w="1129"/>
            </w:tblGrid>
            <w:tr w:rsidR="00EA552C" w:rsidRPr="00C25F07" w14:paraId="5AA3FF51" w14:textId="77777777" w:rsidTr="00A611B9">
              <w:trPr>
                <w:trHeight w:val="290"/>
              </w:trPr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472C4"/>
                  <w:noWrap/>
                  <w:hideMark/>
                </w:tcPr>
                <w:p w14:paraId="4DF87016" w14:textId="77777777" w:rsidR="00EA552C" w:rsidRPr="00C25F07" w:rsidRDefault="00EA552C" w:rsidP="00EA552C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color w:val="FFFFFF"/>
                      <w:sz w:val="20"/>
                    </w:rPr>
                  </w:pPr>
                  <w:r w:rsidRPr="00C25F07">
                    <w:rPr>
                      <w:rFonts w:eastAsia="Times New Roman" w:cs="Arial"/>
                      <w:b/>
                      <w:color w:val="FFFFFF"/>
                      <w:sz w:val="20"/>
                    </w:rPr>
                    <w:t>XRN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472C4"/>
                  <w:noWrap/>
                  <w:hideMark/>
                </w:tcPr>
                <w:p w14:paraId="4EF0E33E" w14:textId="77777777" w:rsidR="00EA552C" w:rsidRPr="00C25F07" w:rsidRDefault="00EA552C" w:rsidP="00EA552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C25F07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Title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472C4"/>
                  <w:noWrap/>
                  <w:hideMark/>
                </w:tcPr>
                <w:p w14:paraId="0A4AA6E8" w14:textId="77777777" w:rsidR="00EA552C" w:rsidRPr="00C25F07" w:rsidRDefault="00EA552C" w:rsidP="00EA552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C25F07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Type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472C4"/>
                  <w:noWrap/>
                  <w:hideMark/>
                </w:tcPr>
                <w:p w14:paraId="6CF1BC8A" w14:textId="77777777" w:rsidR="00EA552C" w:rsidRPr="00C25F07" w:rsidRDefault="00EA552C" w:rsidP="00EA552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C25F07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Description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472C4"/>
                  <w:noWrap/>
                  <w:hideMark/>
                </w:tcPr>
                <w:p w14:paraId="10DAE50F" w14:textId="77777777" w:rsidR="00EA552C" w:rsidRPr="00C25F07" w:rsidRDefault="00EA552C" w:rsidP="00EA552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C25F07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Link to Change Proposal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472C4"/>
                </w:tcPr>
                <w:p w14:paraId="38922BB8" w14:textId="77777777" w:rsidR="00EA552C" w:rsidRPr="00C25F07" w:rsidRDefault="00EA552C" w:rsidP="00EA552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C25F07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Impacts</w:t>
                  </w:r>
                </w:p>
              </w:tc>
            </w:tr>
            <w:tr w:rsidR="00EA552C" w:rsidRPr="00C25F07" w14:paraId="2BF4B243" w14:textId="77777777" w:rsidTr="00A611B9">
              <w:trPr>
                <w:trHeight w:val="2000"/>
              </w:trPr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1F2"/>
                </w:tcPr>
                <w:p w14:paraId="6086BF95" w14:textId="77777777" w:rsidR="00EA552C" w:rsidRPr="0080149E" w:rsidRDefault="00EA552C" w:rsidP="00EA552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4900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1F2"/>
                </w:tcPr>
                <w:p w14:paraId="2C70AC51" w14:textId="77777777" w:rsidR="00EA552C" w:rsidRPr="00FD5C20" w:rsidRDefault="00EA552C" w:rsidP="00EA552C">
                  <w:pPr>
                    <w:pStyle w:val="Heading1"/>
                    <w:spacing w:before="0"/>
                    <w:textAlignment w:val="baseline"/>
                    <w:rPr>
                      <w:rFonts w:asciiTheme="minorHAnsi" w:eastAsia="Times New Roman" w:hAnsiTheme="minorHAnsi" w:cstheme="minorHAnsi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D5C20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18"/>
                      <w:szCs w:val="18"/>
                    </w:rPr>
                    <w:t>Biomethane Sites with Reduced Propane Injection</w:t>
                  </w:r>
                </w:p>
                <w:p w14:paraId="798F7C8F" w14:textId="77777777" w:rsidR="00EA552C" w:rsidRPr="0080149E" w:rsidRDefault="00EA552C" w:rsidP="00EA552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1F2"/>
                </w:tcPr>
                <w:p w14:paraId="10AA71B0" w14:textId="77777777" w:rsidR="00EA552C" w:rsidRPr="0080149E" w:rsidRDefault="00EA552C" w:rsidP="00EA552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Non - </w:t>
                  </w:r>
                  <w:r w:rsidRPr="0080149E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Regulatory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1F2"/>
                </w:tcPr>
                <w:p w14:paraId="75D82A9A" w14:textId="77777777" w:rsidR="00EA552C" w:rsidRPr="0080149E" w:rsidRDefault="00EA552C" w:rsidP="00EA552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C111BF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Supports the Decarbonisation Programme by removing carbon intensive propane from biomethane</w:t>
                  </w:r>
                  <w:r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by </w:t>
                  </w:r>
                  <w:r w:rsidRPr="005C446F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 facilitating</w:t>
                  </w:r>
                  <w:proofErr w:type="gramEnd"/>
                  <w:r w:rsidRPr="005C446F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 the correct energy balancing / billing and transportation charging (use of a site-specific CV and energy adjustments)</w:t>
                  </w:r>
                  <w:r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 for Class 1 and 2.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1F2"/>
                </w:tcPr>
                <w:p w14:paraId="00E74298" w14:textId="153A38AD" w:rsidR="00EA552C" w:rsidRDefault="00717368" w:rsidP="00EA552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hyperlink r:id="rId14" w:history="1">
                    <w:r w:rsidR="00EA552C" w:rsidRPr="003D43AC">
                      <w:rPr>
                        <w:rStyle w:val="Hyperlink"/>
                        <w:rFonts w:asciiTheme="minorHAnsi" w:eastAsia="Times New Roman" w:hAnsiTheme="minorHAnsi" w:cstheme="minorHAnsi"/>
                        <w:sz w:val="18"/>
                        <w:szCs w:val="18"/>
                      </w:rPr>
                      <w:t>https://www.xoserve.com/change/change-proposals/xrn-4900-biomethane-sites-with-reduced-propane-injection/</w:t>
                    </w:r>
                  </w:hyperlink>
                </w:p>
                <w:p w14:paraId="42F28361" w14:textId="77777777" w:rsidR="00EA552C" w:rsidRPr="0080149E" w:rsidRDefault="00EA552C" w:rsidP="00EA552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1F2"/>
                </w:tcPr>
                <w:p w14:paraId="6CA708FD" w14:textId="77777777" w:rsidR="00EA552C" w:rsidRDefault="00EA552C" w:rsidP="00EA552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Shippers</w:t>
                  </w:r>
                  <w:r w:rsidRPr="00676453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5F10B4AA" w14:textId="77777777" w:rsidR="00EA552C" w:rsidRDefault="00EA552C" w:rsidP="00EA552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14:paraId="1EEFC72F" w14:textId="77777777" w:rsidR="00EA552C" w:rsidRDefault="00EA552C" w:rsidP="00EA552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676453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Distribution Networks</w:t>
                  </w:r>
                </w:p>
                <w:p w14:paraId="6FB91F5A" w14:textId="77777777" w:rsidR="00EA552C" w:rsidRPr="0080149E" w:rsidRDefault="00EA552C" w:rsidP="00EA552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A552C" w:rsidRPr="00C25F07" w14:paraId="66E45D57" w14:textId="77777777" w:rsidTr="00A611B9">
              <w:trPr>
                <w:trHeight w:val="969"/>
              </w:trPr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6783D6" w14:textId="77777777" w:rsidR="00EA552C" w:rsidRPr="0023324C" w:rsidRDefault="00EA552C" w:rsidP="00EA552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5298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F399E3B" w14:textId="77777777" w:rsidR="00EA552C" w:rsidRPr="0080149E" w:rsidRDefault="00EA552C" w:rsidP="00EA552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0F6542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H100 Fife Project - Phase 1 (Initial Assessment)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0781014" w14:textId="77777777" w:rsidR="00EA552C" w:rsidRPr="0080149E" w:rsidRDefault="00EA552C" w:rsidP="00EA552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80149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Regulatory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0DB684" w14:textId="77777777" w:rsidR="00EA552C" w:rsidRPr="0080149E" w:rsidRDefault="00EA552C" w:rsidP="00EA552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Supporting SGN Trial for 100% Hydrogen by providing reporting on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consurmers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 taking part in the trial.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1FCB7B" w14:textId="77777777" w:rsidR="00EA552C" w:rsidRDefault="00EA552C" w:rsidP="00EA552C">
                  <w:pPr>
                    <w:spacing w:after="0" w:line="240" w:lineRule="auto"/>
                    <w:jc w:val="center"/>
                    <w:rPr>
                      <w:rStyle w:val="Hyperlink"/>
                      <w:rFonts w:asciiTheme="minorHAnsi" w:eastAsia="Times New Roman" w:hAnsiTheme="minorHAnsi" w:cstheme="minorHAnsi"/>
                      <w:sz w:val="18"/>
                      <w:szCs w:val="18"/>
                    </w:rPr>
                  </w:pPr>
                  <w:r w:rsidRPr="00533EC4">
                    <w:rPr>
                      <w:rStyle w:val="Hyperlink"/>
                      <w:rFonts w:asciiTheme="minorHAnsi" w:eastAsia="Times New Roman" w:hAnsiTheme="minorHAnsi" w:cstheme="minorHAnsi"/>
                      <w:sz w:val="18"/>
                      <w:szCs w:val="18"/>
                    </w:rPr>
                    <w:t>https://www.xoserve.com/change/change-proposals/xrn-5298-h100-fife-project-phase-1-initial-assessment/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E0C3F" w14:textId="77777777" w:rsidR="00EA552C" w:rsidRDefault="00EA552C" w:rsidP="00EA552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Shippers</w:t>
                  </w:r>
                  <w:r w:rsidRPr="00676453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3FB88934" w14:textId="77777777" w:rsidR="00EA552C" w:rsidRDefault="00EA552C" w:rsidP="00EA552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14:paraId="25747233" w14:textId="77777777" w:rsidR="00EA552C" w:rsidRDefault="00EA552C" w:rsidP="00EA552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676453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Distribution Networks</w:t>
                  </w:r>
                </w:p>
                <w:p w14:paraId="7F4DCDFD" w14:textId="77777777" w:rsidR="00EA552C" w:rsidRPr="0080149E" w:rsidRDefault="00EA552C" w:rsidP="00EA552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41A7CE2" w14:textId="32B1E42F" w:rsidR="00947AB0" w:rsidRDefault="00947AB0" w:rsidP="00EA552C">
            <w:pPr>
              <w:rPr>
                <w:rFonts w:asciiTheme="minorHAnsi" w:hAnsiTheme="minorHAnsi" w:cstheme="minorHAnsi"/>
                <w:szCs w:val="20"/>
              </w:rPr>
            </w:pPr>
          </w:p>
          <w:p w14:paraId="4F5A86F4" w14:textId="748EB1B5" w:rsidR="00CC755B" w:rsidRDefault="00EA5547" w:rsidP="00AD77B9">
            <w:pPr>
              <w:rPr>
                <w:b/>
                <w:szCs w:val="20"/>
              </w:rPr>
            </w:pPr>
            <w:r w:rsidRPr="00EA5547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</w:rPr>
              <w:t>NOTE: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947AB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Because these changes are funded from </w:t>
            </w:r>
            <w:proofErr w:type="spellStart"/>
            <w:r w:rsidR="00947AB0">
              <w:rPr>
                <w:rFonts w:asciiTheme="minorHAnsi" w:eastAsia="Times New Roman" w:hAnsiTheme="minorHAnsi" w:cstheme="minorHAnsi"/>
                <w:sz w:val="20"/>
                <w:szCs w:val="20"/>
              </w:rPr>
              <w:t>Decarbnisation</w:t>
            </w:r>
            <w:proofErr w:type="spellEnd"/>
            <w:r w:rsidR="00947AB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Programme,</w:t>
            </w:r>
            <w:r w:rsidR="000807E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no costs</w:t>
            </w:r>
            <w:r w:rsidR="00947AB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for them</w:t>
            </w:r>
            <w:r w:rsidR="000807E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are </w:t>
            </w:r>
            <w:r w:rsidR="00635B86">
              <w:rPr>
                <w:rFonts w:asciiTheme="minorHAnsi" w:eastAsia="Times New Roman" w:hAnsiTheme="minorHAnsi" w:cstheme="minorHAnsi"/>
                <w:sz w:val="20"/>
                <w:szCs w:val="20"/>
              </w:rPr>
              <w:t>reflected</w:t>
            </w:r>
            <w:r w:rsidR="00E460E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0807EF">
              <w:rPr>
                <w:rFonts w:asciiTheme="minorHAnsi" w:eastAsia="Times New Roman" w:hAnsiTheme="minorHAnsi" w:cstheme="minorHAnsi"/>
                <w:sz w:val="20"/>
                <w:szCs w:val="20"/>
              </w:rPr>
              <w:t>in Section 3</w:t>
            </w:r>
            <w:r w:rsidR="00644F7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947AB0">
              <w:rPr>
                <w:rFonts w:asciiTheme="minorHAnsi" w:eastAsia="Times New Roman" w:hAnsiTheme="minorHAnsi" w:cstheme="minorHAnsi"/>
                <w:sz w:val="20"/>
                <w:szCs w:val="20"/>
              </w:rPr>
              <w:t>of this BER</w:t>
            </w:r>
            <w:r w:rsidR="00E460E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or in the total cost for approval above.</w:t>
            </w:r>
            <w:r w:rsidR="00A8357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The details are shown in this section only for information and transparency of the full scope for the release.</w:t>
            </w:r>
          </w:p>
          <w:p w14:paraId="05BA6E36" w14:textId="69752D5F" w:rsidR="00CC755B" w:rsidRPr="00907531" w:rsidRDefault="00CC755B" w:rsidP="00907531">
            <w:pPr>
              <w:pStyle w:val="ListParagraph"/>
              <w:spacing w:after="60" w:line="276" w:lineRule="auto"/>
              <w:ind w:left="1080"/>
              <w:rPr>
                <w:b/>
                <w:szCs w:val="20"/>
              </w:rPr>
            </w:pPr>
          </w:p>
        </w:tc>
      </w:tr>
      <w:tr w:rsidR="002B2E87" w:rsidRPr="002B2E87" w14:paraId="356D084F" w14:textId="77777777" w:rsidTr="7867B4B0">
        <w:trPr>
          <w:trHeight w:val="85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3E5AA8" w:themeFill="accent1"/>
            <w:vAlign w:val="center"/>
          </w:tcPr>
          <w:p w14:paraId="3B25D51A" w14:textId="77777777" w:rsidR="002B2E87" w:rsidRPr="002B2E87" w:rsidRDefault="002B2E87" w:rsidP="002B2E87">
            <w:pPr>
              <w:jc w:val="center"/>
              <w:rPr>
                <w:rFonts w:eastAsia="Times New Roman" w:cs="Arial"/>
                <w:b/>
                <w:color w:val="FF0000"/>
              </w:rPr>
            </w:pPr>
            <w:r w:rsidRPr="002B2E87">
              <w:rPr>
                <w:rFonts w:eastAsia="Times New Roman" w:cs="Arial"/>
                <w:b/>
                <w:color w:val="FFFFFF"/>
                <w:sz w:val="20"/>
              </w:rPr>
              <w:lastRenderedPageBreak/>
              <w:t>Section 2: Out of Scope</w:t>
            </w:r>
          </w:p>
        </w:tc>
      </w:tr>
      <w:tr w:rsidR="002B2E87" w:rsidRPr="002B2E87" w14:paraId="04CB6E2F" w14:textId="77777777" w:rsidTr="7867B4B0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5EDBD36" w14:textId="77777777" w:rsidR="00C6529A" w:rsidRDefault="00C6529A" w:rsidP="00C6529A">
            <w:pPr>
              <w:pStyle w:val="ListParagraph"/>
              <w:spacing w:after="0" w:line="240" w:lineRule="auto"/>
              <w:rPr>
                <w:rFonts w:cs="Arial"/>
                <w:szCs w:val="20"/>
              </w:rPr>
            </w:pPr>
          </w:p>
          <w:p w14:paraId="6B14F14C" w14:textId="08F8AE3E" w:rsidR="00C6529A" w:rsidRPr="00C6529A" w:rsidRDefault="00BA0DBB" w:rsidP="00C652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Cs w:val="20"/>
              </w:rPr>
            </w:pPr>
            <w:r w:rsidRPr="00E37B03">
              <w:rPr>
                <w:rFonts w:cs="Arial"/>
                <w:szCs w:val="20"/>
              </w:rPr>
              <w:t>Any additional changes</w:t>
            </w:r>
          </w:p>
          <w:p w14:paraId="642536F6" w14:textId="77777777" w:rsidR="00F8594D" w:rsidRDefault="00BA0DBB" w:rsidP="00835E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1C6875B6">
              <w:rPr>
                <w:rFonts w:cs="Arial"/>
              </w:rPr>
              <w:t>Market Trials</w:t>
            </w:r>
          </w:p>
          <w:p w14:paraId="32E48B94" w14:textId="3FF63A3E" w:rsidR="00835E78" w:rsidRPr="00094AA2" w:rsidRDefault="00835E78" w:rsidP="00835E78">
            <w:pPr>
              <w:pStyle w:val="ListParagraph"/>
              <w:spacing w:after="0" w:line="240" w:lineRule="auto"/>
              <w:rPr>
                <w:rFonts w:cs="Arial"/>
              </w:rPr>
            </w:pPr>
          </w:p>
        </w:tc>
      </w:tr>
      <w:tr w:rsidR="002B2E87" w:rsidRPr="002B2E87" w14:paraId="62FBD337" w14:textId="77777777" w:rsidTr="7867B4B0">
        <w:tc>
          <w:tcPr>
            <w:tcW w:w="5000" w:type="pct"/>
            <w:gridSpan w:val="2"/>
            <w:shd w:val="clear" w:color="auto" w:fill="3E5AA8" w:themeFill="accent1"/>
            <w:vAlign w:val="center"/>
          </w:tcPr>
          <w:p w14:paraId="0B4EA425" w14:textId="77777777" w:rsidR="002B2E87" w:rsidRPr="002B2E87" w:rsidRDefault="002B2E87" w:rsidP="002B2E87">
            <w:pPr>
              <w:jc w:val="center"/>
              <w:rPr>
                <w:rFonts w:eastAsia="Times New Roman" w:cs="Arial"/>
                <w:b/>
                <w:szCs w:val="16"/>
              </w:rPr>
            </w:pPr>
            <w:r w:rsidRPr="002B2E87">
              <w:rPr>
                <w:rFonts w:eastAsia="Times New Roman" w:cs="Arial"/>
                <w:b/>
                <w:color w:val="FFFFFF"/>
                <w:sz w:val="20"/>
                <w:szCs w:val="16"/>
              </w:rPr>
              <w:t>Section 3: Funding required to deliver the change</w:t>
            </w:r>
          </w:p>
        </w:tc>
      </w:tr>
      <w:tr w:rsidR="002B2E87" w:rsidRPr="002B2E87" w14:paraId="6FD24823" w14:textId="77777777" w:rsidTr="003D486E">
        <w:tc>
          <w:tcPr>
            <w:tcW w:w="5000" w:type="pct"/>
            <w:gridSpan w:val="2"/>
            <w:shd w:val="clear" w:color="auto" w:fill="auto"/>
          </w:tcPr>
          <w:p w14:paraId="027E8238" w14:textId="77777777" w:rsidR="00A22702" w:rsidRDefault="00A22702" w:rsidP="00607F85">
            <w:pPr>
              <w:rPr>
                <w:noProof/>
              </w:rPr>
            </w:pPr>
          </w:p>
          <w:p w14:paraId="0120E211" w14:textId="77777777" w:rsidR="00D347FB" w:rsidRDefault="000D252F" w:rsidP="000D252F">
            <w:pPr>
              <w:rPr>
                <w:rFonts w:eastAsia="Times New Roman" w:cs="Arial"/>
                <w:sz w:val="20"/>
                <w:szCs w:val="20"/>
              </w:rPr>
            </w:pPr>
            <w:r w:rsidRPr="6182FE2B">
              <w:rPr>
                <w:rFonts w:eastAsia="Times New Roman" w:cs="Arial"/>
                <w:sz w:val="20"/>
                <w:szCs w:val="20"/>
              </w:rPr>
              <w:t>The following section outlines the proposed costs for XRN</w:t>
            </w:r>
            <w:r w:rsidR="00C90A8A">
              <w:rPr>
                <w:rFonts w:eastAsia="Times New Roman" w:cs="Arial"/>
                <w:sz w:val="20"/>
                <w:szCs w:val="20"/>
              </w:rPr>
              <w:t>55</w:t>
            </w:r>
            <w:r w:rsidR="00944770">
              <w:rPr>
                <w:rFonts w:eastAsia="Times New Roman" w:cs="Arial"/>
                <w:sz w:val="20"/>
                <w:szCs w:val="20"/>
              </w:rPr>
              <w:t>33</w:t>
            </w:r>
            <w:r w:rsidRPr="6182FE2B">
              <w:rPr>
                <w:rFonts w:eastAsia="Times New Roman" w:cs="Arial"/>
                <w:sz w:val="20"/>
                <w:szCs w:val="20"/>
              </w:rPr>
              <w:t>, including the previously agreed EQR for Design.</w:t>
            </w:r>
          </w:p>
          <w:p w14:paraId="785F483D" w14:textId="77777777" w:rsidR="00D347FB" w:rsidRDefault="00D347FB" w:rsidP="000D252F">
            <w:pPr>
              <w:rPr>
                <w:rFonts w:eastAsia="Times New Roman" w:cs="Arial"/>
                <w:sz w:val="20"/>
                <w:szCs w:val="20"/>
              </w:rPr>
            </w:pPr>
          </w:p>
          <w:p w14:paraId="242C1446" w14:textId="320941C7" w:rsidR="000D252F" w:rsidRPr="00E37B03" w:rsidRDefault="00D347FB" w:rsidP="000D252F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The BER </w:t>
            </w:r>
            <w:r w:rsidR="00095B8A">
              <w:rPr>
                <w:rFonts w:eastAsia="Times New Roman" w:cs="Arial"/>
                <w:sz w:val="20"/>
                <w:szCs w:val="20"/>
              </w:rPr>
              <w:t>c</w:t>
            </w:r>
            <w:r w:rsidR="000D252F" w:rsidRPr="6182FE2B">
              <w:rPr>
                <w:rFonts w:eastAsia="Times New Roman" w:cs="Arial"/>
                <w:sz w:val="20"/>
                <w:szCs w:val="20"/>
              </w:rPr>
              <w:t>osts</w:t>
            </w:r>
            <w:r w:rsidR="00896A0D">
              <w:rPr>
                <w:rFonts w:eastAsia="Times New Roman" w:cs="Arial"/>
                <w:sz w:val="20"/>
                <w:szCs w:val="20"/>
              </w:rPr>
              <w:t xml:space="preserve"> for approval are</w:t>
            </w:r>
            <w:r w:rsidR="000D252F" w:rsidRPr="6182FE2B">
              <w:rPr>
                <w:rFonts w:eastAsia="Times New Roman" w:cs="Arial"/>
                <w:sz w:val="20"/>
                <w:szCs w:val="20"/>
              </w:rPr>
              <w:t xml:space="preserve"> highlighted in amber</w:t>
            </w:r>
            <w:r w:rsidR="004817E2">
              <w:rPr>
                <w:rFonts w:eastAsia="Times New Roman" w:cs="Arial"/>
                <w:sz w:val="20"/>
                <w:szCs w:val="20"/>
              </w:rPr>
              <w:t xml:space="preserve">, </w:t>
            </w:r>
            <w:r w:rsidR="00EF4182">
              <w:rPr>
                <w:rFonts w:eastAsia="Times New Roman" w:cs="Arial"/>
                <w:sz w:val="20"/>
                <w:szCs w:val="20"/>
              </w:rPr>
              <w:t>the total for which is £4</w:t>
            </w:r>
            <w:r w:rsidR="001D0FA0">
              <w:rPr>
                <w:rFonts w:eastAsia="Times New Roman" w:cs="Arial"/>
                <w:sz w:val="20"/>
                <w:szCs w:val="20"/>
              </w:rPr>
              <w:t>09</w:t>
            </w:r>
            <w:r w:rsidR="00EF4182">
              <w:rPr>
                <w:rFonts w:eastAsia="Times New Roman" w:cs="Arial"/>
                <w:sz w:val="20"/>
                <w:szCs w:val="20"/>
              </w:rPr>
              <w:t>,</w:t>
            </w:r>
            <w:r w:rsidR="001D0FA0">
              <w:rPr>
                <w:rFonts w:eastAsia="Times New Roman" w:cs="Arial"/>
                <w:sz w:val="20"/>
                <w:szCs w:val="20"/>
              </w:rPr>
              <w:t>359</w:t>
            </w:r>
            <w:r w:rsidR="00EF4182">
              <w:rPr>
                <w:rFonts w:eastAsia="Times New Roman" w:cs="Arial"/>
                <w:sz w:val="20"/>
                <w:szCs w:val="20"/>
              </w:rPr>
              <w:t>.</w:t>
            </w:r>
          </w:p>
          <w:p w14:paraId="135DBCEA" w14:textId="77777777" w:rsidR="00D92BA2" w:rsidRPr="002C58D6" w:rsidRDefault="00D92BA2" w:rsidP="000D252F">
            <w:pPr>
              <w:rPr>
                <w:rFonts w:eastAsia="Times New Roman" w:cs="Arial"/>
                <w:b/>
                <w:sz w:val="18"/>
                <w:szCs w:val="18"/>
              </w:rPr>
            </w:pPr>
          </w:p>
          <w:p w14:paraId="43CD9AEA" w14:textId="6E27AA0F" w:rsidR="000D252F" w:rsidRDefault="000D252F" w:rsidP="1D2FE75F">
            <w:pPr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1D2FE75F">
              <w:rPr>
                <w:rFonts w:cs="Arial"/>
                <w:b/>
                <w:bCs/>
                <w:sz w:val="18"/>
                <w:szCs w:val="18"/>
                <w:u w:val="single"/>
              </w:rPr>
              <w:t xml:space="preserve">BER Costs </w:t>
            </w:r>
          </w:p>
          <w:p w14:paraId="3B5B0965" w14:textId="2E843026" w:rsidR="006E43D9" w:rsidRDefault="006E43D9" w:rsidP="00607F85">
            <w:pPr>
              <w:rPr>
                <w:rFonts w:cs="Arial"/>
                <w:b/>
                <w:bCs/>
                <w:sz w:val="18"/>
                <w:szCs w:val="18"/>
                <w:u w:val="single"/>
              </w:rPr>
            </w:pPr>
          </w:p>
          <w:tbl>
            <w:tblPr>
              <w:tblW w:w="97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53"/>
              <w:gridCol w:w="501"/>
              <w:gridCol w:w="573"/>
              <w:gridCol w:w="573"/>
              <w:gridCol w:w="771"/>
              <w:gridCol w:w="360"/>
              <w:gridCol w:w="501"/>
              <w:gridCol w:w="553"/>
              <w:gridCol w:w="501"/>
              <w:gridCol w:w="723"/>
              <w:gridCol w:w="500"/>
              <w:gridCol w:w="360"/>
              <w:gridCol w:w="360"/>
              <w:gridCol w:w="360"/>
              <w:gridCol w:w="564"/>
              <w:gridCol w:w="360"/>
              <w:gridCol w:w="360"/>
              <w:gridCol w:w="360"/>
              <w:gridCol w:w="553"/>
            </w:tblGrid>
            <w:tr w:rsidR="00A62080" w:rsidRPr="002468DD" w14:paraId="2A986E1A" w14:textId="77777777" w:rsidTr="00A62080">
              <w:trPr>
                <w:trHeight w:val="375"/>
              </w:trPr>
              <w:tc>
                <w:tcPr>
                  <w:tcW w:w="371" w:type="dxa"/>
                  <w:shd w:val="clear" w:color="000000" w:fill="666699"/>
                  <w:noWrap/>
                  <w:vAlign w:val="center"/>
                  <w:hideMark/>
                </w:tcPr>
                <w:p w14:paraId="1CFC8802" w14:textId="77777777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  <w:t>XRN</w:t>
                  </w:r>
                </w:p>
                <w:p w14:paraId="1EFA649C" w14:textId="77777777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  <w:t>Ref</w:t>
                  </w:r>
                </w:p>
              </w:tc>
              <w:tc>
                <w:tcPr>
                  <w:tcW w:w="553" w:type="dxa"/>
                  <w:shd w:val="clear" w:color="000000" w:fill="FFFF00"/>
                  <w:vAlign w:val="center"/>
                  <w:hideMark/>
                </w:tcPr>
                <w:p w14:paraId="06F26AC6" w14:textId="77777777" w:rsidR="005D55A3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b/>
                      <w:bCs/>
                      <w:sz w:val="12"/>
                      <w:szCs w:val="12"/>
                    </w:rPr>
                    <w:t>HLSO</w:t>
                  </w:r>
                </w:p>
                <w:p w14:paraId="1CF6E6F4" w14:textId="77777777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b/>
                      <w:bCs/>
                      <w:sz w:val="12"/>
                      <w:szCs w:val="12"/>
                    </w:rPr>
                    <w:t>£</w:t>
                  </w:r>
                </w:p>
              </w:tc>
              <w:tc>
                <w:tcPr>
                  <w:tcW w:w="501" w:type="dxa"/>
                  <w:shd w:val="clear" w:color="000000" w:fill="FFFF00"/>
                  <w:vAlign w:val="center"/>
                  <w:hideMark/>
                </w:tcPr>
                <w:p w14:paraId="4706DAE2" w14:textId="77777777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b/>
                      <w:bCs/>
                      <w:sz w:val="12"/>
                      <w:szCs w:val="12"/>
                    </w:rPr>
                    <w:t>Design</w:t>
                  </w:r>
                </w:p>
                <w:p w14:paraId="6D07EB70" w14:textId="77777777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b/>
                      <w:bCs/>
                      <w:sz w:val="12"/>
                      <w:szCs w:val="12"/>
                    </w:rPr>
                    <w:t>EQR</w:t>
                  </w:r>
                </w:p>
              </w:tc>
              <w:tc>
                <w:tcPr>
                  <w:tcW w:w="573" w:type="dxa"/>
                  <w:shd w:val="clear" w:color="000000" w:fill="666699"/>
                  <w:vAlign w:val="center"/>
                  <w:hideMark/>
                </w:tcPr>
                <w:p w14:paraId="63E011A2" w14:textId="77777777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  <w:t>Build</w:t>
                  </w:r>
                </w:p>
              </w:tc>
              <w:tc>
                <w:tcPr>
                  <w:tcW w:w="573" w:type="dxa"/>
                  <w:shd w:val="clear" w:color="000000" w:fill="666699"/>
                  <w:vAlign w:val="center"/>
                  <w:hideMark/>
                </w:tcPr>
                <w:p w14:paraId="26116E10" w14:textId="77777777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  <w:t>Test</w:t>
                  </w:r>
                </w:p>
              </w:tc>
              <w:tc>
                <w:tcPr>
                  <w:tcW w:w="771" w:type="dxa"/>
                  <w:shd w:val="clear" w:color="000000" w:fill="666699"/>
                  <w:vAlign w:val="center"/>
                  <w:hideMark/>
                </w:tcPr>
                <w:p w14:paraId="05B8191C" w14:textId="77777777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</w:pPr>
                  <w:proofErr w:type="spellStart"/>
                  <w:r w:rsidRPr="002468DD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  <w:t>Implement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  <w:t>’n</w:t>
                  </w:r>
                  <w:proofErr w:type="spellEnd"/>
                </w:p>
                <w:p w14:paraId="02A7EA9E" w14:textId="77777777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  <w:t>PIS</w:t>
                  </w:r>
                </w:p>
              </w:tc>
              <w:tc>
                <w:tcPr>
                  <w:tcW w:w="360" w:type="dxa"/>
                  <w:shd w:val="clear" w:color="000000" w:fill="666699"/>
                  <w:vAlign w:val="center"/>
                  <w:hideMark/>
                </w:tcPr>
                <w:p w14:paraId="7EE05FA6" w14:textId="77777777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  <w:t>MT</w:t>
                  </w:r>
                </w:p>
              </w:tc>
              <w:tc>
                <w:tcPr>
                  <w:tcW w:w="501" w:type="dxa"/>
                  <w:shd w:val="clear" w:color="000000" w:fill="666699"/>
                  <w:vAlign w:val="center"/>
                  <w:hideMark/>
                </w:tcPr>
                <w:p w14:paraId="00C2629D" w14:textId="77777777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  <w:t>1</w:t>
                  </w:r>
                  <w:r w:rsidRPr="002468DD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  <w:vertAlign w:val="superscript"/>
                    </w:rPr>
                    <w:t xml:space="preserve">st </w:t>
                  </w:r>
                  <w:r w:rsidRPr="002468DD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  <w:t>Year</w:t>
                  </w:r>
                </w:p>
                <w:p w14:paraId="3C4DDC74" w14:textId="77777777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  <w:t>MTB</w:t>
                  </w:r>
                </w:p>
              </w:tc>
              <w:tc>
                <w:tcPr>
                  <w:tcW w:w="553" w:type="dxa"/>
                  <w:shd w:val="clear" w:color="000000" w:fill="666699"/>
                  <w:vAlign w:val="center"/>
                  <w:hideMark/>
                </w:tcPr>
                <w:p w14:paraId="120F298F" w14:textId="77777777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  <w:t>Delivery</w:t>
                  </w:r>
                </w:p>
                <w:p w14:paraId="6ABA029A" w14:textId="77777777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  <w:t>Total</w:t>
                  </w:r>
                </w:p>
              </w:tc>
              <w:tc>
                <w:tcPr>
                  <w:tcW w:w="501" w:type="dxa"/>
                  <w:shd w:val="clear" w:color="000000" w:fill="666699"/>
                  <w:vAlign w:val="center"/>
                  <w:hideMark/>
                </w:tcPr>
                <w:p w14:paraId="7D02BBDD" w14:textId="77777777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  <w:t>Risk</w:t>
                  </w:r>
                </w:p>
                <w:p w14:paraId="6CEDF908" w14:textId="77777777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  <w:t>Margin</w:t>
                  </w:r>
                </w:p>
              </w:tc>
              <w:tc>
                <w:tcPr>
                  <w:tcW w:w="723" w:type="dxa"/>
                  <w:shd w:val="clear" w:color="000000" w:fill="FFCC00"/>
                  <w:vAlign w:val="center"/>
                  <w:hideMark/>
                </w:tcPr>
                <w:p w14:paraId="0077898B" w14:textId="77777777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b/>
                      <w:bCs/>
                      <w:sz w:val="12"/>
                      <w:szCs w:val="12"/>
                    </w:rPr>
                    <w:t>BER Total for</w:t>
                  </w:r>
                </w:p>
                <w:p w14:paraId="04E440B0" w14:textId="77777777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b/>
                      <w:bCs/>
                      <w:sz w:val="12"/>
                      <w:szCs w:val="12"/>
                    </w:rPr>
                    <w:t>Approval</w:t>
                  </w:r>
                </w:p>
              </w:tc>
              <w:tc>
                <w:tcPr>
                  <w:tcW w:w="500" w:type="dxa"/>
                  <w:shd w:val="clear" w:color="000000" w:fill="666699"/>
                  <w:vAlign w:val="center"/>
                  <w:hideMark/>
                </w:tcPr>
                <w:p w14:paraId="43925357" w14:textId="77777777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  <w:t>Shipper</w:t>
                  </w:r>
                </w:p>
                <w:p w14:paraId="5F9406CE" w14:textId="77777777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  <w:t>%</w:t>
                  </w:r>
                </w:p>
              </w:tc>
              <w:tc>
                <w:tcPr>
                  <w:tcW w:w="360" w:type="dxa"/>
                  <w:shd w:val="clear" w:color="000000" w:fill="666699"/>
                  <w:vAlign w:val="center"/>
                  <w:hideMark/>
                </w:tcPr>
                <w:p w14:paraId="4CD5F164" w14:textId="77777777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  <w:t>DN</w:t>
                  </w:r>
                </w:p>
                <w:p w14:paraId="469A5A07" w14:textId="77777777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  <w:t>%</w:t>
                  </w:r>
                </w:p>
              </w:tc>
              <w:tc>
                <w:tcPr>
                  <w:tcW w:w="360" w:type="dxa"/>
                  <w:shd w:val="clear" w:color="000000" w:fill="666699"/>
                  <w:vAlign w:val="center"/>
                  <w:hideMark/>
                </w:tcPr>
                <w:p w14:paraId="2A7C8A13" w14:textId="77777777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  <w:t>I</w:t>
                  </w:r>
                  <w:r w:rsidRPr="002468DD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  <w:t>GT</w:t>
                  </w:r>
                </w:p>
                <w:p w14:paraId="06C9B1FA" w14:textId="77777777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  <w:t>%</w:t>
                  </w:r>
                </w:p>
              </w:tc>
              <w:tc>
                <w:tcPr>
                  <w:tcW w:w="360" w:type="dxa"/>
                  <w:shd w:val="clear" w:color="000000" w:fill="666699"/>
                  <w:vAlign w:val="center"/>
                  <w:hideMark/>
                </w:tcPr>
                <w:p w14:paraId="02BD8AB5" w14:textId="77777777" w:rsidR="005D55A3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  <w:t>NT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  <w:t>S</w:t>
                  </w:r>
                </w:p>
                <w:p w14:paraId="3C7EEEC9" w14:textId="77777777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  <w:t>%</w:t>
                  </w:r>
                </w:p>
              </w:tc>
              <w:tc>
                <w:tcPr>
                  <w:tcW w:w="564" w:type="dxa"/>
                  <w:shd w:val="clear" w:color="000000" w:fill="FFCC00"/>
                  <w:vAlign w:val="center"/>
                  <w:hideMark/>
                </w:tcPr>
                <w:p w14:paraId="6C9B753A" w14:textId="77777777" w:rsidR="005D55A3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b/>
                      <w:bCs/>
                      <w:sz w:val="12"/>
                      <w:szCs w:val="12"/>
                    </w:rPr>
                    <w:t>Shipper</w:t>
                  </w:r>
                </w:p>
                <w:p w14:paraId="22ED2B9B" w14:textId="77777777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b/>
                      <w:bCs/>
                      <w:sz w:val="12"/>
                      <w:szCs w:val="12"/>
                    </w:rPr>
                    <w:t>£</w:t>
                  </w:r>
                </w:p>
              </w:tc>
              <w:tc>
                <w:tcPr>
                  <w:tcW w:w="360" w:type="dxa"/>
                  <w:shd w:val="clear" w:color="000000" w:fill="FFCC00"/>
                  <w:vAlign w:val="center"/>
                  <w:hideMark/>
                </w:tcPr>
                <w:p w14:paraId="7FAEA4C2" w14:textId="77777777" w:rsidR="005D55A3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b/>
                      <w:bCs/>
                      <w:sz w:val="12"/>
                      <w:szCs w:val="12"/>
                    </w:rPr>
                    <w:t>DN</w:t>
                  </w:r>
                </w:p>
                <w:p w14:paraId="69F3A34E" w14:textId="77777777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b/>
                      <w:bCs/>
                      <w:sz w:val="12"/>
                      <w:szCs w:val="12"/>
                    </w:rPr>
                    <w:t>£</w:t>
                  </w:r>
                </w:p>
              </w:tc>
              <w:tc>
                <w:tcPr>
                  <w:tcW w:w="360" w:type="dxa"/>
                  <w:shd w:val="clear" w:color="000000" w:fill="FFCC00"/>
                  <w:vAlign w:val="center"/>
                  <w:hideMark/>
                </w:tcPr>
                <w:p w14:paraId="42CCD8DA" w14:textId="77777777" w:rsidR="005D55A3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12"/>
                      <w:szCs w:val="12"/>
                    </w:rPr>
                    <w:t>I</w:t>
                  </w:r>
                  <w:r w:rsidRPr="002468DD">
                    <w:rPr>
                      <w:rFonts w:ascii="Calibri" w:eastAsia="Times New Roman" w:hAnsi="Calibri" w:cs="Calibri"/>
                      <w:b/>
                      <w:bCs/>
                      <w:sz w:val="12"/>
                      <w:szCs w:val="12"/>
                    </w:rPr>
                    <w:t xml:space="preserve">GT </w:t>
                  </w:r>
                </w:p>
                <w:p w14:paraId="47A80427" w14:textId="77777777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b/>
                      <w:bCs/>
                      <w:sz w:val="12"/>
                      <w:szCs w:val="12"/>
                    </w:rPr>
                    <w:t>£</w:t>
                  </w:r>
                </w:p>
              </w:tc>
              <w:tc>
                <w:tcPr>
                  <w:tcW w:w="360" w:type="dxa"/>
                  <w:shd w:val="clear" w:color="000000" w:fill="FFCC00"/>
                  <w:vAlign w:val="center"/>
                  <w:hideMark/>
                </w:tcPr>
                <w:p w14:paraId="13B427A9" w14:textId="77777777" w:rsidR="005D55A3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b/>
                      <w:bCs/>
                      <w:sz w:val="12"/>
                      <w:szCs w:val="12"/>
                    </w:rPr>
                    <w:t>NTS</w:t>
                  </w:r>
                </w:p>
                <w:p w14:paraId="0162298F" w14:textId="77777777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b/>
                      <w:bCs/>
                      <w:sz w:val="12"/>
                      <w:szCs w:val="12"/>
                    </w:rPr>
                    <w:t>£</w:t>
                  </w:r>
                </w:p>
              </w:tc>
              <w:tc>
                <w:tcPr>
                  <w:tcW w:w="553" w:type="dxa"/>
                  <w:shd w:val="clear" w:color="000000" w:fill="666699"/>
                  <w:vAlign w:val="center"/>
                  <w:hideMark/>
                </w:tcPr>
                <w:p w14:paraId="2DE0F80A" w14:textId="77777777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2"/>
                      <w:szCs w:val="12"/>
                    </w:rPr>
                    <w:t>Total</w:t>
                  </w:r>
                </w:p>
              </w:tc>
            </w:tr>
            <w:tr w:rsidR="005D55A3" w:rsidRPr="002468DD" w14:paraId="0966B6E1" w14:textId="77777777" w:rsidTr="00A62080">
              <w:trPr>
                <w:trHeight w:val="315"/>
              </w:trPr>
              <w:tc>
                <w:tcPr>
                  <w:tcW w:w="371" w:type="dxa"/>
                  <w:shd w:val="clear" w:color="auto" w:fill="auto"/>
                  <w:noWrap/>
                  <w:vAlign w:val="center"/>
                </w:tcPr>
                <w:p w14:paraId="34C4B1F3" w14:textId="77777777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4978</w:t>
                  </w:r>
                </w:p>
              </w:tc>
              <w:tc>
                <w:tcPr>
                  <w:tcW w:w="553" w:type="dxa"/>
                  <w:shd w:val="clear" w:color="000000" w:fill="FFFF00"/>
                  <w:noWrap/>
                  <w:vAlign w:val="center"/>
                </w:tcPr>
                <w:p w14:paraId="78EB98F1" w14:textId="77777777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£150,000</w:t>
                  </w:r>
                </w:p>
              </w:tc>
              <w:tc>
                <w:tcPr>
                  <w:tcW w:w="501" w:type="dxa"/>
                  <w:shd w:val="clear" w:color="000000" w:fill="FFFF00"/>
                  <w:noWrap/>
                  <w:vAlign w:val="center"/>
                </w:tcPr>
                <w:p w14:paraId="0157600F" w14:textId="77777777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£3,700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100CDD1E" w14:textId="4A117B3D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£1</w:t>
                  </w:r>
                  <w:r w:rsidR="00110FB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2,0</w:t>
                  </w:r>
                  <w:r w:rsidR="004A5384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</w:t>
                  </w:r>
                  <w:r w:rsidR="00AA235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588B8E2E" w14:textId="1B856CDD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£</w:t>
                  </w:r>
                  <w:r w:rsidR="004A5384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52,160</w:t>
                  </w:r>
                </w:p>
              </w:tc>
              <w:tc>
                <w:tcPr>
                  <w:tcW w:w="771" w:type="dxa"/>
                  <w:shd w:val="clear" w:color="auto" w:fill="auto"/>
                  <w:noWrap/>
                  <w:vAlign w:val="center"/>
                </w:tcPr>
                <w:p w14:paraId="7CDA6E96" w14:textId="6934AAEB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£</w:t>
                  </w:r>
                  <w:r w:rsidR="001916E5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20,553</w:t>
                  </w:r>
                </w:p>
              </w:tc>
              <w:tc>
                <w:tcPr>
                  <w:tcW w:w="360" w:type="dxa"/>
                  <w:shd w:val="clear" w:color="auto" w:fill="auto"/>
                  <w:noWrap/>
                  <w:vAlign w:val="center"/>
                </w:tcPr>
                <w:p w14:paraId="62D159FD" w14:textId="77777777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£0</w:t>
                  </w:r>
                </w:p>
              </w:tc>
              <w:tc>
                <w:tcPr>
                  <w:tcW w:w="501" w:type="dxa"/>
                  <w:shd w:val="clear" w:color="auto" w:fill="auto"/>
                  <w:noWrap/>
                  <w:vAlign w:val="center"/>
                </w:tcPr>
                <w:p w14:paraId="14763586" w14:textId="73A5C072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£</w:t>
                  </w:r>
                  <w:r w:rsidR="001916E5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53" w:type="dxa"/>
                  <w:shd w:val="clear" w:color="auto" w:fill="auto"/>
                  <w:noWrap/>
                  <w:vAlign w:val="center"/>
                </w:tcPr>
                <w:p w14:paraId="15F01DC3" w14:textId="61D26CBB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£</w:t>
                  </w:r>
                  <w:r w:rsidR="006A0B23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84,791</w:t>
                  </w:r>
                </w:p>
              </w:tc>
              <w:tc>
                <w:tcPr>
                  <w:tcW w:w="501" w:type="dxa"/>
                  <w:shd w:val="clear" w:color="auto" w:fill="auto"/>
                  <w:noWrap/>
                  <w:vAlign w:val="center"/>
                </w:tcPr>
                <w:p w14:paraId="37B291A4" w14:textId="09F1960A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sz w:val="12"/>
                      <w:szCs w:val="12"/>
                    </w:rPr>
                    <w:t>£</w:t>
                  </w:r>
                  <w:r w:rsidR="006A0B23">
                    <w:rPr>
                      <w:rFonts w:ascii="Calibri" w:eastAsia="Times New Roman" w:hAnsi="Calibri" w:cs="Calibri"/>
                      <w:sz w:val="12"/>
                      <w:szCs w:val="12"/>
                    </w:rPr>
                    <w:t>2,111</w:t>
                  </w:r>
                </w:p>
              </w:tc>
              <w:tc>
                <w:tcPr>
                  <w:tcW w:w="723" w:type="dxa"/>
                  <w:shd w:val="clear" w:color="000000" w:fill="FFCC00"/>
                  <w:noWrap/>
                  <w:vAlign w:val="center"/>
                </w:tcPr>
                <w:p w14:paraId="588A0536" w14:textId="013F1348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sz w:val="12"/>
                      <w:szCs w:val="12"/>
                    </w:rPr>
                    <w:t>£</w:t>
                  </w:r>
                  <w:r w:rsidR="00893298">
                    <w:rPr>
                      <w:rFonts w:ascii="Calibri" w:eastAsia="Times New Roman" w:hAnsi="Calibri" w:cs="Calibri"/>
                      <w:sz w:val="12"/>
                      <w:szCs w:val="12"/>
                    </w:rPr>
                    <w:t>86,902</w:t>
                  </w:r>
                </w:p>
              </w:tc>
              <w:tc>
                <w:tcPr>
                  <w:tcW w:w="500" w:type="dxa"/>
                  <w:shd w:val="clear" w:color="auto" w:fill="auto"/>
                  <w:noWrap/>
                  <w:vAlign w:val="center"/>
                </w:tcPr>
                <w:p w14:paraId="41F6D124" w14:textId="77777777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100%</w:t>
                  </w:r>
                </w:p>
              </w:tc>
              <w:tc>
                <w:tcPr>
                  <w:tcW w:w="360" w:type="dxa"/>
                  <w:shd w:val="clear" w:color="auto" w:fill="auto"/>
                  <w:noWrap/>
                  <w:vAlign w:val="center"/>
                </w:tcPr>
                <w:p w14:paraId="34C23AD4" w14:textId="77777777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0%</w:t>
                  </w:r>
                </w:p>
              </w:tc>
              <w:tc>
                <w:tcPr>
                  <w:tcW w:w="360" w:type="dxa"/>
                  <w:shd w:val="clear" w:color="auto" w:fill="auto"/>
                  <w:noWrap/>
                  <w:vAlign w:val="center"/>
                </w:tcPr>
                <w:p w14:paraId="1A57AE4F" w14:textId="77777777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0%</w:t>
                  </w:r>
                </w:p>
              </w:tc>
              <w:tc>
                <w:tcPr>
                  <w:tcW w:w="360" w:type="dxa"/>
                  <w:shd w:val="clear" w:color="auto" w:fill="auto"/>
                  <w:noWrap/>
                  <w:vAlign w:val="center"/>
                </w:tcPr>
                <w:p w14:paraId="30C6D7A1" w14:textId="77777777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0%</w:t>
                  </w:r>
                </w:p>
              </w:tc>
              <w:tc>
                <w:tcPr>
                  <w:tcW w:w="564" w:type="dxa"/>
                  <w:shd w:val="clear" w:color="000000" w:fill="FFCC00"/>
                  <w:noWrap/>
                  <w:vAlign w:val="center"/>
                </w:tcPr>
                <w:p w14:paraId="574B078A" w14:textId="68C419EC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sz w:val="12"/>
                      <w:szCs w:val="12"/>
                    </w:rPr>
                    <w:t>£</w:t>
                  </w:r>
                  <w:r w:rsidR="00617A3C">
                    <w:rPr>
                      <w:rFonts w:ascii="Calibri" w:eastAsia="Times New Roman" w:hAnsi="Calibri" w:cs="Calibri"/>
                      <w:sz w:val="12"/>
                      <w:szCs w:val="12"/>
                    </w:rPr>
                    <w:t>86,902</w:t>
                  </w:r>
                </w:p>
              </w:tc>
              <w:tc>
                <w:tcPr>
                  <w:tcW w:w="360" w:type="dxa"/>
                  <w:shd w:val="clear" w:color="000000" w:fill="FFCC00"/>
                  <w:noWrap/>
                  <w:vAlign w:val="center"/>
                </w:tcPr>
                <w:p w14:paraId="746D20FB" w14:textId="77777777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sz w:val="12"/>
                      <w:szCs w:val="12"/>
                    </w:rPr>
                    <w:t>£0</w:t>
                  </w:r>
                </w:p>
              </w:tc>
              <w:tc>
                <w:tcPr>
                  <w:tcW w:w="360" w:type="dxa"/>
                  <w:shd w:val="clear" w:color="000000" w:fill="FFCC00"/>
                  <w:noWrap/>
                  <w:vAlign w:val="center"/>
                </w:tcPr>
                <w:p w14:paraId="199733F3" w14:textId="77777777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sz w:val="12"/>
                      <w:szCs w:val="12"/>
                    </w:rPr>
                    <w:t>£0</w:t>
                  </w:r>
                </w:p>
              </w:tc>
              <w:tc>
                <w:tcPr>
                  <w:tcW w:w="360" w:type="dxa"/>
                  <w:shd w:val="clear" w:color="000000" w:fill="FFCC00"/>
                  <w:noWrap/>
                  <w:vAlign w:val="center"/>
                </w:tcPr>
                <w:p w14:paraId="58B0A101" w14:textId="77777777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sz w:val="12"/>
                      <w:szCs w:val="12"/>
                    </w:rPr>
                    <w:t>£0</w:t>
                  </w:r>
                </w:p>
              </w:tc>
              <w:tc>
                <w:tcPr>
                  <w:tcW w:w="553" w:type="dxa"/>
                  <w:shd w:val="clear" w:color="auto" w:fill="auto"/>
                  <w:noWrap/>
                  <w:vAlign w:val="center"/>
                </w:tcPr>
                <w:p w14:paraId="0B1D9841" w14:textId="4B01CFB0" w:rsidR="005D55A3" w:rsidRPr="002468DD" w:rsidRDefault="005D55A3" w:rsidP="005D55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£</w:t>
                  </w:r>
                  <w:r w:rsidR="0026663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90,602</w:t>
                  </w:r>
                </w:p>
              </w:tc>
            </w:tr>
            <w:tr w:rsidR="005B3BAA" w:rsidRPr="002468DD" w14:paraId="4F9AEFEE" w14:textId="77777777" w:rsidTr="00A62080">
              <w:trPr>
                <w:trHeight w:val="315"/>
              </w:trPr>
              <w:tc>
                <w:tcPr>
                  <w:tcW w:w="371" w:type="dxa"/>
                  <w:shd w:val="clear" w:color="auto" w:fill="auto"/>
                  <w:noWrap/>
                  <w:vAlign w:val="center"/>
                </w:tcPr>
                <w:p w14:paraId="4482913B" w14:textId="632CA963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4989B</w:t>
                  </w:r>
                </w:p>
              </w:tc>
              <w:tc>
                <w:tcPr>
                  <w:tcW w:w="553" w:type="dxa"/>
                  <w:shd w:val="clear" w:color="000000" w:fill="FFFF00"/>
                  <w:noWrap/>
                  <w:vAlign w:val="center"/>
                </w:tcPr>
                <w:p w14:paraId="600A66D0" w14:textId="48C5F278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n/a</w:t>
                  </w:r>
                </w:p>
              </w:tc>
              <w:tc>
                <w:tcPr>
                  <w:tcW w:w="501" w:type="dxa"/>
                  <w:shd w:val="clear" w:color="000000" w:fill="FFFF00"/>
                  <w:noWrap/>
                  <w:vAlign w:val="center"/>
                </w:tcPr>
                <w:p w14:paraId="0A17265D" w14:textId="5E7F716F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£0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3527675F" w14:textId="71B568A6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£</w:t>
                  </w:r>
                  <w:r w:rsidR="00365051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43B57A15" w14:textId="6C631867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£</w:t>
                  </w:r>
                  <w:r w:rsidR="0094734A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71" w:type="dxa"/>
                  <w:shd w:val="clear" w:color="auto" w:fill="auto"/>
                  <w:noWrap/>
                  <w:vAlign w:val="center"/>
                </w:tcPr>
                <w:p w14:paraId="241957EA" w14:textId="62A32736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£</w:t>
                  </w:r>
                  <w:r w:rsidR="0094734A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auto"/>
                  <w:noWrap/>
                  <w:vAlign w:val="center"/>
                </w:tcPr>
                <w:p w14:paraId="7B4E6F24" w14:textId="2AD27EBA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£0</w:t>
                  </w:r>
                </w:p>
              </w:tc>
              <w:tc>
                <w:tcPr>
                  <w:tcW w:w="501" w:type="dxa"/>
                  <w:shd w:val="clear" w:color="auto" w:fill="auto"/>
                  <w:noWrap/>
                  <w:vAlign w:val="center"/>
                </w:tcPr>
                <w:p w14:paraId="0B0AAEB1" w14:textId="03B392DA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£0</w:t>
                  </w:r>
                </w:p>
              </w:tc>
              <w:tc>
                <w:tcPr>
                  <w:tcW w:w="553" w:type="dxa"/>
                  <w:shd w:val="clear" w:color="auto" w:fill="auto"/>
                  <w:noWrap/>
                  <w:vAlign w:val="center"/>
                </w:tcPr>
                <w:p w14:paraId="33DC8475" w14:textId="32F13F8F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£</w:t>
                  </w:r>
                  <w:r w:rsidR="00F352BA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01" w:type="dxa"/>
                  <w:shd w:val="clear" w:color="auto" w:fill="auto"/>
                  <w:noWrap/>
                  <w:vAlign w:val="center"/>
                </w:tcPr>
                <w:p w14:paraId="2DD25346" w14:textId="41C509A4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sz w:val="12"/>
                      <w:szCs w:val="12"/>
                    </w:rPr>
                    <w:t>£0</w:t>
                  </w:r>
                </w:p>
              </w:tc>
              <w:tc>
                <w:tcPr>
                  <w:tcW w:w="723" w:type="dxa"/>
                  <w:shd w:val="clear" w:color="000000" w:fill="FFCC00"/>
                  <w:noWrap/>
                  <w:vAlign w:val="center"/>
                </w:tcPr>
                <w:p w14:paraId="78D164F1" w14:textId="21C374DA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sz w:val="12"/>
                      <w:szCs w:val="12"/>
                    </w:rPr>
                    <w:t>£</w:t>
                  </w:r>
                  <w:r w:rsidR="00F352BA">
                    <w:rPr>
                      <w:rFonts w:ascii="Calibri" w:eastAsia="Times New Roman" w:hAnsi="Calibri" w:cs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00" w:type="dxa"/>
                  <w:shd w:val="clear" w:color="auto" w:fill="auto"/>
                  <w:noWrap/>
                  <w:vAlign w:val="center"/>
                </w:tcPr>
                <w:p w14:paraId="141A5A74" w14:textId="010C36CA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100%</w:t>
                  </w:r>
                </w:p>
              </w:tc>
              <w:tc>
                <w:tcPr>
                  <w:tcW w:w="360" w:type="dxa"/>
                  <w:shd w:val="clear" w:color="auto" w:fill="auto"/>
                  <w:noWrap/>
                  <w:vAlign w:val="center"/>
                </w:tcPr>
                <w:p w14:paraId="520CD301" w14:textId="4C9E88B2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0%</w:t>
                  </w:r>
                </w:p>
              </w:tc>
              <w:tc>
                <w:tcPr>
                  <w:tcW w:w="360" w:type="dxa"/>
                  <w:shd w:val="clear" w:color="auto" w:fill="auto"/>
                  <w:noWrap/>
                  <w:vAlign w:val="center"/>
                </w:tcPr>
                <w:p w14:paraId="5107B669" w14:textId="78EF0009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0%</w:t>
                  </w:r>
                </w:p>
              </w:tc>
              <w:tc>
                <w:tcPr>
                  <w:tcW w:w="360" w:type="dxa"/>
                  <w:shd w:val="clear" w:color="auto" w:fill="auto"/>
                  <w:noWrap/>
                  <w:vAlign w:val="center"/>
                </w:tcPr>
                <w:p w14:paraId="2FEDCD50" w14:textId="03E149BE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0%</w:t>
                  </w:r>
                </w:p>
              </w:tc>
              <w:tc>
                <w:tcPr>
                  <w:tcW w:w="564" w:type="dxa"/>
                  <w:shd w:val="clear" w:color="000000" w:fill="FFCC00"/>
                  <w:noWrap/>
                  <w:vAlign w:val="center"/>
                </w:tcPr>
                <w:p w14:paraId="50EA3082" w14:textId="1AC5AA8D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sz w:val="12"/>
                      <w:szCs w:val="12"/>
                    </w:rPr>
                    <w:t>£</w:t>
                  </w:r>
                  <w:r w:rsidR="00F352BA">
                    <w:rPr>
                      <w:rFonts w:ascii="Calibri" w:eastAsia="Times New Roman" w:hAnsi="Calibri" w:cs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000000" w:fill="FFCC00"/>
                  <w:noWrap/>
                  <w:vAlign w:val="center"/>
                </w:tcPr>
                <w:p w14:paraId="4353B8C7" w14:textId="18A6AA4B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sz w:val="12"/>
                      <w:szCs w:val="12"/>
                    </w:rPr>
                    <w:t>£0</w:t>
                  </w:r>
                </w:p>
              </w:tc>
              <w:tc>
                <w:tcPr>
                  <w:tcW w:w="360" w:type="dxa"/>
                  <w:shd w:val="clear" w:color="000000" w:fill="FFCC00"/>
                  <w:noWrap/>
                  <w:vAlign w:val="center"/>
                </w:tcPr>
                <w:p w14:paraId="7DE4840E" w14:textId="4CDFC29B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sz w:val="12"/>
                      <w:szCs w:val="12"/>
                    </w:rPr>
                    <w:t>£0</w:t>
                  </w:r>
                </w:p>
              </w:tc>
              <w:tc>
                <w:tcPr>
                  <w:tcW w:w="360" w:type="dxa"/>
                  <w:shd w:val="clear" w:color="000000" w:fill="FFCC00"/>
                  <w:noWrap/>
                  <w:vAlign w:val="center"/>
                </w:tcPr>
                <w:p w14:paraId="42AAFE27" w14:textId="3F399976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sz w:val="12"/>
                      <w:szCs w:val="12"/>
                    </w:rPr>
                    <w:t>£0</w:t>
                  </w:r>
                </w:p>
              </w:tc>
              <w:tc>
                <w:tcPr>
                  <w:tcW w:w="553" w:type="dxa"/>
                  <w:shd w:val="clear" w:color="auto" w:fill="auto"/>
                  <w:noWrap/>
                  <w:vAlign w:val="center"/>
                </w:tcPr>
                <w:p w14:paraId="34E4FBC1" w14:textId="24CCC7B9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£</w:t>
                  </w:r>
                  <w:r w:rsidR="001D0FA0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</w:t>
                  </w:r>
                </w:p>
              </w:tc>
            </w:tr>
            <w:tr w:rsidR="005B3BAA" w:rsidRPr="002468DD" w14:paraId="03286C05" w14:textId="77777777" w:rsidTr="00A62080">
              <w:trPr>
                <w:trHeight w:val="315"/>
              </w:trPr>
              <w:tc>
                <w:tcPr>
                  <w:tcW w:w="371" w:type="dxa"/>
                  <w:shd w:val="clear" w:color="auto" w:fill="auto"/>
                  <w:noWrap/>
                  <w:vAlign w:val="center"/>
                </w:tcPr>
                <w:p w14:paraId="459F6B4F" w14:textId="5B52C18E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4990</w:t>
                  </w:r>
                </w:p>
              </w:tc>
              <w:tc>
                <w:tcPr>
                  <w:tcW w:w="553" w:type="dxa"/>
                  <w:shd w:val="clear" w:color="000000" w:fill="FFFF00"/>
                  <w:noWrap/>
                  <w:vAlign w:val="center"/>
                </w:tcPr>
                <w:p w14:paraId="0FE487D3" w14:textId="4E9601F7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£150,000</w:t>
                  </w:r>
                </w:p>
              </w:tc>
              <w:tc>
                <w:tcPr>
                  <w:tcW w:w="501" w:type="dxa"/>
                  <w:shd w:val="clear" w:color="000000" w:fill="FFFF00"/>
                  <w:noWrap/>
                  <w:vAlign w:val="center"/>
                </w:tcPr>
                <w:p w14:paraId="4D3B6020" w14:textId="5AFABECA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£7,250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79E3877C" w14:textId="50D483C6" w:rsidR="005B3BAA" w:rsidRPr="002468DD" w:rsidRDefault="00DB598D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£87,187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28D1946A" w14:textId="1E4177EC" w:rsidR="005B3BAA" w:rsidRPr="002468DD" w:rsidRDefault="00DB598D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£106,28</w:t>
                  </w:r>
                  <w:r w:rsidR="002F2BA9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771" w:type="dxa"/>
                  <w:shd w:val="clear" w:color="auto" w:fill="auto"/>
                  <w:noWrap/>
                  <w:vAlign w:val="center"/>
                </w:tcPr>
                <w:p w14:paraId="0B375D6F" w14:textId="4431CC84" w:rsidR="005B3BAA" w:rsidRPr="002468DD" w:rsidRDefault="00DB598D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£</w:t>
                  </w:r>
                  <w:r w:rsidR="00D00C96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27,492</w:t>
                  </w:r>
                </w:p>
              </w:tc>
              <w:tc>
                <w:tcPr>
                  <w:tcW w:w="360" w:type="dxa"/>
                  <w:shd w:val="clear" w:color="auto" w:fill="auto"/>
                  <w:noWrap/>
                  <w:vAlign w:val="center"/>
                </w:tcPr>
                <w:p w14:paraId="66082445" w14:textId="0980F529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£0</w:t>
                  </w:r>
                </w:p>
              </w:tc>
              <w:tc>
                <w:tcPr>
                  <w:tcW w:w="501" w:type="dxa"/>
                  <w:shd w:val="clear" w:color="auto" w:fill="auto"/>
                  <w:noWrap/>
                  <w:vAlign w:val="center"/>
                </w:tcPr>
                <w:p w14:paraId="616446B4" w14:textId="2BAA3618" w:rsidR="005B3BAA" w:rsidRPr="002468DD" w:rsidRDefault="00DB598D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£</w:t>
                  </w:r>
                  <w:r w:rsidR="00691B44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53" w:type="dxa"/>
                  <w:shd w:val="clear" w:color="auto" w:fill="auto"/>
                  <w:noWrap/>
                  <w:vAlign w:val="center"/>
                </w:tcPr>
                <w:p w14:paraId="5EF946D9" w14:textId="4994AB54" w:rsidR="005B3BAA" w:rsidRPr="002468DD" w:rsidRDefault="00DB598D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£22</w:t>
                  </w:r>
                  <w:r w:rsidR="004324A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,967</w:t>
                  </w:r>
                </w:p>
              </w:tc>
              <w:tc>
                <w:tcPr>
                  <w:tcW w:w="501" w:type="dxa"/>
                  <w:shd w:val="clear" w:color="auto" w:fill="auto"/>
                  <w:noWrap/>
                  <w:vAlign w:val="center"/>
                </w:tcPr>
                <w:p w14:paraId="1C1FDC69" w14:textId="20F67FD0" w:rsidR="005B3BAA" w:rsidRPr="002468DD" w:rsidRDefault="00DB598D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sz w:val="12"/>
                      <w:szCs w:val="12"/>
                    </w:rPr>
                    <w:t>£3,</w:t>
                  </w:r>
                  <w:r w:rsidR="00370FBF">
                    <w:rPr>
                      <w:rFonts w:ascii="Calibri" w:eastAsia="Times New Roman" w:hAnsi="Calibri" w:cs="Calibri"/>
                      <w:sz w:val="12"/>
                      <w:szCs w:val="12"/>
                    </w:rPr>
                    <w:t>844</w:t>
                  </w:r>
                </w:p>
              </w:tc>
              <w:tc>
                <w:tcPr>
                  <w:tcW w:w="723" w:type="dxa"/>
                  <w:shd w:val="clear" w:color="000000" w:fill="FFCC00"/>
                  <w:noWrap/>
                  <w:vAlign w:val="center"/>
                </w:tcPr>
                <w:p w14:paraId="0D575900" w14:textId="0EE2BA5F" w:rsidR="005B3BAA" w:rsidRPr="002468DD" w:rsidRDefault="00370FBF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sz w:val="12"/>
                      <w:szCs w:val="12"/>
                    </w:rPr>
                    <w:t>£2</w:t>
                  </w:r>
                  <w:r w:rsidR="004324AF">
                    <w:rPr>
                      <w:rFonts w:ascii="Calibri" w:eastAsia="Times New Roman" w:hAnsi="Calibri" w:cs="Calibri"/>
                      <w:sz w:val="12"/>
                      <w:szCs w:val="12"/>
                    </w:rPr>
                    <w:t>24</w:t>
                  </w:r>
                  <w:r>
                    <w:rPr>
                      <w:rFonts w:ascii="Calibri" w:eastAsia="Times New Roman" w:hAnsi="Calibri" w:cs="Calibri"/>
                      <w:sz w:val="12"/>
                      <w:szCs w:val="12"/>
                    </w:rPr>
                    <w:t>,811</w:t>
                  </w:r>
                </w:p>
              </w:tc>
              <w:tc>
                <w:tcPr>
                  <w:tcW w:w="500" w:type="dxa"/>
                  <w:shd w:val="clear" w:color="auto" w:fill="auto"/>
                  <w:noWrap/>
                  <w:vAlign w:val="center"/>
                </w:tcPr>
                <w:p w14:paraId="6AFE18F5" w14:textId="3517C96F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100%</w:t>
                  </w:r>
                </w:p>
              </w:tc>
              <w:tc>
                <w:tcPr>
                  <w:tcW w:w="360" w:type="dxa"/>
                  <w:shd w:val="clear" w:color="auto" w:fill="auto"/>
                  <w:noWrap/>
                  <w:vAlign w:val="center"/>
                </w:tcPr>
                <w:p w14:paraId="3110658B" w14:textId="6C97721A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0%</w:t>
                  </w:r>
                </w:p>
              </w:tc>
              <w:tc>
                <w:tcPr>
                  <w:tcW w:w="360" w:type="dxa"/>
                  <w:shd w:val="clear" w:color="auto" w:fill="auto"/>
                  <w:noWrap/>
                  <w:vAlign w:val="center"/>
                </w:tcPr>
                <w:p w14:paraId="5D1446C2" w14:textId="090133EE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0%</w:t>
                  </w:r>
                </w:p>
              </w:tc>
              <w:tc>
                <w:tcPr>
                  <w:tcW w:w="360" w:type="dxa"/>
                  <w:shd w:val="clear" w:color="auto" w:fill="auto"/>
                  <w:noWrap/>
                  <w:vAlign w:val="center"/>
                </w:tcPr>
                <w:p w14:paraId="6DEB6255" w14:textId="0E31D4E8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0%</w:t>
                  </w:r>
                </w:p>
              </w:tc>
              <w:tc>
                <w:tcPr>
                  <w:tcW w:w="564" w:type="dxa"/>
                  <w:shd w:val="clear" w:color="000000" w:fill="FFCC00"/>
                  <w:noWrap/>
                  <w:vAlign w:val="center"/>
                </w:tcPr>
                <w:p w14:paraId="7A283942" w14:textId="327D34E1" w:rsidR="005B3BAA" w:rsidRPr="002468DD" w:rsidRDefault="00370FBF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sz w:val="12"/>
                      <w:szCs w:val="12"/>
                    </w:rPr>
                    <w:t>£2</w:t>
                  </w:r>
                  <w:r w:rsidR="004324AF">
                    <w:rPr>
                      <w:rFonts w:ascii="Calibri" w:eastAsia="Times New Roman" w:hAnsi="Calibri" w:cs="Calibri"/>
                      <w:sz w:val="12"/>
                      <w:szCs w:val="12"/>
                    </w:rPr>
                    <w:t>24</w:t>
                  </w:r>
                  <w:r>
                    <w:rPr>
                      <w:rFonts w:ascii="Calibri" w:eastAsia="Times New Roman" w:hAnsi="Calibri" w:cs="Calibri"/>
                      <w:sz w:val="12"/>
                      <w:szCs w:val="12"/>
                    </w:rPr>
                    <w:t>,811</w:t>
                  </w:r>
                </w:p>
              </w:tc>
              <w:tc>
                <w:tcPr>
                  <w:tcW w:w="360" w:type="dxa"/>
                  <w:shd w:val="clear" w:color="000000" w:fill="FFCC00"/>
                  <w:noWrap/>
                  <w:vAlign w:val="center"/>
                </w:tcPr>
                <w:p w14:paraId="742985D8" w14:textId="00C240FB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sz w:val="12"/>
                      <w:szCs w:val="12"/>
                    </w:rPr>
                    <w:t>£0</w:t>
                  </w:r>
                </w:p>
              </w:tc>
              <w:tc>
                <w:tcPr>
                  <w:tcW w:w="360" w:type="dxa"/>
                  <w:shd w:val="clear" w:color="000000" w:fill="FFCC00"/>
                  <w:noWrap/>
                  <w:vAlign w:val="center"/>
                </w:tcPr>
                <w:p w14:paraId="7800ACD2" w14:textId="3743807A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sz w:val="12"/>
                      <w:szCs w:val="12"/>
                    </w:rPr>
                    <w:t>£0</w:t>
                  </w:r>
                </w:p>
              </w:tc>
              <w:tc>
                <w:tcPr>
                  <w:tcW w:w="360" w:type="dxa"/>
                  <w:shd w:val="clear" w:color="000000" w:fill="FFCC00"/>
                  <w:noWrap/>
                  <w:vAlign w:val="center"/>
                </w:tcPr>
                <w:p w14:paraId="4CF2F025" w14:textId="33A49101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sz w:val="12"/>
                      <w:szCs w:val="12"/>
                    </w:rPr>
                    <w:t>£0</w:t>
                  </w:r>
                </w:p>
              </w:tc>
              <w:tc>
                <w:tcPr>
                  <w:tcW w:w="553" w:type="dxa"/>
                  <w:shd w:val="clear" w:color="auto" w:fill="auto"/>
                  <w:noWrap/>
                  <w:vAlign w:val="center"/>
                </w:tcPr>
                <w:p w14:paraId="1EF39F06" w14:textId="4342CC14" w:rsidR="005B3BAA" w:rsidRPr="002468DD" w:rsidRDefault="00370FBF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£23</w:t>
                  </w:r>
                  <w:r w:rsidR="004324A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,061</w:t>
                  </w:r>
                </w:p>
              </w:tc>
            </w:tr>
            <w:tr w:rsidR="005B3BAA" w:rsidRPr="002468DD" w14:paraId="5CACC8BE" w14:textId="77777777" w:rsidTr="00A62080">
              <w:trPr>
                <w:trHeight w:val="315"/>
              </w:trPr>
              <w:tc>
                <w:tcPr>
                  <w:tcW w:w="371" w:type="dxa"/>
                  <w:shd w:val="clear" w:color="auto" w:fill="auto"/>
                  <w:noWrap/>
                  <w:vAlign w:val="center"/>
                </w:tcPr>
                <w:p w14:paraId="77F9F4B4" w14:textId="06AF5307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4992B</w:t>
                  </w:r>
                </w:p>
              </w:tc>
              <w:tc>
                <w:tcPr>
                  <w:tcW w:w="553" w:type="dxa"/>
                  <w:shd w:val="clear" w:color="000000" w:fill="FFFF00"/>
                  <w:noWrap/>
                  <w:vAlign w:val="center"/>
                </w:tcPr>
                <w:p w14:paraId="4B2DA28A" w14:textId="1CE20A85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£150,000</w:t>
                  </w:r>
                </w:p>
              </w:tc>
              <w:tc>
                <w:tcPr>
                  <w:tcW w:w="501" w:type="dxa"/>
                  <w:shd w:val="clear" w:color="000000" w:fill="FFFF00"/>
                  <w:noWrap/>
                  <w:vAlign w:val="center"/>
                </w:tcPr>
                <w:p w14:paraId="30C1596E" w14:textId="4F3D9B3F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£11,100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0490ADE0" w14:textId="1D21D564" w:rsidR="005B3BAA" w:rsidRPr="002468DD" w:rsidRDefault="00370FBF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£33,61</w:t>
                  </w:r>
                  <w:r w:rsidR="0088076A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3D6B26D8" w14:textId="16989F1D" w:rsidR="005B3BAA" w:rsidRPr="002468DD" w:rsidRDefault="00370FBF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£42,456</w:t>
                  </w:r>
                </w:p>
              </w:tc>
              <w:tc>
                <w:tcPr>
                  <w:tcW w:w="771" w:type="dxa"/>
                  <w:shd w:val="clear" w:color="auto" w:fill="auto"/>
                  <w:noWrap/>
                  <w:vAlign w:val="center"/>
                </w:tcPr>
                <w:p w14:paraId="52BDF659" w14:textId="41124728" w:rsidR="005B3BAA" w:rsidRPr="002468DD" w:rsidRDefault="00370FBF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£</w:t>
                  </w:r>
                  <w:r w:rsidR="00691B44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9,413</w:t>
                  </w:r>
                </w:p>
              </w:tc>
              <w:tc>
                <w:tcPr>
                  <w:tcW w:w="360" w:type="dxa"/>
                  <w:shd w:val="clear" w:color="auto" w:fill="auto"/>
                  <w:noWrap/>
                  <w:vAlign w:val="center"/>
                </w:tcPr>
                <w:p w14:paraId="5CA091EB" w14:textId="3424B7AD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£0</w:t>
                  </w:r>
                </w:p>
              </w:tc>
              <w:tc>
                <w:tcPr>
                  <w:tcW w:w="501" w:type="dxa"/>
                  <w:shd w:val="clear" w:color="auto" w:fill="auto"/>
                  <w:noWrap/>
                  <w:vAlign w:val="center"/>
                </w:tcPr>
                <w:p w14:paraId="170AB931" w14:textId="58D1F5D5" w:rsidR="005B3BAA" w:rsidRPr="002468DD" w:rsidRDefault="004822B0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£</w:t>
                  </w:r>
                  <w:r w:rsidR="00691B44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53" w:type="dxa"/>
                  <w:shd w:val="clear" w:color="auto" w:fill="auto"/>
                  <w:noWrap/>
                  <w:vAlign w:val="center"/>
                </w:tcPr>
                <w:p w14:paraId="116F57F5" w14:textId="21F3E336" w:rsidR="005B3BAA" w:rsidRPr="002468DD" w:rsidRDefault="004822B0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£85,48</w:t>
                  </w:r>
                  <w:r w:rsidR="0088076A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501" w:type="dxa"/>
                  <w:shd w:val="clear" w:color="auto" w:fill="auto"/>
                  <w:noWrap/>
                  <w:vAlign w:val="center"/>
                </w:tcPr>
                <w:p w14:paraId="778E0C98" w14:textId="5FCB278A" w:rsidR="005B3BAA" w:rsidRPr="002468DD" w:rsidRDefault="004822B0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sz w:val="12"/>
                      <w:szCs w:val="12"/>
                    </w:rPr>
                    <w:t>£12,160</w:t>
                  </w:r>
                </w:p>
              </w:tc>
              <w:tc>
                <w:tcPr>
                  <w:tcW w:w="723" w:type="dxa"/>
                  <w:shd w:val="clear" w:color="000000" w:fill="FFCC00"/>
                  <w:noWrap/>
                  <w:vAlign w:val="center"/>
                </w:tcPr>
                <w:p w14:paraId="1F862512" w14:textId="6D9BD04B" w:rsidR="005B3BAA" w:rsidRPr="002468DD" w:rsidRDefault="004822B0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sz w:val="12"/>
                      <w:szCs w:val="12"/>
                    </w:rPr>
                    <w:t>£97,646</w:t>
                  </w:r>
                </w:p>
              </w:tc>
              <w:tc>
                <w:tcPr>
                  <w:tcW w:w="500" w:type="dxa"/>
                  <w:shd w:val="clear" w:color="auto" w:fill="auto"/>
                  <w:noWrap/>
                  <w:vAlign w:val="center"/>
                </w:tcPr>
                <w:p w14:paraId="7848F522" w14:textId="1344F460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100%</w:t>
                  </w:r>
                </w:p>
              </w:tc>
              <w:tc>
                <w:tcPr>
                  <w:tcW w:w="360" w:type="dxa"/>
                  <w:shd w:val="clear" w:color="auto" w:fill="auto"/>
                  <w:noWrap/>
                  <w:vAlign w:val="center"/>
                </w:tcPr>
                <w:p w14:paraId="21F11223" w14:textId="575FD181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0%</w:t>
                  </w:r>
                </w:p>
              </w:tc>
              <w:tc>
                <w:tcPr>
                  <w:tcW w:w="360" w:type="dxa"/>
                  <w:shd w:val="clear" w:color="auto" w:fill="auto"/>
                  <w:noWrap/>
                  <w:vAlign w:val="center"/>
                </w:tcPr>
                <w:p w14:paraId="38519B10" w14:textId="11F51869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0%</w:t>
                  </w:r>
                </w:p>
              </w:tc>
              <w:tc>
                <w:tcPr>
                  <w:tcW w:w="360" w:type="dxa"/>
                  <w:shd w:val="clear" w:color="auto" w:fill="auto"/>
                  <w:noWrap/>
                  <w:vAlign w:val="center"/>
                </w:tcPr>
                <w:p w14:paraId="2DB68031" w14:textId="02B61FC2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0%</w:t>
                  </w:r>
                </w:p>
              </w:tc>
              <w:tc>
                <w:tcPr>
                  <w:tcW w:w="564" w:type="dxa"/>
                  <w:shd w:val="clear" w:color="000000" w:fill="FFCC00"/>
                  <w:noWrap/>
                  <w:vAlign w:val="center"/>
                </w:tcPr>
                <w:p w14:paraId="4D60A74D" w14:textId="3D2F2CCD" w:rsidR="005B3BAA" w:rsidRPr="002468DD" w:rsidRDefault="004822B0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sz w:val="12"/>
                      <w:szCs w:val="12"/>
                    </w:rPr>
                    <w:t>£97,646</w:t>
                  </w:r>
                </w:p>
              </w:tc>
              <w:tc>
                <w:tcPr>
                  <w:tcW w:w="360" w:type="dxa"/>
                  <w:shd w:val="clear" w:color="000000" w:fill="FFCC00"/>
                  <w:noWrap/>
                  <w:vAlign w:val="center"/>
                </w:tcPr>
                <w:p w14:paraId="0FFF041A" w14:textId="0E6F3157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sz w:val="12"/>
                      <w:szCs w:val="12"/>
                    </w:rPr>
                    <w:t>£0</w:t>
                  </w:r>
                </w:p>
              </w:tc>
              <w:tc>
                <w:tcPr>
                  <w:tcW w:w="360" w:type="dxa"/>
                  <w:shd w:val="clear" w:color="000000" w:fill="FFCC00"/>
                  <w:noWrap/>
                  <w:vAlign w:val="center"/>
                </w:tcPr>
                <w:p w14:paraId="454D05BA" w14:textId="5AC49B04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sz w:val="12"/>
                      <w:szCs w:val="12"/>
                    </w:rPr>
                    <w:t>£0</w:t>
                  </w:r>
                </w:p>
              </w:tc>
              <w:tc>
                <w:tcPr>
                  <w:tcW w:w="360" w:type="dxa"/>
                  <w:shd w:val="clear" w:color="000000" w:fill="FFCC00"/>
                  <w:noWrap/>
                  <w:vAlign w:val="center"/>
                </w:tcPr>
                <w:p w14:paraId="36E197D3" w14:textId="437BBC13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sz w:val="12"/>
                      <w:szCs w:val="12"/>
                    </w:rPr>
                    <w:t>£0</w:t>
                  </w:r>
                </w:p>
              </w:tc>
              <w:tc>
                <w:tcPr>
                  <w:tcW w:w="553" w:type="dxa"/>
                  <w:shd w:val="clear" w:color="auto" w:fill="auto"/>
                  <w:noWrap/>
                  <w:vAlign w:val="center"/>
                </w:tcPr>
                <w:p w14:paraId="078A38AC" w14:textId="67D79645" w:rsidR="005B3BAA" w:rsidRPr="002468DD" w:rsidRDefault="004822B0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£108,746</w:t>
                  </w:r>
                </w:p>
              </w:tc>
            </w:tr>
            <w:tr w:rsidR="005B3BAA" w:rsidRPr="002468DD" w14:paraId="20444B45" w14:textId="77777777" w:rsidTr="00A62080">
              <w:trPr>
                <w:trHeight w:val="315"/>
              </w:trPr>
              <w:tc>
                <w:tcPr>
                  <w:tcW w:w="371" w:type="dxa"/>
                  <w:shd w:val="clear" w:color="auto" w:fill="auto"/>
                  <w:noWrap/>
                  <w:vAlign w:val="center"/>
                  <w:hideMark/>
                </w:tcPr>
                <w:p w14:paraId="05F36EFB" w14:textId="77777777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2468D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</w:rPr>
                    <w:t>Total</w:t>
                  </w:r>
                </w:p>
              </w:tc>
              <w:tc>
                <w:tcPr>
                  <w:tcW w:w="553" w:type="dxa"/>
                  <w:shd w:val="clear" w:color="000000" w:fill="FFFF00"/>
                  <w:noWrap/>
                  <w:vAlign w:val="center"/>
                </w:tcPr>
                <w:p w14:paraId="66F54DC7" w14:textId="5896EF2F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</w:rPr>
                    <w:t>£450,000</w:t>
                  </w:r>
                </w:p>
              </w:tc>
              <w:tc>
                <w:tcPr>
                  <w:tcW w:w="501" w:type="dxa"/>
                  <w:shd w:val="clear" w:color="000000" w:fill="FFFF00"/>
                  <w:noWrap/>
                  <w:vAlign w:val="center"/>
                </w:tcPr>
                <w:p w14:paraId="6BB5A6C7" w14:textId="4FEE90F1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</w:rPr>
                    <w:t>£22,050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32CC182E" w14:textId="561C1020" w:rsidR="005B3BAA" w:rsidRPr="002468DD" w:rsidRDefault="00A62080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</w:rPr>
                    <w:t>£13</w:t>
                  </w:r>
                  <w:r w:rsidR="0036505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</w:rPr>
                    <w:t>,</w:t>
                  </w:r>
                  <w:r w:rsidR="0036505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</w:rPr>
                    <w:t>882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5AC8682A" w14:textId="4FB73B93" w:rsidR="005B3BAA" w:rsidRPr="002468DD" w:rsidRDefault="00A62080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</w:rPr>
                    <w:t>£2</w:t>
                  </w:r>
                  <w:r w:rsidR="0094734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</w:rPr>
                    <w:t>00,904</w:t>
                  </w:r>
                </w:p>
              </w:tc>
              <w:tc>
                <w:tcPr>
                  <w:tcW w:w="771" w:type="dxa"/>
                  <w:shd w:val="clear" w:color="auto" w:fill="auto"/>
                  <w:noWrap/>
                  <w:vAlign w:val="center"/>
                </w:tcPr>
                <w:p w14:paraId="5550E9B9" w14:textId="4CEDA271" w:rsidR="005B3BAA" w:rsidRPr="002468DD" w:rsidRDefault="00A62080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</w:rPr>
                    <w:t>£</w:t>
                  </w:r>
                  <w:r w:rsidR="00CA31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</w:rPr>
                    <w:t>57,</w:t>
                  </w:r>
                  <w:r w:rsidR="0094734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</w:rPr>
                    <w:t>458</w:t>
                  </w:r>
                </w:p>
              </w:tc>
              <w:tc>
                <w:tcPr>
                  <w:tcW w:w="360" w:type="dxa"/>
                  <w:shd w:val="clear" w:color="auto" w:fill="auto"/>
                  <w:noWrap/>
                  <w:vAlign w:val="center"/>
                </w:tcPr>
                <w:p w14:paraId="1C234F93" w14:textId="4B459480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</w:rPr>
                    <w:t>£0</w:t>
                  </w:r>
                </w:p>
              </w:tc>
              <w:tc>
                <w:tcPr>
                  <w:tcW w:w="501" w:type="dxa"/>
                  <w:shd w:val="clear" w:color="auto" w:fill="auto"/>
                  <w:noWrap/>
                  <w:vAlign w:val="center"/>
                </w:tcPr>
                <w:p w14:paraId="11B08D6D" w14:textId="19280583" w:rsidR="005B3BAA" w:rsidRPr="002468DD" w:rsidRDefault="00A62080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</w:rPr>
                    <w:t>£</w:t>
                  </w:r>
                  <w:r w:rsidR="00691B4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53" w:type="dxa"/>
                  <w:shd w:val="clear" w:color="auto" w:fill="auto"/>
                  <w:noWrap/>
                  <w:vAlign w:val="center"/>
                </w:tcPr>
                <w:p w14:paraId="3D2E4BF7" w14:textId="112ED4C3" w:rsidR="005B3BAA" w:rsidRPr="002468DD" w:rsidRDefault="00A62080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</w:rPr>
                    <w:t>£</w:t>
                  </w:r>
                  <w:r w:rsidR="00F352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</w:rPr>
                    <w:t>391,244</w:t>
                  </w:r>
                </w:p>
              </w:tc>
              <w:tc>
                <w:tcPr>
                  <w:tcW w:w="501" w:type="dxa"/>
                  <w:shd w:val="clear" w:color="auto" w:fill="auto"/>
                  <w:noWrap/>
                  <w:vAlign w:val="center"/>
                </w:tcPr>
                <w:p w14:paraId="34251381" w14:textId="2E30A367" w:rsidR="005B3BAA" w:rsidRPr="002468DD" w:rsidRDefault="00A62080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</w:rPr>
                    <w:t>£18,115</w:t>
                  </w:r>
                </w:p>
              </w:tc>
              <w:tc>
                <w:tcPr>
                  <w:tcW w:w="723" w:type="dxa"/>
                  <w:shd w:val="clear" w:color="000000" w:fill="FFCC00"/>
                  <w:noWrap/>
                  <w:vAlign w:val="center"/>
                </w:tcPr>
                <w:p w14:paraId="0D6A0E5D" w14:textId="2D08DE75" w:rsidR="005B3BAA" w:rsidRPr="002468DD" w:rsidRDefault="00A62080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12"/>
                      <w:szCs w:val="12"/>
                    </w:rPr>
                    <w:t>£4</w:t>
                  </w:r>
                  <w:r w:rsidR="00F352BA">
                    <w:rPr>
                      <w:rFonts w:ascii="Calibri" w:eastAsia="Times New Roman" w:hAnsi="Calibri" w:cs="Calibri"/>
                      <w:b/>
                      <w:bCs/>
                      <w:sz w:val="12"/>
                      <w:szCs w:val="12"/>
                    </w:rPr>
                    <w:t>09,359</w:t>
                  </w:r>
                </w:p>
              </w:tc>
              <w:tc>
                <w:tcPr>
                  <w:tcW w:w="500" w:type="dxa"/>
                  <w:shd w:val="clear" w:color="auto" w:fill="auto"/>
                  <w:noWrap/>
                  <w:vAlign w:val="center"/>
                </w:tcPr>
                <w:p w14:paraId="38B5B8BD" w14:textId="7711A60B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noWrap/>
                  <w:vAlign w:val="center"/>
                </w:tcPr>
                <w:p w14:paraId="2E7CF1EB" w14:textId="23B52322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noWrap/>
                  <w:vAlign w:val="center"/>
                </w:tcPr>
                <w:p w14:paraId="0A599440" w14:textId="0038F254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noWrap/>
                  <w:vAlign w:val="center"/>
                </w:tcPr>
                <w:p w14:paraId="2999007E" w14:textId="2E514E63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564" w:type="dxa"/>
                  <w:shd w:val="clear" w:color="000000" w:fill="FFCC00"/>
                  <w:noWrap/>
                  <w:vAlign w:val="center"/>
                </w:tcPr>
                <w:p w14:paraId="6DB49FD0" w14:textId="264F0C59" w:rsidR="005B3BAA" w:rsidRPr="002468DD" w:rsidRDefault="00A62080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12"/>
                      <w:szCs w:val="12"/>
                    </w:rPr>
                    <w:t>£4</w:t>
                  </w:r>
                  <w:r w:rsidR="00F352BA">
                    <w:rPr>
                      <w:rFonts w:ascii="Calibri" w:eastAsia="Times New Roman" w:hAnsi="Calibri" w:cs="Calibri"/>
                      <w:b/>
                      <w:bCs/>
                      <w:sz w:val="12"/>
                      <w:szCs w:val="12"/>
                    </w:rPr>
                    <w:t>09,359</w:t>
                  </w:r>
                </w:p>
              </w:tc>
              <w:tc>
                <w:tcPr>
                  <w:tcW w:w="360" w:type="dxa"/>
                  <w:shd w:val="clear" w:color="000000" w:fill="FFCC00"/>
                  <w:noWrap/>
                  <w:vAlign w:val="center"/>
                </w:tcPr>
                <w:p w14:paraId="4563D7B0" w14:textId="2C6A4377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12"/>
                      <w:szCs w:val="12"/>
                    </w:rPr>
                    <w:t>£0</w:t>
                  </w:r>
                </w:p>
              </w:tc>
              <w:tc>
                <w:tcPr>
                  <w:tcW w:w="360" w:type="dxa"/>
                  <w:shd w:val="clear" w:color="000000" w:fill="FFCC00"/>
                  <w:noWrap/>
                  <w:vAlign w:val="center"/>
                </w:tcPr>
                <w:p w14:paraId="22564EC9" w14:textId="5020B439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12"/>
                      <w:szCs w:val="12"/>
                    </w:rPr>
                    <w:t>£0</w:t>
                  </w:r>
                </w:p>
              </w:tc>
              <w:tc>
                <w:tcPr>
                  <w:tcW w:w="360" w:type="dxa"/>
                  <w:shd w:val="clear" w:color="000000" w:fill="FFCC00"/>
                  <w:noWrap/>
                  <w:vAlign w:val="center"/>
                </w:tcPr>
                <w:p w14:paraId="6419324F" w14:textId="7AB2049F" w:rsidR="005B3BAA" w:rsidRPr="002468DD" w:rsidRDefault="005B3BAA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12"/>
                      <w:szCs w:val="12"/>
                    </w:rPr>
                    <w:t>£0</w:t>
                  </w:r>
                </w:p>
              </w:tc>
              <w:tc>
                <w:tcPr>
                  <w:tcW w:w="553" w:type="dxa"/>
                  <w:shd w:val="clear" w:color="auto" w:fill="auto"/>
                  <w:noWrap/>
                  <w:vAlign w:val="center"/>
                </w:tcPr>
                <w:p w14:paraId="35ABF0DE" w14:textId="6B70A2F1" w:rsidR="005B3BAA" w:rsidRPr="002468DD" w:rsidRDefault="00A62080" w:rsidP="005B3B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12"/>
                      <w:szCs w:val="12"/>
                    </w:rPr>
                    <w:t>£</w:t>
                  </w:r>
                  <w:r w:rsidR="001D0FA0">
                    <w:rPr>
                      <w:rFonts w:ascii="Calibri" w:eastAsia="Times New Roman" w:hAnsi="Calibri" w:cs="Calibri"/>
                      <w:b/>
                      <w:bCs/>
                      <w:sz w:val="12"/>
                      <w:szCs w:val="12"/>
                    </w:rPr>
                    <w:t>431,409</w:t>
                  </w:r>
                </w:p>
              </w:tc>
            </w:tr>
          </w:tbl>
          <w:p w14:paraId="6CA5DA23" w14:textId="77777777" w:rsidR="009F3A8C" w:rsidRDefault="009F3A8C" w:rsidP="00607F85">
            <w:pPr>
              <w:rPr>
                <w:rFonts w:cs="Arial"/>
                <w:b/>
                <w:bCs/>
                <w:sz w:val="18"/>
                <w:szCs w:val="18"/>
                <w:u w:val="single"/>
              </w:rPr>
            </w:pPr>
          </w:p>
          <w:p w14:paraId="2B2B549D" w14:textId="2651B411" w:rsidR="00057F11" w:rsidRPr="0027091E" w:rsidRDefault="0027091E" w:rsidP="00607F8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u w:val="single"/>
              </w:rPr>
              <w:t>Note:</w:t>
            </w:r>
            <w:r>
              <w:rPr>
                <w:rFonts w:cs="Arial"/>
                <w:sz w:val="18"/>
                <w:szCs w:val="18"/>
              </w:rPr>
              <w:t xml:space="preserve"> XRN4989b is included in the scope of delivery for </w:t>
            </w:r>
            <w:r w:rsidR="00541A57">
              <w:rPr>
                <w:rFonts w:cs="Arial"/>
                <w:sz w:val="18"/>
                <w:szCs w:val="18"/>
              </w:rPr>
              <w:t xml:space="preserve">the release. XRN4989 was previously delivered and the work in this release is to remove an existing operational workaround. </w:t>
            </w:r>
            <w:proofErr w:type="gramStart"/>
            <w:r w:rsidR="00541A57">
              <w:rPr>
                <w:rFonts w:cs="Arial"/>
                <w:sz w:val="18"/>
                <w:szCs w:val="18"/>
              </w:rPr>
              <w:t>So</w:t>
            </w:r>
            <w:proofErr w:type="gramEnd"/>
            <w:r w:rsidR="00541A57">
              <w:rPr>
                <w:rFonts w:cs="Arial"/>
                <w:sz w:val="18"/>
                <w:szCs w:val="18"/>
              </w:rPr>
              <w:t xml:space="preserve"> there are no delivery costs to be funded by</w:t>
            </w:r>
            <w:r w:rsidR="00060E2B">
              <w:rPr>
                <w:rFonts w:cs="Arial"/>
                <w:sz w:val="18"/>
                <w:szCs w:val="18"/>
              </w:rPr>
              <w:t xml:space="preserve"> this BER for that work.</w:t>
            </w:r>
          </w:p>
          <w:p w14:paraId="693E7E9C" w14:textId="77777777" w:rsidR="00057F11" w:rsidRDefault="00057F11" w:rsidP="00607F85">
            <w:pPr>
              <w:rPr>
                <w:rFonts w:cs="Arial"/>
                <w:b/>
                <w:bCs/>
                <w:sz w:val="18"/>
                <w:szCs w:val="18"/>
                <w:u w:val="single"/>
              </w:rPr>
            </w:pPr>
          </w:p>
          <w:p w14:paraId="3A204B58" w14:textId="77777777" w:rsidR="00407373" w:rsidRDefault="00C760B3" w:rsidP="00607F85">
            <w:pPr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39712EE9">
              <w:rPr>
                <w:rFonts w:cs="Arial"/>
                <w:b/>
                <w:bCs/>
                <w:sz w:val="18"/>
                <w:szCs w:val="18"/>
                <w:u w:val="single"/>
              </w:rPr>
              <w:lastRenderedPageBreak/>
              <w:t>K</w:t>
            </w:r>
            <w:r w:rsidR="00982681" w:rsidRPr="39712EE9">
              <w:rPr>
                <w:rFonts w:cs="Arial"/>
                <w:b/>
                <w:bCs/>
                <w:sz w:val="18"/>
                <w:szCs w:val="18"/>
                <w:u w:val="single"/>
              </w:rPr>
              <w:t>ey</w:t>
            </w:r>
            <w:r w:rsidR="00223716">
              <w:rPr>
                <w:noProof/>
              </w:rPr>
              <w:drawing>
                <wp:inline distT="0" distB="0" distL="0" distR="0" wp14:anchorId="2C84B995" wp14:editId="163E7521">
                  <wp:extent cx="6165214" cy="2835275"/>
                  <wp:effectExtent l="0" t="0" r="6985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214" cy="283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5BCCF3" w14:textId="4379FE5F" w:rsidR="00B9672F" w:rsidRPr="00982681" w:rsidRDefault="00B9672F" w:rsidP="00607F85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2B2E87" w:rsidRPr="002B2E87" w14:paraId="6755CD90" w14:textId="77777777" w:rsidTr="7867B4B0">
        <w:tc>
          <w:tcPr>
            <w:tcW w:w="5000" w:type="pct"/>
            <w:gridSpan w:val="2"/>
            <w:shd w:val="clear" w:color="auto" w:fill="3E5AA8" w:themeFill="accent1"/>
            <w:vAlign w:val="center"/>
          </w:tcPr>
          <w:p w14:paraId="712659F4" w14:textId="5E9B840D" w:rsidR="002B2E87" w:rsidRPr="002B2E87" w:rsidRDefault="002B2E87" w:rsidP="002B2E87">
            <w:pPr>
              <w:jc w:val="center"/>
              <w:rPr>
                <w:rFonts w:eastAsia="Times New Roman" w:cs="Arial"/>
                <w:b/>
                <w:szCs w:val="16"/>
              </w:rPr>
            </w:pPr>
            <w:r w:rsidRPr="002B2E87">
              <w:rPr>
                <w:rFonts w:eastAsia="Times New Roman" w:cs="Arial"/>
                <w:b/>
                <w:color w:val="FFFFFF"/>
                <w:sz w:val="20"/>
                <w:szCs w:val="16"/>
              </w:rPr>
              <w:lastRenderedPageBreak/>
              <w:t>Section 4: Estimated impact of the service change on service charges</w:t>
            </w:r>
          </w:p>
        </w:tc>
      </w:tr>
      <w:tr w:rsidR="002B2E87" w:rsidRPr="002B2E87" w14:paraId="35E72947" w14:textId="77777777" w:rsidTr="7867B4B0">
        <w:tc>
          <w:tcPr>
            <w:tcW w:w="5000" w:type="pct"/>
            <w:gridSpan w:val="2"/>
            <w:shd w:val="clear" w:color="auto" w:fill="auto"/>
          </w:tcPr>
          <w:p w14:paraId="61BC0B1E" w14:textId="1387619E" w:rsidR="002B2E87" w:rsidRDefault="002B2E87" w:rsidP="002B2E87">
            <w:pPr>
              <w:contextualSpacing/>
              <w:rPr>
                <w:rFonts w:eastAsia="Times New Roman" w:cs="Arial"/>
                <w:sz w:val="20"/>
              </w:rPr>
            </w:pPr>
          </w:p>
          <w:p w14:paraId="2AD0AA15" w14:textId="18192D9F" w:rsidR="002B04DD" w:rsidRDefault="002B04DD" w:rsidP="002B2E87">
            <w:pPr>
              <w:contextualSpacing/>
              <w:rPr>
                <w:rFonts w:eastAsia="Times New Roman" w:cs="Arial"/>
                <w:b/>
                <w:sz w:val="20"/>
                <w:u w:val="single"/>
              </w:rPr>
            </w:pPr>
            <w:r>
              <w:rPr>
                <w:rFonts w:eastAsia="Times New Roman" w:cs="Arial"/>
                <w:b/>
                <w:sz w:val="20"/>
                <w:u w:val="single"/>
              </w:rPr>
              <w:t>Impacts to Ongoing Cost</w:t>
            </w:r>
            <w:r w:rsidR="00C9295D">
              <w:rPr>
                <w:rFonts w:eastAsia="Times New Roman" w:cs="Arial"/>
                <w:b/>
                <w:sz w:val="20"/>
                <w:u w:val="single"/>
              </w:rPr>
              <w:t>s</w:t>
            </w:r>
          </w:p>
          <w:p w14:paraId="039AC0C9" w14:textId="77777777" w:rsidR="00A04AD5" w:rsidRDefault="00A04AD5" w:rsidP="002B2E87">
            <w:pPr>
              <w:contextualSpacing/>
              <w:rPr>
                <w:rFonts w:eastAsia="Times New Roman" w:cs="Arial"/>
                <w:b/>
                <w:sz w:val="20"/>
                <w:u w:val="single"/>
              </w:rPr>
            </w:pPr>
          </w:p>
          <w:p w14:paraId="0246DA4C" w14:textId="77777777" w:rsidR="009408F0" w:rsidRDefault="009408F0" w:rsidP="002B2E87">
            <w:pPr>
              <w:contextualSpacing/>
              <w:rPr>
                <w:rFonts w:eastAsia="Times New Roman" w:cs="Arial"/>
                <w:b/>
                <w:sz w:val="20"/>
                <w:u w:val="single"/>
              </w:rPr>
            </w:pPr>
          </w:p>
          <w:tbl>
            <w:tblPr>
              <w:tblStyle w:val="TableGrid1"/>
              <w:tblpPr w:leftFromText="180" w:rightFromText="180" w:vertAnchor="text" w:horzAnchor="margin" w:tblpY="-116"/>
              <w:tblOverlap w:val="never"/>
              <w:tblW w:w="9704" w:type="dxa"/>
              <w:tblLayout w:type="fixed"/>
              <w:tblLook w:val="04A0" w:firstRow="1" w:lastRow="0" w:firstColumn="1" w:lastColumn="0" w:noHBand="0" w:noVBand="1"/>
            </w:tblPr>
            <w:tblGrid>
              <w:gridCol w:w="906"/>
              <w:gridCol w:w="2751"/>
              <w:gridCol w:w="3638"/>
              <w:gridCol w:w="2409"/>
            </w:tblGrid>
            <w:tr w:rsidR="002B04DD" w:rsidRPr="00E946F9" w14:paraId="53A61A4E" w14:textId="77777777" w:rsidTr="002F51C1">
              <w:trPr>
                <w:trHeight w:val="520"/>
              </w:trPr>
              <w:tc>
                <w:tcPr>
                  <w:tcW w:w="906" w:type="dxa"/>
                  <w:shd w:val="clear" w:color="auto" w:fill="4472C4"/>
                  <w:vAlign w:val="center"/>
                  <w:hideMark/>
                </w:tcPr>
                <w:p w14:paraId="10A86043" w14:textId="69C436B7" w:rsidR="002B04DD" w:rsidRPr="00E946F9" w:rsidRDefault="002B04DD" w:rsidP="0004417B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E946F9"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XRN</w:t>
                  </w:r>
                </w:p>
              </w:tc>
              <w:tc>
                <w:tcPr>
                  <w:tcW w:w="2751" w:type="dxa"/>
                  <w:shd w:val="clear" w:color="auto" w:fill="4472C4"/>
                  <w:vAlign w:val="center"/>
                  <w:hideMark/>
                </w:tcPr>
                <w:p w14:paraId="26819E6B" w14:textId="77777777" w:rsidR="002B04DD" w:rsidRPr="00E946F9" w:rsidRDefault="002B04DD" w:rsidP="0004417B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E946F9"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Xoserve Service Area</w:t>
                  </w:r>
                </w:p>
              </w:tc>
              <w:tc>
                <w:tcPr>
                  <w:tcW w:w="3636" w:type="dxa"/>
                  <w:shd w:val="clear" w:color="auto" w:fill="4472C4"/>
                  <w:vAlign w:val="center"/>
                  <w:hideMark/>
                </w:tcPr>
                <w:p w14:paraId="55A72B90" w14:textId="77777777" w:rsidR="002B04DD" w:rsidRPr="00E946F9" w:rsidRDefault="002B04DD" w:rsidP="0004417B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E946F9"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Impact</w:t>
                  </w:r>
                </w:p>
              </w:tc>
              <w:tc>
                <w:tcPr>
                  <w:tcW w:w="2409" w:type="dxa"/>
                  <w:shd w:val="clear" w:color="auto" w:fill="4472C4"/>
                  <w:vAlign w:val="center"/>
                  <w:hideMark/>
                </w:tcPr>
                <w:p w14:paraId="093F121A" w14:textId="77777777" w:rsidR="002B04DD" w:rsidRPr="00E946F9" w:rsidRDefault="002B04DD" w:rsidP="0004417B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E946F9"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(+/-) Projected Change in Annual Cost</w:t>
                  </w:r>
                </w:p>
              </w:tc>
            </w:tr>
            <w:tr w:rsidR="004E3EFE" w:rsidRPr="00E946F9" w14:paraId="531491F4" w14:textId="77777777" w:rsidTr="00A552B6">
              <w:trPr>
                <w:trHeight w:val="290"/>
              </w:trPr>
              <w:tc>
                <w:tcPr>
                  <w:tcW w:w="906" w:type="dxa"/>
                  <w:vAlign w:val="center"/>
                </w:tcPr>
                <w:p w14:paraId="34D85024" w14:textId="11625ED9" w:rsidR="004E3EFE" w:rsidRPr="00E946F9" w:rsidRDefault="004E3EFE" w:rsidP="0004417B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946F9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4978</w:t>
                  </w:r>
                </w:p>
              </w:tc>
              <w:tc>
                <w:tcPr>
                  <w:tcW w:w="2751" w:type="dxa"/>
                  <w:vAlign w:val="center"/>
                </w:tcPr>
                <w:p w14:paraId="698732BE" w14:textId="553BE522" w:rsidR="004E3EFE" w:rsidRPr="00E946F9" w:rsidRDefault="00AF70A0" w:rsidP="00A552B6">
                  <w:pPr>
                    <w:pStyle w:val="NormalWeb"/>
                    <w:spacing w:before="0" w:beforeAutospacing="0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Theme="minorEastAsia" w:hAnsiTheme="minorHAnsi" w:cstheme="minorHAnsi"/>
                      <w:color w:val="000000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3636" w:type="dxa"/>
                  <w:vAlign w:val="center"/>
                </w:tcPr>
                <w:p w14:paraId="02B28FAC" w14:textId="2B209A81" w:rsidR="004E3EFE" w:rsidRPr="00E946F9" w:rsidRDefault="00CA3177" w:rsidP="0004417B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2409" w:type="dxa"/>
                  <w:vAlign w:val="center"/>
                </w:tcPr>
                <w:p w14:paraId="173E7B80" w14:textId="3E57CF26" w:rsidR="004E3EFE" w:rsidRPr="00E946F9" w:rsidRDefault="00D06554" w:rsidP="0004417B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E946F9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£</w:t>
                  </w:r>
                  <w:r w:rsidR="00CA3177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4134DD" w:rsidRPr="00E946F9" w14:paraId="1DEA5AF6" w14:textId="77777777" w:rsidTr="0034298D">
              <w:trPr>
                <w:trHeight w:val="290"/>
              </w:trPr>
              <w:tc>
                <w:tcPr>
                  <w:tcW w:w="906" w:type="dxa"/>
                  <w:shd w:val="clear" w:color="auto" w:fill="D9E1F2"/>
                  <w:vAlign w:val="center"/>
                </w:tcPr>
                <w:p w14:paraId="12618882" w14:textId="3FC11BB8" w:rsidR="004134DD" w:rsidRPr="00E946F9" w:rsidRDefault="004134DD" w:rsidP="0004417B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946F9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4989</w:t>
                  </w:r>
                </w:p>
              </w:tc>
              <w:tc>
                <w:tcPr>
                  <w:tcW w:w="2751" w:type="dxa"/>
                  <w:shd w:val="clear" w:color="auto" w:fill="D9E1F2"/>
                  <w:vAlign w:val="center"/>
                </w:tcPr>
                <w:p w14:paraId="42BEAD8E" w14:textId="427E2615" w:rsidR="004134DD" w:rsidRPr="00E946F9" w:rsidRDefault="00AF70A0" w:rsidP="0004417B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3636" w:type="dxa"/>
                  <w:shd w:val="clear" w:color="auto" w:fill="D9E1F2"/>
                  <w:vAlign w:val="center"/>
                </w:tcPr>
                <w:p w14:paraId="2815019F" w14:textId="14AE62DB" w:rsidR="004134DD" w:rsidRPr="00E946F9" w:rsidRDefault="00AF70A0" w:rsidP="0004417B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2409" w:type="dxa"/>
                  <w:shd w:val="clear" w:color="auto" w:fill="D9E1F2"/>
                  <w:vAlign w:val="center"/>
                </w:tcPr>
                <w:p w14:paraId="48EBECDB" w14:textId="49C92B33" w:rsidR="004134DD" w:rsidRPr="00E946F9" w:rsidRDefault="004E4855" w:rsidP="0004417B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E946F9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£0</w:t>
                  </w:r>
                </w:p>
              </w:tc>
            </w:tr>
            <w:tr w:rsidR="00DD55C4" w:rsidRPr="00E946F9" w14:paraId="39954669" w14:textId="77777777" w:rsidTr="00A552B6">
              <w:trPr>
                <w:trHeight w:val="290"/>
              </w:trPr>
              <w:tc>
                <w:tcPr>
                  <w:tcW w:w="906" w:type="dxa"/>
                  <w:vAlign w:val="center"/>
                  <w:hideMark/>
                </w:tcPr>
                <w:p w14:paraId="3DB5DF88" w14:textId="16E728EA" w:rsidR="00DD55C4" w:rsidRPr="00E946F9" w:rsidRDefault="00C41B72" w:rsidP="0004417B">
                  <w:pP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E946F9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4990</w:t>
                  </w:r>
                </w:p>
              </w:tc>
              <w:tc>
                <w:tcPr>
                  <w:tcW w:w="2751" w:type="dxa"/>
                  <w:vAlign w:val="center"/>
                </w:tcPr>
                <w:p w14:paraId="69F56ACA" w14:textId="77777777" w:rsidR="00A552B6" w:rsidRDefault="00930C38" w:rsidP="0004417B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946F9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Service Area 1</w:t>
                  </w:r>
                  <w:r w:rsidR="00A552B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:</w:t>
                  </w:r>
                </w:p>
                <w:p w14:paraId="054D30C3" w14:textId="7D84C7E4" w:rsidR="00DD55C4" w:rsidRPr="00E946F9" w:rsidRDefault="00930C38" w:rsidP="0004417B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946F9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Manage Shipper Transfers </w:t>
                  </w:r>
                </w:p>
              </w:tc>
              <w:tc>
                <w:tcPr>
                  <w:tcW w:w="3636" w:type="dxa"/>
                  <w:vAlign w:val="center"/>
                  <w:hideMark/>
                </w:tcPr>
                <w:p w14:paraId="7D545FD5" w14:textId="7B6E369E" w:rsidR="00DD55C4" w:rsidRPr="00E946F9" w:rsidRDefault="00CA3177" w:rsidP="0004417B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Additional storage for </w:t>
                  </w:r>
                  <w:r w:rsidR="00F87995" w:rsidRPr="00E946F9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new DDP to ISU interface</w:t>
                  </w:r>
                </w:p>
              </w:tc>
              <w:tc>
                <w:tcPr>
                  <w:tcW w:w="2409" w:type="dxa"/>
                  <w:vAlign w:val="center"/>
                </w:tcPr>
                <w:p w14:paraId="28ED7B05" w14:textId="6759E576" w:rsidR="003D3C55" w:rsidRPr="00E946F9" w:rsidRDefault="008611B4" w:rsidP="00CA3177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E946F9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£</w:t>
                  </w:r>
                  <w:r w:rsidR="00CA3177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6,000</w:t>
                  </w:r>
                </w:p>
              </w:tc>
            </w:tr>
            <w:tr w:rsidR="00431E5E" w:rsidRPr="00E946F9" w14:paraId="589B970A" w14:textId="77777777" w:rsidTr="0034298D">
              <w:trPr>
                <w:trHeight w:val="290"/>
              </w:trPr>
              <w:tc>
                <w:tcPr>
                  <w:tcW w:w="906" w:type="dxa"/>
                  <w:shd w:val="clear" w:color="auto" w:fill="D9E1F2"/>
                  <w:vAlign w:val="center"/>
                </w:tcPr>
                <w:p w14:paraId="0ABA153B" w14:textId="23523F5D" w:rsidR="00431E5E" w:rsidRPr="00E946F9" w:rsidRDefault="000368F5" w:rsidP="0004417B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946F9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4992B</w:t>
                  </w:r>
                </w:p>
              </w:tc>
              <w:tc>
                <w:tcPr>
                  <w:tcW w:w="2751" w:type="dxa"/>
                  <w:shd w:val="clear" w:color="auto" w:fill="D9E1F2"/>
                  <w:vAlign w:val="center"/>
                </w:tcPr>
                <w:p w14:paraId="1FCD28EA" w14:textId="4A3BF633" w:rsidR="00431E5E" w:rsidRPr="00E946F9" w:rsidRDefault="00AF70A0" w:rsidP="0004417B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3636" w:type="dxa"/>
                  <w:shd w:val="clear" w:color="auto" w:fill="D9E1F2"/>
                  <w:vAlign w:val="center"/>
                </w:tcPr>
                <w:p w14:paraId="1CA7607E" w14:textId="22570D62" w:rsidR="00431E5E" w:rsidRPr="00E946F9" w:rsidRDefault="00AF70A0" w:rsidP="0004417B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2409" w:type="dxa"/>
                  <w:shd w:val="clear" w:color="auto" w:fill="D9E1F2"/>
                  <w:vAlign w:val="center"/>
                </w:tcPr>
                <w:p w14:paraId="5C2D8030" w14:textId="3A459924" w:rsidR="00431E5E" w:rsidRPr="00E946F9" w:rsidRDefault="000368F5" w:rsidP="0004417B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E946F9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£</w:t>
                  </w:r>
                  <w:r w:rsidR="00CA3177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DD55C4" w:rsidRPr="00E946F9" w14:paraId="2DAB426E" w14:textId="77777777" w:rsidTr="00A552B6">
              <w:trPr>
                <w:trHeight w:val="290"/>
              </w:trPr>
              <w:tc>
                <w:tcPr>
                  <w:tcW w:w="7295" w:type="dxa"/>
                  <w:gridSpan w:val="3"/>
                  <w:vAlign w:val="center"/>
                </w:tcPr>
                <w:p w14:paraId="392A9E8B" w14:textId="33D1F412" w:rsidR="00DD55C4" w:rsidRPr="00E946F9" w:rsidRDefault="00DD55C4" w:rsidP="0004417B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946F9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2409" w:type="dxa"/>
                  <w:vAlign w:val="center"/>
                </w:tcPr>
                <w:p w14:paraId="3310FC49" w14:textId="5D4A4CE5" w:rsidR="00DD55C4" w:rsidRPr="00E946F9" w:rsidRDefault="00D60A67" w:rsidP="0004417B">
                  <w:pPr>
                    <w:jc w:val="right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946F9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£</w:t>
                  </w:r>
                  <w:r w:rsidR="00AF70A0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6,000</w:t>
                  </w:r>
                </w:p>
              </w:tc>
            </w:tr>
          </w:tbl>
          <w:p w14:paraId="6F8E01C7" w14:textId="5192DF92" w:rsidR="00A04AD5" w:rsidRPr="002B2E87" w:rsidRDefault="00A04AD5" w:rsidP="002B2E87">
            <w:pPr>
              <w:contextualSpacing/>
              <w:rPr>
                <w:rFonts w:eastAsia="Times New Roman" w:cs="Arial"/>
                <w:b/>
                <w:szCs w:val="16"/>
              </w:rPr>
            </w:pPr>
          </w:p>
        </w:tc>
      </w:tr>
      <w:tr w:rsidR="002B2E87" w:rsidRPr="002B2E87" w14:paraId="005645AB" w14:textId="77777777" w:rsidTr="7867B4B0">
        <w:tc>
          <w:tcPr>
            <w:tcW w:w="5000" w:type="pct"/>
            <w:gridSpan w:val="2"/>
            <w:shd w:val="clear" w:color="auto" w:fill="3E5AA8" w:themeFill="accent1"/>
            <w:vAlign w:val="center"/>
          </w:tcPr>
          <w:p w14:paraId="0027578C" w14:textId="77777777" w:rsidR="002B2E87" w:rsidRPr="002B2E87" w:rsidRDefault="002B2E87" w:rsidP="002B2E87">
            <w:pPr>
              <w:jc w:val="center"/>
              <w:rPr>
                <w:rFonts w:eastAsia="Times New Roman" w:cs="Arial"/>
                <w:b/>
                <w:color w:val="FFFFFF"/>
                <w:szCs w:val="16"/>
              </w:rPr>
            </w:pPr>
            <w:r w:rsidRPr="002B2E87">
              <w:rPr>
                <w:rFonts w:eastAsia="Times New Roman" w:cs="Arial"/>
                <w:b/>
                <w:color w:val="FFFFFF"/>
                <w:sz w:val="20"/>
                <w:szCs w:val="16"/>
              </w:rPr>
              <w:t>Section 5: Project plan for delivery of the change</w:t>
            </w:r>
          </w:p>
        </w:tc>
      </w:tr>
      <w:tr w:rsidR="002B2E87" w:rsidRPr="002B2E87" w14:paraId="17686922" w14:textId="77777777" w:rsidTr="7867B4B0">
        <w:tc>
          <w:tcPr>
            <w:tcW w:w="5000" w:type="pct"/>
            <w:gridSpan w:val="2"/>
            <w:shd w:val="clear" w:color="auto" w:fill="auto"/>
          </w:tcPr>
          <w:p w14:paraId="4BF0156F" w14:textId="10CAD978" w:rsidR="00E947D5" w:rsidRDefault="00E947D5" w:rsidP="004F226A">
            <w:pPr>
              <w:rPr>
                <w:rFonts w:eastAsia="Times New Roman" w:cs="Arial"/>
                <w:b/>
                <w:sz w:val="20"/>
                <w:szCs w:val="16"/>
              </w:rPr>
            </w:pPr>
          </w:p>
          <w:p w14:paraId="458FA963" w14:textId="7E1D2537" w:rsidR="0041328B" w:rsidRDefault="003F568E" w:rsidP="001F7F6F">
            <w:pPr>
              <w:rPr>
                <w:rFonts w:eastAsia="Times New Roman" w:cs="Arial"/>
                <w:b/>
                <w:sz w:val="20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F29A717" wp14:editId="3BFBFDCA">
                  <wp:extent cx="6165215" cy="1374140"/>
                  <wp:effectExtent l="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215" cy="1374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378D65" w14:textId="77777777" w:rsidR="00E947D5" w:rsidRDefault="00E947D5" w:rsidP="001F7F6F">
            <w:pPr>
              <w:rPr>
                <w:rFonts w:eastAsia="Times New Roman" w:cs="Arial"/>
                <w:b/>
                <w:sz w:val="16"/>
                <w:szCs w:val="16"/>
              </w:rPr>
            </w:pPr>
          </w:p>
          <w:p w14:paraId="0FD357C2" w14:textId="42F87C75" w:rsidR="001531E7" w:rsidRPr="003F568E" w:rsidRDefault="00E57137" w:rsidP="001F7F6F">
            <w:pPr>
              <w:rPr>
                <w:rFonts w:eastAsia="Times New Roman" w:cs="Arial"/>
                <w:b/>
                <w:sz w:val="16"/>
                <w:szCs w:val="16"/>
              </w:rPr>
            </w:pPr>
            <w:r w:rsidRPr="003F568E">
              <w:rPr>
                <w:rFonts w:eastAsia="Times New Roman" w:cs="Arial"/>
                <w:b/>
                <w:sz w:val="16"/>
                <w:szCs w:val="16"/>
              </w:rPr>
              <w:t>P</w:t>
            </w:r>
            <w:r w:rsidR="004461BC">
              <w:rPr>
                <w:rFonts w:eastAsia="Times New Roman" w:cs="Arial"/>
                <w:b/>
                <w:sz w:val="16"/>
                <w:szCs w:val="16"/>
              </w:rPr>
              <w:t>ost Implementation Suppor</w:t>
            </w:r>
            <w:r w:rsidR="00F11CB3">
              <w:rPr>
                <w:rFonts w:eastAsia="Times New Roman" w:cs="Arial"/>
                <w:b/>
                <w:sz w:val="16"/>
                <w:szCs w:val="16"/>
              </w:rPr>
              <w:t>t</w:t>
            </w:r>
            <w:r w:rsidR="004461BC">
              <w:rPr>
                <w:rFonts w:eastAsia="Times New Roman" w:cs="Arial"/>
                <w:b/>
                <w:sz w:val="16"/>
                <w:szCs w:val="16"/>
              </w:rPr>
              <w:t xml:space="preserve"> (PIS)</w:t>
            </w:r>
            <w:r w:rsidRPr="003F568E">
              <w:rPr>
                <w:rFonts w:eastAsia="Times New Roman" w:cs="Arial"/>
                <w:b/>
                <w:sz w:val="16"/>
                <w:szCs w:val="16"/>
              </w:rPr>
              <w:t xml:space="preserve"> will be split into </w:t>
            </w:r>
            <w:r w:rsidR="00F846D9" w:rsidRPr="003F568E">
              <w:rPr>
                <w:rFonts w:eastAsia="Times New Roman" w:cs="Arial"/>
                <w:b/>
                <w:sz w:val="16"/>
                <w:szCs w:val="16"/>
              </w:rPr>
              <w:t>2</w:t>
            </w:r>
            <w:r w:rsidRPr="003F568E">
              <w:rPr>
                <w:rFonts w:eastAsia="Times New Roman" w:cs="Arial"/>
                <w:b/>
                <w:sz w:val="16"/>
                <w:szCs w:val="16"/>
              </w:rPr>
              <w:t xml:space="preserve"> </w:t>
            </w:r>
            <w:r w:rsidR="005A660B" w:rsidRPr="003F568E">
              <w:rPr>
                <w:rFonts w:eastAsia="Times New Roman" w:cs="Arial"/>
                <w:b/>
                <w:sz w:val="16"/>
                <w:szCs w:val="16"/>
              </w:rPr>
              <w:t xml:space="preserve">to cover the First Usage scenarios for </w:t>
            </w:r>
            <w:r w:rsidR="00F67051" w:rsidRPr="003F568E">
              <w:rPr>
                <w:rFonts w:eastAsia="Times New Roman" w:cs="Arial"/>
                <w:b/>
                <w:sz w:val="16"/>
                <w:szCs w:val="16"/>
              </w:rPr>
              <w:t>XRN4990</w:t>
            </w:r>
          </w:p>
          <w:p w14:paraId="08BB6042" w14:textId="76F428EF" w:rsidR="00A04AD5" w:rsidRPr="002B2E87" w:rsidRDefault="00A04AD5" w:rsidP="001F7F6F">
            <w:pPr>
              <w:rPr>
                <w:rFonts w:eastAsia="Times New Roman" w:cs="Arial"/>
                <w:b/>
                <w:sz w:val="20"/>
                <w:szCs w:val="16"/>
              </w:rPr>
            </w:pPr>
          </w:p>
        </w:tc>
      </w:tr>
      <w:tr w:rsidR="002B2E87" w:rsidRPr="002B2E87" w14:paraId="61F67236" w14:textId="77777777" w:rsidTr="7867B4B0">
        <w:tc>
          <w:tcPr>
            <w:tcW w:w="5000" w:type="pct"/>
            <w:gridSpan w:val="2"/>
            <w:shd w:val="clear" w:color="auto" w:fill="3E5AA8" w:themeFill="accent1"/>
            <w:vAlign w:val="center"/>
          </w:tcPr>
          <w:p w14:paraId="1B95EECA" w14:textId="672865BF" w:rsidR="002B2E87" w:rsidRPr="002B2E87" w:rsidRDefault="00EB1713" w:rsidP="002B2E87">
            <w:pPr>
              <w:jc w:val="center"/>
              <w:rPr>
                <w:rFonts w:eastAsia="Times New Roman" w:cs="Arial"/>
                <w:b/>
                <w:color w:val="FF0000"/>
                <w:szCs w:val="16"/>
              </w:rPr>
            </w:pPr>
            <w:r>
              <w:rPr>
                <w:rFonts w:eastAsia="Times New Roman" w:cs="Arial"/>
                <w:b/>
                <w:color w:val="FFFFFF"/>
                <w:sz w:val="20"/>
                <w:szCs w:val="16"/>
              </w:rPr>
              <w:t>S</w:t>
            </w:r>
            <w:r w:rsidR="002B2E87" w:rsidRPr="002B2E87">
              <w:rPr>
                <w:rFonts w:eastAsia="Times New Roman" w:cs="Arial"/>
                <w:b/>
                <w:color w:val="FFFFFF"/>
                <w:sz w:val="20"/>
                <w:szCs w:val="16"/>
              </w:rPr>
              <w:t>ection 6: Additional information relevant to the proposed service change</w:t>
            </w:r>
          </w:p>
        </w:tc>
      </w:tr>
      <w:tr w:rsidR="002B2E87" w:rsidRPr="002B2E87" w14:paraId="324B2E3C" w14:textId="77777777" w:rsidTr="7867B4B0">
        <w:tc>
          <w:tcPr>
            <w:tcW w:w="5000" w:type="pct"/>
            <w:gridSpan w:val="2"/>
            <w:shd w:val="clear" w:color="auto" w:fill="auto"/>
          </w:tcPr>
          <w:p w14:paraId="16028FC7" w14:textId="77777777" w:rsidR="00BA1C0D" w:rsidRDefault="00BA1C0D" w:rsidP="00C07933">
            <w:pPr>
              <w:rPr>
                <w:rFonts w:cs="Arial"/>
                <w:b/>
                <w:sz w:val="20"/>
                <w:szCs w:val="20"/>
              </w:rPr>
            </w:pPr>
          </w:p>
          <w:p w14:paraId="2F162FB3" w14:textId="64E70909" w:rsidR="002B04DD" w:rsidRDefault="0009754E" w:rsidP="00C0793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Risk </w:t>
            </w:r>
            <w:r w:rsidR="000932A6">
              <w:rPr>
                <w:rFonts w:cs="Arial"/>
                <w:b/>
                <w:sz w:val="20"/>
                <w:szCs w:val="20"/>
              </w:rPr>
              <w:t>m</w:t>
            </w:r>
            <w:r>
              <w:rPr>
                <w:rFonts w:cs="Arial"/>
                <w:b/>
                <w:sz w:val="20"/>
                <w:szCs w:val="20"/>
              </w:rPr>
              <w:t>argin</w:t>
            </w:r>
            <w:r w:rsidR="000932A6">
              <w:rPr>
                <w:rFonts w:cs="Arial"/>
                <w:b/>
                <w:sz w:val="20"/>
                <w:szCs w:val="20"/>
              </w:rPr>
              <w:t xml:space="preserve"> included for approval in this BER:</w:t>
            </w:r>
          </w:p>
          <w:p w14:paraId="28C44EA6" w14:textId="77777777" w:rsidR="00BA1C0D" w:rsidRDefault="00BA1C0D" w:rsidP="00C07933">
            <w:pPr>
              <w:rPr>
                <w:rFonts w:cs="Arial"/>
                <w:b/>
                <w:sz w:val="20"/>
                <w:szCs w:val="20"/>
              </w:rPr>
            </w:pPr>
          </w:p>
          <w:tbl>
            <w:tblPr>
              <w:tblW w:w="9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2"/>
              <w:gridCol w:w="1295"/>
              <w:gridCol w:w="7057"/>
            </w:tblGrid>
            <w:tr w:rsidR="0036721C" w:rsidRPr="00E946F9" w14:paraId="305B7992" w14:textId="77777777" w:rsidTr="0058700B">
              <w:trPr>
                <w:trHeight w:val="300"/>
              </w:trPr>
              <w:tc>
                <w:tcPr>
                  <w:tcW w:w="1172" w:type="dxa"/>
                  <w:shd w:val="clear" w:color="auto" w:fill="4472C4"/>
                  <w:noWrap/>
                  <w:vAlign w:val="center"/>
                  <w:hideMark/>
                </w:tcPr>
                <w:p w14:paraId="466D1D21" w14:textId="77777777" w:rsidR="0036721C" w:rsidRPr="00E946F9" w:rsidRDefault="0036721C" w:rsidP="005D1F4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E946F9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</w:rPr>
                    <w:t>XRN Ref</w:t>
                  </w:r>
                </w:p>
              </w:tc>
              <w:tc>
                <w:tcPr>
                  <w:tcW w:w="1295" w:type="dxa"/>
                  <w:shd w:val="clear" w:color="auto" w:fill="4472C4"/>
                  <w:noWrap/>
                  <w:vAlign w:val="center"/>
                  <w:hideMark/>
                </w:tcPr>
                <w:p w14:paraId="630347CA" w14:textId="77777777" w:rsidR="0036721C" w:rsidRPr="00E946F9" w:rsidRDefault="0036721C" w:rsidP="005D1F4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E946F9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</w:rPr>
                    <w:t>Risk Margin</w:t>
                  </w:r>
                </w:p>
              </w:tc>
              <w:tc>
                <w:tcPr>
                  <w:tcW w:w="7057" w:type="dxa"/>
                  <w:shd w:val="clear" w:color="auto" w:fill="4472C4"/>
                  <w:noWrap/>
                  <w:vAlign w:val="center"/>
                  <w:hideMark/>
                </w:tcPr>
                <w:p w14:paraId="0FE5F132" w14:textId="77777777" w:rsidR="0036721C" w:rsidRPr="00E946F9" w:rsidRDefault="0036721C" w:rsidP="005D1F4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E946F9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</w:rPr>
                    <w:t>Description</w:t>
                  </w:r>
                </w:p>
              </w:tc>
            </w:tr>
            <w:tr w:rsidR="00420CFB" w:rsidRPr="00E946F9" w14:paraId="4B752F23" w14:textId="77777777" w:rsidTr="00E946F9">
              <w:trPr>
                <w:trHeight w:val="300"/>
              </w:trPr>
              <w:tc>
                <w:tcPr>
                  <w:tcW w:w="1172" w:type="dxa"/>
                  <w:shd w:val="clear" w:color="auto" w:fill="auto"/>
                  <w:noWrap/>
                  <w:vAlign w:val="center"/>
                </w:tcPr>
                <w:p w14:paraId="3351C838" w14:textId="44FE820F" w:rsidR="00F11CB3" w:rsidRPr="00E946F9" w:rsidRDefault="00420CFB" w:rsidP="005D1F4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946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XRN49</w:t>
                  </w:r>
                  <w:r w:rsidR="00E64254" w:rsidRPr="00E946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92B</w:t>
                  </w:r>
                </w:p>
              </w:tc>
              <w:tc>
                <w:tcPr>
                  <w:tcW w:w="1295" w:type="dxa"/>
                  <w:shd w:val="clear" w:color="auto" w:fill="auto"/>
                  <w:noWrap/>
                  <w:vAlign w:val="center"/>
                </w:tcPr>
                <w:p w14:paraId="637AE74E" w14:textId="7481D541" w:rsidR="00420CFB" w:rsidRPr="00E946F9" w:rsidRDefault="001D5B76" w:rsidP="00182A4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946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£</w:t>
                  </w:r>
                  <w:r w:rsidR="001A303F" w:rsidRPr="00E946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11,</w:t>
                  </w:r>
                  <w:r w:rsidR="00590448" w:rsidRPr="00E946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7057" w:type="dxa"/>
                  <w:shd w:val="clear" w:color="auto" w:fill="auto"/>
                  <w:noWrap/>
                  <w:vAlign w:val="center"/>
                </w:tcPr>
                <w:p w14:paraId="7D0888CE" w14:textId="08A153F0" w:rsidR="00F11CB3" w:rsidRPr="00E946F9" w:rsidRDefault="00420CFB" w:rsidP="005D1F4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946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Change to requirements</w:t>
                  </w:r>
                  <w:r w:rsidR="001175BE" w:rsidRPr="00E946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as</w:t>
                  </w:r>
                  <w:r w:rsidR="00B765EB" w:rsidRPr="00E946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a design change pack is expected on the back of the C</w:t>
                  </w:r>
                  <w:r w:rsidR="001175BE" w:rsidRPr="00E946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hange Request</w:t>
                  </w:r>
                  <w:r w:rsidR="00B765EB" w:rsidRPr="00E946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to include IGT's (MOD No 809</w:t>
                  </w:r>
                  <w:r w:rsidR="00F11CB3" w:rsidRPr="00E946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)</w:t>
                  </w:r>
                  <w:r w:rsidRPr="00E946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1175BE" w:rsidRPr="00E946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–</w:t>
                  </w:r>
                  <w:r w:rsidRPr="00E946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1175BE" w:rsidRPr="00E946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Risk Margin </w:t>
                  </w:r>
                  <w:r w:rsidRPr="00E946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timebound to end of PIS</w:t>
                  </w:r>
                </w:p>
              </w:tc>
            </w:tr>
            <w:tr w:rsidR="00420CFB" w:rsidRPr="00E946F9" w14:paraId="2FE615A1" w14:textId="77777777" w:rsidTr="00B96504">
              <w:trPr>
                <w:trHeight w:val="300"/>
              </w:trPr>
              <w:tc>
                <w:tcPr>
                  <w:tcW w:w="1172" w:type="dxa"/>
                  <w:shd w:val="clear" w:color="auto" w:fill="D9E1F2"/>
                  <w:noWrap/>
                  <w:vAlign w:val="center"/>
                </w:tcPr>
                <w:p w14:paraId="4053B3A0" w14:textId="19BCFAA9" w:rsidR="00F11CB3" w:rsidRPr="00E946F9" w:rsidRDefault="00983B1E" w:rsidP="005D1F4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946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All</w:t>
                  </w:r>
                </w:p>
              </w:tc>
              <w:tc>
                <w:tcPr>
                  <w:tcW w:w="1295" w:type="dxa"/>
                  <w:shd w:val="clear" w:color="auto" w:fill="D9E1F2"/>
                  <w:noWrap/>
                  <w:vAlign w:val="center"/>
                </w:tcPr>
                <w:p w14:paraId="661ED5F1" w14:textId="275D3A5C" w:rsidR="00F11CB3" w:rsidRPr="00E946F9" w:rsidRDefault="00EB1713" w:rsidP="00182A4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946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£</w:t>
                  </w:r>
                  <w:r w:rsidR="005D3AC7" w:rsidRPr="00E946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6,</w:t>
                  </w:r>
                  <w:r w:rsidR="00D83D74" w:rsidRPr="00E946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565</w:t>
                  </w:r>
                </w:p>
              </w:tc>
              <w:tc>
                <w:tcPr>
                  <w:tcW w:w="7057" w:type="dxa"/>
                  <w:shd w:val="clear" w:color="auto" w:fill="D9E1F2"/>
                  <w:noWrap/>
                  <w:vAlign w:val="center"/>
                </w:tcPr>
                <w:p w14:paraId="48027011" w14:textId="73BCD7A1" w:rsidR="00420CFB" w:rsidRPr="00E946F9" w:rsidRDefault="000B7262" w:rsidP="005D1F4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946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MTB Costs could increase or decrease as we </w:t>
                  </w:r>
                  <w:r w:rsidR="00506384" w:rsidRPr="00E946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progress</w:t>
                  </w:r>
                  <w:r w:rsidRPr="00E946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506384" w:rsidRPr="00E946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through delivery</w:t>
                  </w:r>
                  <w:r w:rsidRPr="00E946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506384" w:rsidRPr="00E946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as</w:t>
                  </w:r>
                  <w:r w:rsidRPr="00E946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more understanding of the MTB work post implementation is available-</w:t>
                  </w:r>
                  <w:r w:rsidR="00506384" w:rsidRPr="00E946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Risk Margin </w:t>
                  </w:r>
                  <w:r w:rsidRPr="00E946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timebound from implementation to end of PIS</w:t>
                  </w:r>
                </w:p>
              </w:tc>
            </w:tr>
          </w:tbl>
          <w:p w14:paraId="49982AA7" w14:textId="77777777" w:rsidR="002B2E87" w:rsidRDefault="002B2E87" w:rsidP="0009754E">
            <w:pPr>
              <w:pStyle w:val="NGTHeading3"/>
              <w:numPr>
                <w:ilvl w:val="0"/>
                <w:numId w:val="0"/>
              </w:numPr>
              <w:spacing w:line="240" w:lineRule="auto"/>
              <w:ind w:left="720"/>
              <w:rPr>
                <w:szCs w:val="20"/>
                <w:lang w:val="en-US"/>
              </w:rPr>
            </w:pPr>
          </w:p>
          <w:p w14:paraId="625836F7" w14:textId="01C2E29C" w:rsidR="000932A6" w:rsidRDefault="000932A6" w:rsidP="000932A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Delivery risks to be monitored throughout the </w:t>
            </w:r>
            <w:r w:rsidR="008B2B47">
              <w:rPr>
                <w:rFonts w:cs="Arial"/>
                <w:b/>
                <w:sz w:val="20"/>
                <w:szCs w:val="20"/>
              </w:rPr>
              <w:t>delivery of this release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  <w:p w14:paraId="0E40D704" w14:textId="77777777" w:rsidR="0009754E" w:rsidRDefault="0009754E" w:rsidP="000932A6">
            <w:pPr>
              <w:pStyle w:val="NGTHeading3"/>
              <w:numPr>
                <w:ilvl w:val="0"/>
                <w:numId w:val="0"/>
              </w:numPr>
              <w:spacing w:line="240" w:lineRule="auto"/>
              <w:rPr>
                <w:szCs w:val="20"/>
                <w:lang w:val="en-US"/>
              </w:rPr>
            </w:pPr>
          </w:p>
          <w:p w14:paraId="34480ADE" w14:textId="6D48FB1A" w:rsidR="008B2B47" w:rsidRDefault="003F6E17" w:rsidP="00D62954">
            <w:pPr>
              <w:pStyle w:val="NGTHeading3"/>
              <w:numPr>
                <w:ilvl w:val="0"/>
                <w:numId w:val="18"/>
              </w:numPr>
              <w:spacing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There </w:t>
            </w:r>
            <w:r w:rsidR="00FC60A9">
              <w:rPr>
                <w:szCs w:val="20"/>
                <w:lang w:val="en-US"/>
              </w:rPr>
              <w:t>is a risk that code changes</w:t>
            </w:r>
            <w:r w:rsidR="006F3E55">
              <w:rPr>
                <w:szCs w:val="20"/>
                <w:lang w:val="en-US"/>
              </w:rPr>
              <w:t xml:space="preserve"> made for different XRNs within the release will become </w:t>
            </w:r>
            <w:r w:rsidR="006C1B6E">
              <w:rPr>
                <w:szCs w:val="20"/>
                <w:lang w:val="en-US"/>
              </w:rPr>
              <w:t>interdependent</w:t>
            </w:r>
            <w:r w:rsidR="005531A4">
              <w:rPr>
                <w:szCs w:val="20"/>
                <w:lang w:val="en-US"/>
              </w:rPr>
              <w:t xml:space="preserve"> because they will be affecting commons objects in the system(s).</w:t>
            </w:r>
            <w:r w:rsidR="0058353E">
              <w:rPr>
                <w:szCs w:val="20"/>
                <w:lang w:val="en-US"/>
              </w:rPr>
              <w:t xml:space="preserve"> This could lead to delays to </w:t>
            </w:r>
            <w:r w:rsidR="00395B9D">
              <w:rPr>
                <w:szCs w:val="20"/>
                <w:lang w:val="en-US"/>
              </w:rPr>
              <w:t xml:space="preserve">other XRNs if one </w:t>
            </w:r>
            <w:proofErr w:type="gramStart"/>
            <w:r w:rsidR="00395B9D">
              <w:rPr>
                <w:szCs w:val="20"/>
                <w:lang w:val="en-US"/>
              </w:rPr>
              <w:t>particular change</w:t>
            </w:r>
            <w:proofErr w:type="gramEnd"/>
            <w:r w:rsidR="00395B9D">
              <w:rPr>
                <w:szCs w:val="20"/>
                <w:lang w:val="en-US"/>
              </w:rPr>
              <w:t xml:space="preserve"> is deferred or descoped as the </w:t>
            </w:r>
            <w:r w:rsidR="00723079">
              <w:rPr>
                <w:szCs w:val="20"/>
                <w:lang w:val="en-US"/>
              </w:rPr>
              <w:t xml:space="preserve">code objects will have to </w:t>
            </w:r>
            <w:r w:rsidR="00A602B2">
              <w:rPr>
                <w:szCs w:val="20"/>
                <w:lang w:val="en-US"/>
              </w:rPr>
              <w:t xml:space="preserve">be </w:t>
            </w:r>
            <w:r w:rsidR="00723079">
              <w:rPr>
                <w:szCs w:val="20"/>
                <w:lang w:val="en-US"/>
              </w:rPr>
              <w:t>reworked</w:t>
            </w:r>
            <w:r w:rsidR="00A602B2">
              <w:rPr>
                <w:szCs w:val="20"/>
                <w:lang w:val="en-US"/>
              </w:rPr>
              <w:t>.</w:t>
            </w:r>
          </w:p>
          <w:p w14:paraId="64B54F24" w14:textId="37A6316A" w:rsidR="00A602B2" w:rsidRDefault="00B80324" w:rsidP="00D62954">
            <w:pPr>
              <w:pStyle w:val="NGTHeading3"/>
              <w:numPr>
                <w:ilvl w:val="0"/>
                <w:numId w:val="18"/>
              </w:numPr>
              <w:spacing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CSSC </w:t>
            </w:r>
            <w:r w:rsidR="00F56BDB">
              <w:rPr>
                <w:szCs w:val="20"/>
                <w:lang w:val="en-US"/>
              </w:rPr>
              <w:t>PIS will be continuing alongside the build and test phase for the February 23 release</w:t>
            </w:r>
            <w:r w:rsidR="002512D9">
              <w:rPr>
                <w:szCs w:val="20"/>
                <w:lang w:val="en-US"/>
              </w:rPr>
              <w:t xml:space="preserve">. This could lead to </w:t>
            </w:r>
            <w:r w:rsidR="00842917">
              <w:rPr>
                <w:szCs w:val="20"/>
                <w:lang w:val="en-US"/>
              </w:rPr>
              <w:t xml:space="preserve">changes being made that could impact the underlying code set on which the release is being built which will lead to </w:t>
            </w:r>
            <w:r w:rsidR="007E5EC3">
              <w:rPr>
                <w:szCs w:val="20"/>
                <w:lang w:val="en-US"/>
              </w:rPr>
              <w:t>rework and retest activity for the release and therefore possible delivery delays.</w:t>
            </w:r>
          </w:p>
          <w:p w14:paraId="29FF59CF" w14:textId="2AECDB4D" w:rsidR="007E5EC3" w:rsidRDefault="00C23DCF" w:rsidP="00D62954">
            <w:pPr>
              <w:pStyle w:val="NGTHeading3"/>
              <w:numPr>
                <w:ilvl w:val="0"/>
                <w:numId w:val="18"/>
              </w:numPr>
              <w:spacing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Following the </w:t>
            </w:r>
            <w:r w:rsidR="00C8254B">
              <w:rPr>
                <w:szCs w:val="20"/>
                <w:lang w:val="en-US"/>
              </w:rPr>
              <w:t>go live of REC</w:t>
            </w:r>
            <w:r w:rsidR="00ED3EB3">
              <w:rPr>
                <w:szCs w:val="20"/>
                <w:lang w:val="en-US"/>
              </w:rPr>
              <w:t xml:space="preserve">, </w:t>
            </w:r>
            <w:r w:rsidR="00D85F8B">
              <w:rPr>
                <w:szCs w:val="20"/>
                <w:lang w:val="en-US"/>
              </w:rPr>
              <w:t xml:space="preserve">urgent changes may well be raised </w:t>
            </w:r>
            <w:r w:rsidR="00705C13">
              <w:rPr>
                <w:szCs w:val="20"/>
                <w:lang w:val="en-US"/>
              </w:rPr>
              <w:t>that could be added into this release</w:t>
            </w:r>
            <w:r w:rsidR="007C119E">
              <w:rPr>
                <w:szCs w:val="20"/>
                <w:lang w:val="en-US"/>
              </w:rPr>
              <w:t xml:space="preserve"> prior to go live. Whilst these additions would result in a</w:t>
            </w:r>
            <w:r w:rsidR="00A81F1A">
              <w:rPr>
                <w:szCs w:val="20"/>
                <w:lang w:val="en-US"/>
              </w:rPr>
              <w:t xml:space="preserve">n updated BER being presented, </w:t>
            </w:r>
            <w:r w:rsidR="00F022DC">
              <w:rPr>
                <w:szCs w:val="20"/>
                <w:lang w:val="en-US"/>
              </w:rPr>
              <w:t>so there would be no cost impact</w:t>
            </w:r>
            <w:r w:rsidR="005B19C1">
              <w:rPr>
                <w:szCs w:val="20"/>
                <w:lang w:val="en-US"/>
              </w:rPr>
              <w:t xml:space="preserve"> to what has been approved</w:t>
            </w:r>
            <w:r w:rsidR="00667D87">
              <w:rPr>
                <w:szCs w:val="20"/>
                <w:lang w:val="en-US"/>
              </w:rPr>
              <w:t xml:space="preserve">, they could cause delays to the </w:t>
            </w:r>
            <w:proofErr w:type="gramStart"/>
            <w:r w:rsidR="00667D87">
              <w:rPr>
                <w:szCs w:val="20"/>
                <w:lang w:val="en-US"/>
              </w:rPr>
              <w:t>release</w:t>
            </w:r>
            <w:r w:rsidR="00703F5A">
              <w:rPr>
                <w:szCs w:val="20"/>
                <w:lang w:val="en-US"/>
              </w:rPr>
              <w:t xml:space="preserve"> as a whole</w:t>
            </w:r>
            <w:proofErr w:type="gramEnd"/>
            <w:r w:rsidR="00703F5A">
              <w:rPr>
                <w:szCs w:val="20"/>
                <w:lang w:val="en-US"/>
              </w:rPr>
              <w:t>.</w:t>
            </w:r>
          </w:p>
          <w:p w14:paraId="03E5FAD7" w14:textId="6727A24A" w:rsidR="00703F5A" w:rsidRDefault="007C2644" w:rsidP="00D62954">
            <w:pPr>
              <w:pStyle w:val="NGTHeading3"/>
              <w:numPr>
                <w:ilvl w:val="0"/>
                <w:numId w:val="18"/>
              </w:numPr>
              <w:spacing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This is the first significant UK Link release that has been delivered in February</w:t>
            </w:r>
            <w:r w:rsidR="00C02D87">
              <w:rPr>
                <w:szCs w:val="20"/>
                <w:lang w:val="en-US"/>
              </w:rPr>
              <w:t xml:space="preserve"> and so it </w:t>
            </w:r>
            <w:r w:rsidR="004250C5">
              <w:rPr>
                <w:szCs w:val="20"/>
                <w:lang w:val="en-US"/>
              </w:rPr>
              <w:t xml:space="preserve">will have to accommodate in its timeline the impact of Christmas holidays on resource availability </w:t>
            </w:r>
            <w:proofErr w:type="gramStart"/>
            <w:r w:rsidR="004250C5">
              <w:rPr>
                <w:szCs w:val="20"/>
                <w:lang w:val="en-US"/>
              </w:rPr>
              <w:t xml:space="preserve">and </w:t>
            </w:r>
            <w:r w:rsidR="004467DB">
              <w:rPr>
                <w:szCs w:val="20"/>
                <w:lang w:val="en-US"/>
              </w:rPr>
              <w:t>also</w:t>
            </w:r>
            <w:proofErr w:type="gramEnd"/>
            <w:r w:rsidR="004467DB">
              <w:rPr>
                <w:szCs w:val="20"/>
                <w:lang w:val="en-US"/>
              </w:rPr>
              <w:t xml:space="preserve"> the Christmas systems moratorium that </w:t>
            </w:r>
            <w:r w:rsidR="00903B63">
              <w:rPr>
                <w:szCs w:val="20"/>
                <w:lang w:val="en-US"/>
              </w:rPr>
              <w:t>could delay progression into the BAU and pre-production environments in January/February 2023.</w:t>
            </w:r>
          </w:p>
          <w:p w14:paraId="2462F122" w14:textId="13D6AAC3" w:rsidR="00903B63" w:rsidRDefault="00560924" w:rsidP="00D62954">
            <w:pPr>
              <w:pStyle w:val="NGTHeading3"/>
              <w:numPr>
                <w:ilvl w:val="0"/>
                <w:numId w:val="18"/>
              </w:numPr>
              <w:spacing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There is significant instability within the </w:t>
            </w:r>
            <w:r w:rsidR="00AD3715">
              <w:rPr>
                <w:szCs w:val="20"/>
                <w:lang w:val="en-US"/>
              </w:rPr>
              <w:t xml:space="preserve">current market and as winter approaches there is </w:t>
            </w:r>
            <w:r w:rsidR="00A7688A">
              <w:rPr>
                <w:szCs w:val="20"/>
                <w:lang w:val="en-US"/>
              </w:rPr>
              <w:t xml:space="preserve">a risk of further </w:t>
            </w:r>
            <w:r w:rsidR="00C23BE7">
              <w:rPr>
                <w:szCs w:val="20"/>
                <w:lang w:val="en-US"/>
              </w:rPr>
              <w:t>crisis in the industry</w:t>
            </w:r>
            <w:r w:rsidR="00EC1289">
              <w:rPr>
                <w:szCs w:val="20"/>
                <w:lang w:val="en-US"/>
              </w:rPr>
              <w:t xml:space="preserve"> or significant </w:t>
            </w:r>
            <w:r w:rsidR="00FA64AC">
              <w:rPr>
                <w:szCs w:val="20"/>
                <w:lang w:val="en-US"/>
              </w:rPr>
              <w:t>events that could impact the delivery of this release.</w:t>
            </w:r>
          </w:p>
          <w:p w14:paraId="71512791" w14:textId="77777777" w:rsidR="000932A6" w:rsidRDefault="000932A6" w:rsidP="000932A6">
            <w:pPr>
              <w:pStyle w:val="NGTHeading3"/>
              <w:numPr>
                <w:ilvl w:val="0"/>
                <w:numId w:val="0"/>
              </w:numPr>
              <w:spacing w:line="240" w:lineRule="auto"/>
              <w:rPr>
                <w:szCs w:val="20"/>
                <w:lang w:val="en-US"/>
              </w:rPr>
            </w:pPr>
          </w:p>
          <w:p w14:paraId="15DA294E" w14:textId="52A0383A" w:rsidR="008B3815" w:rsidRDefault="008B3815" w:rsidP="000932A6">
            <w:pPr>
              <w:pStyle w:val="NGTHeading3"/>
              <w:numPr>
                <w:ilvl w:val="0"/>
                <w:numId w:val="0"/>
              </w:numPr>
              <w:spacing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None of the above have a quantifiable cost that can be included in the risk margin for this </w:t>
            </w:r>
            <w:proofErr w:type="gramStart"/>
            <w:r>
              <w:rPr>
                <w:szCs w:val="20"/>
                <w:lang w:val="en-US"/>
              </w:rPr>
              <w:t>delivery</w:t>
            </w:r>
            <w:proofErr w:type="gramEnd"/>
            <w:r>
              <w:rPr>
                <w:szCs w:val="20"/>
                <w:lang w:val="en-US"/>
              </w:rPr>
              <w:t xml:space="preserve"> but all have been recorded here for visibility and acknowledgement of </w:t>
            </w:r>
            <w:r w:rsidR="00C801A7">
              <w:rPr>
                <w:szCs w:val="20"/>
                <w:lang w:val="en-US"/>
              </w:rPr>
              <w:t>ChMC</w:t>
            </w:r>
            <w:r w:rsidR="00943D13">
              <w:rPr>
                <w:szCs w:val="20"/>
                <w:lang w:val="en-US"/>
              </w:rPr>
              <w:t xml:space="preserve">. They will be reported on through the monthly </w:t>
            </w:r>
            <w:r w:rsidR="008613DB">
              <w:rPr>
                <w:szCs w:val="20"/>
                <w:lang w:val="en-US"/>
              </w:rPr>
              <w:t>project progress reports to ChMC</w:t>
            </w:r>
          </w:p>
          <w:p w14:paraId="05EEB966" w14:textId="5167CAC1" w:rsidR="008B3815" w:rsidRPr="00D24E05" w:rsidRDefault="008B3815" w:rsidP="000932A6">
            <w:pPr>
              <w:pStyle w:val="NGTHeading3"/>
              <w:numPr>
                <w:ilvl w:val="0"/>
                <w:numId w:val="0"/>
              </w:numPr>
              <w:spacing w:line="240" w:lineRule="auto"/>
              <w:rPr>
                <w:szCs w:val="20"/>
                <w:lang w:val="en-US"/>
              </w:rPr>
            </w:pPr>
          </w:p>
        </w:tc>
      </w:tr>
    </w:tbl>
    <w:p w14:paraId="093985C6" w14:textId="77777777" w:rsidR="002B2E87" w:rsidRPr="002B2E87" w:rsidRDefault="002B2E87" w:rsidP="002B2E87">
      <w:pPr>
        <w:rPr>
          <w:rFonts w:eastAsia="Arial" w:cs="Arial"/>
          <w:b/>
        </w:rPr>
      </w:pPr>
    </w:p>
    <w:p w14:paraId="0268A5E2" w14:textId="623F31DE" w:rsidR="00D24E05" w:rsidRPr="00B41E08" w:rsidRDefault="002B2E87" w:rsidP="00B41E08">
      <w:pPr>
        <w:rPr>
          <w:rFonts w:eastAsia="Arial" w:cs="Arial"/>
          <w:b/>
        </w:rPr>
      </w:pPr>
      <w:r w:rsidRPr="002B2E87">
        <w:rPr>
          <w:rFonts w:eastAsia="Arial" w:cs="Arial"/>
          <w:b/>
        </w:rPr>
        <w:t xml:space="preserve">Please send completed form to: </w:t>
      </w:r>
      <w:hyperlink r:id="rId17" w:history="1">
        <w:r w:rsidRPr="002B2E87">
          <w:rPr>
            <w:rFonts w:eastAsia="Arial" w:cs="Arial"/>
            <w:b/>
            <w:color w:val="D2232A"/>
            <w:u w:val="single"/>
          </w:rPr>
          <w:t>box.xoserve.portfoliooffice@xoserve.com</w:t>
        </w:r>
      </w:hyperlink>
    </w:p>
    <w:p w14:paraId="067C933B" w14:textId="77777777" w:rsidR="00F45E78" w:rsidRDefault="00F45E78" w:rsidP="002B2E87">
      <w:pPr>
        <w:pStyle w:val="NoSpacing"/>
        <w:rPr>
          <w:rFonts w:eastAsia="Arial"/>
        </w:rPr>
      </w:pPr>
    </w:p>
    <w:p w14:paraId="312BB892" w14:textId="77777777" w:rsidR="00BF66FB" w:rsidRDefault="00BF66FB" w:rsidP="002B2E87">
      <w:pPr>
        <w:pStyle w:val="NoSpacing"/>
        <w:rPr>
          <w:rFonts w:eastAsia="Arial"/>
        </w:rPr>
      </w:pPr>
    </w:p>
    <w:p w14:paraId="3251AA56" w14:textId="77777777" w:rsidR="002B2E87" w:rsidRPr="002B2E87" w:rsidRDefault="002B2E87" w:rsidP="002B2E87">
      <w:pPr>
        <w:rPr>
          <w:rFonts w:eastAsia="Arial" w:cs="Times New Roman"/>
          <w:b/>
          <w:sz w:val="20"/>
          <w:szCs w:val="20"/>
        </w:rPr>
      </w:pPr>
      <w:r w:rsidRPr="002B2E87">
        <w:rPr>
          <w:rFonts w:eastAsia="Arial" w:cs="Times New Roman"/>
          <w:b/>
          <w:sz w:val="20"/>
          <w:szCs w:val="20"/>
        </w:rPr>
        <w:t>Document Version History</w:t>
      </w:r>
    </w:p>
    <w:tbl>
      <w:tblPr>
        <w:tblStyle w:val="TableGrid1"/>
        <w:tblW w:w="5519" w:type="pct"/>
        <w:tblInd w:w="-459" w:type="dxa"/>
        <w:tblLook w:val="04A0" w:firstRow="1" w:lastRow="0" w:firstColumn="1" w:lastColumn="0" w:noHBand="0" w:noVBand="1"/>
      </w:tblPr>
      <w:tblGrid>
        <w:gridCol w:w="1065"/>
        <w:gridCol w:w="2649"/>
        <w:gridCol w:w="1278"/>
        <w:gridCol w:w="1560"/>
        <w:gridCol w:w="3400"/>
      </w:tblGrid>
      <w:tr w:rsidR="00E947D5" w:rsidRPr="002B2E87" w14:paraId="05C01B9A" w14:textId="77777777" w:rsidTr="00C0520E">
        <w:trPr>
          <w:trHeight w:val="611"/>
        </w:trPr>
        <w:tc>
          <w:tcPr>
            <w:tcW w:w="535" w:type="pct"/>
            <w:shd w:val="clear" w:color="auto" w:fill="D6DCF0" w:themeFill="accent1" w:themeFillTint="33"/>
            <w:vAlign w:val="center"/>
          </w:tcPr>
          <w:p w14:paraId="0200727F" w14:textId="77777777" w:rsidR="002B2E87" w:rsidRPr="002B2E87" w:rsidRDefault="002B2E87" w:rsidP="002B2E87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2B2E87">
              <w:rPr>
                <w:rFonts w:eastAsia="Times New Roman" w:cs="Arial"/>
                <w:b/>
                <w:sz w:val="20"/>
                <w:szCs w:val="20"/>
              </w:rPr>
              <w:t>Version</w:t>
            </w:r>
          </w:p>
        </w:tc>
        <w:tc>
          <w:tcPr>
            <w:tcW w:w="1331" w:type="pct"/>
            <w:shd w:val="clear" w:color="auto" w:fill="D6DCF0" w:themeFill="accent1" w:themeFillTint="33"/>
            <w:vAlign w:val="center"/>
          </w:tcPr>
          <w:p w14:paraId="66353007" w14:textId="77777777" w:rsidR="002B2E87" w:rsidRPr="002B2E87" w:rsidRDefault="002B2E87" w:rsidP="002B2E87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2B2E87">
              <w:rPr>
                <w:rFonts w:eastAsia="Times New Roman" w:cs="Arial"/>
                <w:b/>
                <w:sz w:val="20"/>
                <w:szCs w:val="20"/>
              </w:rPr>
              <w:t>Status</w:t>
            </w:r>
          </w:p>
        </w:tc>
        <w:tc>
          <w:tcPr>
            <w:tcW w:w="642" w:type="pct"/>
            <w:shd w:val="clear" w:color="auto" w:fill="D6DCF0" w:themeFill="accent1" w:themeFillTint="33"/>
            <w:vAlign w:val="center"/>
          </w:tcPr>
          <w:p w14:paraId="218057BC" w14:textId="77777777" w:rsidR="002B2E87" w:rsidRPr="002B2E87" w:rsidRDefault="002B2E87" w:rsidP="002B2E87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2B2E87">
              <w:rPr>
                <w:rFonts w:eastAsia="Times New Roman" w:cs="Arial"/>
                <w:b/>
                <w:sz w:val="20"/>
                <w:szCs w:val="20"/>
              </w:rPr>
              <w:t>Date</w:t>
            </w:r>
          </w:p>
        </w:tc>
        <w:tc>
          <w:tcPr>
            <w:tcW w:w="784" w:type="pct"/>
            <w:shd w:val="clear" w:color="auto" w:fill="D6DCF0" w:themeFill="accent1" w:themeFillTint="33"/>
            <w:vAlign w:val="center"/>
          </w:tcPr>
          <w:p w14:paraId="53B293F3" w14:textId="77777777" w:rsidR="002B2E87" w:rsidRPr="002B2E87" w:rsidRDefault="002B2E87" w:rsidP="002B2E87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2B2E87">
              <w:rPr>
                <w:rFonts w:eastAsia="Times New Roman" w:cs="Arial"/>
                <w:b/>
                <w:sz w:val="20"/>
                <w:szCs w:val="20"/>
              </w:rPr>
              <w:t>Author(s)</w:t>
            </w:r>
          </w:p>
        </w:tc>
        <w:tc>
          <w:tcPr>
            <w:tcW w:w="1708" w:type="pct"/>
            <w:shd w:val="clear" w:color="auto" w:fill="D6DCF0" w:themeFill="accent1" w:themeFillTint="33"/>
            <w:vAlign w:val="center"/>
          </w:tcPr>
          <w:p w14:paraId="04E2A427" w14:textId="77777777" w:rsidR="002B2E87" w:rsidRPr="002B2E87" w:rsidRDefault="002B2E87" w:rsidP="002B2E87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2B2E87">
              <w:rPr>
                <w:rFonts w:eastAsia="Times New Roman" w:cs="Arial"/>
                <w:b/>
                <w:sz w:val="20"/>
                <w:szCs w:val="20"/>
              </w:rPr>
              <w:t>Summary of Changes</w:t>
            </w:r>
          </w:p>
        </w:tc>
      </w:tr>
      <w:tr w:rsidR="002B2E87" w:rsidRPr="002B2E87" w14:paraId="4BA4A705" w14:textId="77777777" w:rsidTr="00C0520E">
        <w:tc>
          <w:tcPr>
            <w:tcW w:w="535" w:type="pct"/>
          </w:tcPr>
          <w:p w14:paraId="35EF9599" w14:textId="1DE9C32F" w:rsidR="002B2E87" w:rsidRPr="002B2E87" w:rsidRDefault="00C721D4" w:rsidP="002B2E8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0.1</w:t>
            </w:r>
          </w:p>
        </w:tc>
        <w:tc>
          <w:tcPr>
            <w:tcW w:w="1331" w:type="pct"/>
          </w:tcPr>
          <w:p w14:paraId="434AE054" w14:textId="3D89FC6F" w:rsidR="002B2E87" w:rsidRPr="002B2E87" w:rsidRDefault="0032604C" w:rsidP="005D1F1B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Draft </w:t>
            </w:r>
          </w:p>
        </w:tc>
        <w:tc>
          <w:tcPr>
            <w:tcW w:w="642" w:type="pct"/>
          </w:tcPr>
          <w:p w14:paraId="2A8CD6E0" w14:textId="6EE90377" w:rsidR="002B2E87" w:rsidRPr="002B2E87" w:rsidRDefault="00DE7399" w:rsidP="002B2E8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01</w:t>
            </w:r>
            <w:r w:rsidR="00D56421">
              <w:rPr>
                <w:rFonts w:eastAsia="Times New Roman" w:cs="Arial"/>
                <w:sz w:val="20"/>
                <w:szCs w:val="20"/>
              </w:rPr>
              <w:t>/0</w:t>
            </w:r>
            <w:r>
              <w:rPr>
                <w:rFonts w:eastAsia="Times New Roman" w:cs="Arial"/>
                <w:sz w:val="20"/>
                <w:szCs w:val="20"/>
              </w:rPr>
              <w:t>7</w:t>
            </w:r>
            <w:r w:rsidR="00014007">
              <w:rPr>
                <w:rFonts w:eastAsia="Times New Roman" w:cs="Arial"/>
                <w:sz w:val="20"/>
                <w:szCs w:val="20"/>
              </w:rPr>
              <w:t>/202</w:t>
            </w:r>
            <w:r w:rsidR="0042165F">
              <w:rPr>
                <w:rFonts w:eastAsia="Times New Roman" w:cs="Arial"/>
                <w:sz w:val="20"/>
                <w:szCs w:val="20"/>
              </w:rPr>
              <w:t>2</w:t>
            </w:r>
          </w:p>
        </w:tc>
        <w:tc>
          <w:tcPr>
            <w:tcW w:w="784" w:type="pct"/>
          </w:tcPr>
          <w:p w14:paraId="781C197A" w14:textId="061FE291" w:rsidR="002B2E87" w:rsidRPr="002B2E87" w:rsidRDefault="00DE7399" w:rsidP="002B2E8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Surf Tambe</w:t>
            </w:r>
          </w:p>
        </w:tc>
        <w:tc>
          <w:tcPr>
            <w:tcW w:w="1708" w:type="pct"/>
          </w:tcPr>
          <w:p w14:paraId="690A4FCF" w14:textId="0AB8685A" w:rsidR="002B2E87" w:rsidRPr="002B2E87" w:rsidRDefault="00DE7399" w:rsidP="005D1F1B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Draft of BER</w:t>
            </w:r>
          </w:p>
        </w:tc>
      </w:tr>
      <w:tr w:rsidR="00975BC5" w:rsidRPr="002B2E87" w14:paraId="420D8008" w14:textId="77777777" w:rsidTr="00C0520E">
        <w:tc>
          <w:tcPr>
            <w:tcW w:w="535" w:type="pct"/>
          </w:tcPr>
          <w:p w14:paraId="570905FA" w14:textId="57C0AB52" w:rsidR="00975BC5" w:rsidRDefault="002617C6" w:rsidP="002B2E8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0.</w:t>
            </w:r>
            <w:r w:rsidR="00DA0BAE">
              <w:rPr>
                <w:rFonts w:eastAsia="Times New Roman" w:cs="Arial"/>
                <w:sz w:val="20"/>
                <w:szCs w:val="20"/>
              </w:rPr>
              <w:t>2</w:t>
            </w:r>
          </w:p>
        </w:tc>
        <w:tc>
          <w:tcPr>
            <w:tcW w:w="1331" w:type="pct"/>
          </w:tcPr>
          <w:p w14:paraId="10372868" w14:textId="0DB7142C" w:rsidR="00975BC5" w:rsidRDefault="00CA5E86" w:rsidP="005D1F1B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Stakeholder Review</w:t>
            </w:r>
          </w:p>
        </w:tc>
        <w:tc>
          <w:tcPr>
            <w:tcW w:w="642" w:type="pct"/>
          </w:tcPr>
          <w:p w14:paraId="2F15D66E" w14:textId="6A1ADD8B" w:rsidR="00975BC5" w:rsidRDefault="00FC6F9B" w:rsidP="002B2E8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07/07/2022</w:t>
            </w:r>
          </w:p>
        </w:tc>
        <w:tc>
          <w:tcPr>
            <w:tcW w:w="784" w:type="pct"/>
          </w:tcPr>
          <w:p w14:paraId="73CFF9B9" w14:textId="14412675" w:rsidR="00975BC5" w:rsidRDefault="00FC6F9B" w:rsidP="002B2E8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Surf Tambe</w:t>
            </w:r>
          </w:p>
        </w:tc>
        <w:tc>
          <w:tcPr>
            <w:tcW w:w="1708" w:type="pct"/>
          </w:tcPr>
          <w:p w14:paraId="0CAC1E27" w14:textId="587037A5" w:rsidR="00975BC5" w:rsidRDefault="007A05A1" w:rsidP="005D1F1B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Internal review of BER</w:t>
            </w:r>
          </w:p>
        </w:tc>
      </w:tr>
      <w:tr w:rsidR="008E458F" w:rsidRPr="002B2E87" w14:paraId="4E78B688" w14:textId="77777777" w:rsidTr="00C0520E">
        <w:tc>
          <w:tcPr>
            <w:tcW w:w="535" w:type="pct"/>
          </w:tcPr>
          <w:p w14:paraId="0B3FDD7E" w14:textId="58FEA866" w:rsidR="008E458F" w:rsidRDefault="002658DF" w:rsidP="002B2E8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0.</w:t>
            </w:r>
            <w:r w:rsidR="007A05A1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1331" w:type="pct"/>
          </w:tcPr>
          <w:p w14:paraId="2C20ECC9" w14:textId="038BA99D" w:rsidR="008E458F" w:rsidRDefault="002658DF" w:rsidP="002658DF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For Xoserve review</w:t>
            </w:r>
          </w:p>
        </w:tc>
        <w:tc>
          <w:tcPr>
            <w:tcW w:w="642" w:type="pct"/>
          </w:tcPr>
          <w:p w14:paraId="0628B5D6" w14:textId="0FEBC33F" w:rsidR="008E458F" w:rsidRDefault="007E3B77" w:rsidP="002B2E8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08/07/2022</w:t>
            </w:r>
          </w:p>
        </w:tc>
        <w:tc>
          <w:tcPr>
            <w:tcW w:w="784" w:type="pct"/>
          </w:tcPr>
          <w:p w14:paraId="62D48BE9" w14:textId="782A168A" w:rsidR="008E458F" w:rsidRDefault="007E3B77" w:rsidP="002B2E8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Surf</w:t>
            </w:r>
            <w:r w:rsidR="00892840">
              <w:rPr>
                <w:rFonts w:eastAsia="Times New Roman" w:cs="Arial"/>
                <w:sz w:val="20"/>
                <w:szCs w:val="20"/>
              </w:rPr>
              <w:t xml:space="preserve"> Tambe</w:t>
            </w:r>
          </w:p>
        </w:tc>
        <w:tc>
          <w:tcPr>
            <w:tcW w:w="1708" w:type="pct"/>
          </w:tcPr>
          <w:p w14:paraId="0F085A31" w14:textId="2612938A" w:rsidR="008E458F" w:rsidRDefault="00311365" w:rsidP="00BB5EEE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Clean copy for Xoserve review</w:t>
            </w:r>
          </w:p>
        </w:tc>
      </w:tr>
      <w:tr w:rsidR="00306F47" w:rsidRPr="002B2E87" w14:paraId="46761F7A" w14:textId="77777777" w:rsidTr="00C0520E">
        <w:tc>
          <w:tcPr>
            <w:tcW w:w="535" w:type="pct"/>
          </w:tcPr>
          <w:p w14:paraId="040B495A" w14:textId="6662210B" w:rsidR="00306F47" w:rsidRDefault="007A05A1" w:rsidP="002B2E8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</w:t>
            </w:r>
            <w:r w:rsidR="005C059D">
              <w:rPr>
                <w:rFonts w:eastAsia="Times New Roman" w:cs="Arial"/>
                <w:sz w:val="20"/>
                <w:szCs w:val="20"/>
              </w:rPr>
              <w:t>.</w:t>
            </w:r>
            <w:r>
              <w:rPr>
                <w:rFonts w:eastAsia="Times New Roman" w:cs="Arial"/>
                <w:sz w:val="20"/>
                <w:szCs w:val="20"/>
              </w:rPr>
              <w:t>4</w:t>
            </w:r>
          </w:p>
        </w:tc>
        <w:tc>
          <w:tcPr>
            <w:tcW w:w="1331" w:type="pct"/>
          </w:tcPr>
          <w:p w14:paraId="4009A2AA" w14:textId="720DA7DF" w:rsidR="00306F47" w:rsidRDefault="00266EF3" w:rsidP="00266EF3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For Xoserve approval</w:t>
            </w:r>
          </w:p>
        </w:tc>
        <w:tc>
          <w:tcPr>
            <w:tcW w:w="642" w:type="pct"/>
          </w:tcPr>
          <w:p w14:paraId="4CB22A99" w14:textId="17950735" w:rsidR="00306F47" w:rsidRDefault="00FC512D" w:rsidP="002B2E8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14/07/2022</w:t>
            </w:r>
          </w:p>
        </w:tc>
        <w:tc>
          <w:tcPr>
            <w:tcW w:w="784" w:type="pct"/>
          </w:tcPr>
          <w:p w14:paraId="6A191D6D" w14:textId="0C9F7635" w:rsidR="00306F47" w:rsidRDefault="00FC512D" w:rsidP="002B2E8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Surf Tambe</w:t>
            </w:r>
          </w:p>
        </w:tc>
        <w:tc>
          <w:tcPr>
            <w:tcW w:w="1708" w:type="pct"/>
          </w:tcPr>
          <w:p w14:paraId="608AC360" w14:textId="4A4DF011" w:rsidR="00306F47" w:rsidRDefault="00FC512D" w:rsidP="00266EF3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Updated copy for Xoserve approval</w:t>
            </w:r>
          </w:p>
        </w:tc>
      </w:tr>
      <w:tr w:rsidR="00345937" w:rsidRPr="002B2E87" w14:paraId="349233CC" w14:textId="77777777" w:rsidTr="00C0520E">
        <w:tc>
          <w:tcPr>
            <w:tcW w:w="535" w:type="pct"/>
          </w:tcPr>
          <w:p w14:paraId="695FFAD4" w14:textId="1962A528" w:rsidR="00345937" w:rsidRDefault="005C059D" w:rsidP="002B2E8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1.0</w:t>
            </w:r>
          </w:p>
        </w:tc>
        <w:tc>
          <w:tcPr>
            <w:tcW w:w="1331" w:type="pct"/>
          </w:tcPr>
          <w:p w14:paraId="222678A7" w14:textId="3E8560F5" w:rsidR="00345937" w:rsidRDefault="0062085B" w:rsidP="00266EF3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Submitted to ChMC for approval</w:t>
            </w:r>
          </w:p>
        </w:tc>
        <w:tc>
          <w:tcPr>
            <w:tcW w:w="642" w:type="pct"/>
          </w:tcPr>
          <w:p w14:paraId="38EF542B" w14:textId="0C5BEB6C" w:rsidR="00345937" w:rsidRDefault="00345937" w:rsidP="002B2E87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784" w:type="pct"/>
          </w:tcPr>
          <w:p w14:paraId="507CC39F" w14:textId="776F855B" w:rsidR="00345937" w:rsidRDefault="00345937" w:rsidP="002B2E87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08" w:type="pct"/>
          </w:tcPr>
          <w:p w14:paraId="5D6987F9" w14:textId="3AEB7EE2" w:rsidR="00345937" w:rsidRDefault="00345937" w:rsidP="00266EF3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06A83719" w14:textId="77777777" w:rsidR="002B2E87" w:rsidRPr="002B2E87" w:rsidRDefault="002B2E87" w:rsidP="002B2E87">
      <w:pPr>
        <w:rPr>
          <w:rFonts w:eastAsia="Arial" w:cs="Times New Roman"/>
          <w:sz w:val="20"/>
          <w:szCs w:val="20"/>
        </w:rPr>
      </w:pPr>
    </w:p>
    <w:sectPr w:rsidR="002B2E87" w:rsidRPr="002B2E87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2B23E" w14:textId="77777777" w:rsidR="006A2BA0" w:rsidRDefault="006A2BA0" w:rsidP="00324744">
      <w:pPr>
        <w:spacing w:after="0" w:line="240" w:lineRule="auto"/>
      </w:pPr>
      <w:r>
        <w:separator/>
      </w:r>
    </w:p>
  </w:endnote>
  <w:endnote w:type="continuationSeparator" w:id="0">
    <w:p w14:paraId="39D5EE7A" w14:textId="77777777" w:rsidR="006A2BA0" w:rsidRDefault="006A2BA0" w:rsidP="00324744">
      <w:pPr>
        <w:spacing w:after="0" w:line="240" w:lineRule="auto"/>
      </w:pPr>
      <w:r>
        <w:continuationSeparator/>
      </w:r>
    </w:p>
  </w:endnote>
  <w:endnote w:type="continuationNotice" w:id="1">
    <w:p w14:paraId="00BD2754" w14:textId="77777777" w:rsidR="006A2BA0" w:rsidRDefault="006A2B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5A75" w14:textId="77777777" w:rsidR="00135C0D" w:rsidRDefault="00135C0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E175A78" wp14:editId="3E175A79">
              <wp:simplePos x="0" y="0"/>
              <wp:positionH relativeFrom="column">
                <wp:posOffset>-914400</wp:posOffset>
              </wp:positionH>
              <wp:positionV relativeFrom="paragraph">
                <wp:posOffset>376555</wp:posOffset>
              </wp:positionV>
              <wp:extent cx="7562850" cy="2571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62986E3E" id="Rectangle 2" o:spid="_x0000_s1026" style="position:absolute;margin-left:-1in;margin-top:29.65pt;width:595.5pt;height:20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+ZCdQIAAGIFAAAOAAAAZHJzL2Uyb0RvYy54bWysVMFu2zAMvQ/YPwi6r46DpumCOkXQosOA&#10;oi3WDj2rslQLkEWNUuJkXz9KdpwuK3YY5oMsiuQj+UTq4nLbWrZRGAy4ipcnE86Uk1Ab91rx7083&#10;n845C1G4WlhwquI7Ffjl8uOHi84v1BQasLVCRiAuLDpf8SZGvyiKIBvVinACXjlSasBWRBLxtahR&#10;dITe2mI6mZwVHWDtEaQKgU6veyVfZnytlYz3WgcVma045Rbzinl9SWuxvBCLVxS+MXJIQ/xDFq0w&#10;joKOUNciCrZG8wdUayRCAB1PJLQFaG2kyjVQNeXkqJrHRniVayFygh9pCv8PVt5tHv0DEg2dD4tA&#10;21TFVmOb/pQf22aydiNZahuZpMP57Gx6PiNOJemms3k5nyU2i4O3xxC/KGhZ2lQc6TIyR2JzG2Jv&#10;ujdJwQJYU98Ya7OQGkBdWWQbQVcnpFQu7gP8ZmldsneQPHvQdFIcysm7uLMq2Vn3TWlmaipgmpPJ&#10;nXYcqOxVjahVH382oW8ob/TIxWbAhKwp/og9ALxXRDnADPbJVeVGHZ0nf0usL3H0yJHBxdG5NQ7w&#10;PQAbx8i9/Z6knprE0gvUuwdkCP2YBC9vDF3drQjxQSDNBd02zXq8p0Vb6CoOw46zBvDne+fJntqV&#10;tJx1NGcVDz/WAhVn9qujRv5cnp6mwczC6Ww+JQHfal7eaty6vQLqh5JeFS/zNtlHu99qhPaZnoRV&#10;ikoq4STFrriMuBeuYj//9KhItVplMxpGL+Kte/QygSdWU2s+bZ8F+qF/I3X+HexnUiyO2ri3TZ4O&#10;VusI2uQeP/A68E2DnBtneHTSS/FWzlaHp3H5CwAA//8DAFBLAwQUAAYACAAAACEAqQY3pt8AAAAL&#10;AQAADwAAAGRycy9kb3ducmV2LnhtbEyPwU7DMBBE70j8g7VI3FqnkNImxKmAwhEBAe7beBtHjddR&#10;7LTh73FPcNzZ0cybYjPZThxp8K1jBYt5AoK4drrlRsHX58tsDcIHZI2dY1LwQx425eVFgbl2J/6g&#10;YxUaEUPY56jAhNDnUvrakEU/dz1x/O3dYDHEc2ikHvAUw20nb5LkTlpsOTYY7OnJUH2oRhtLcOtX&#10;xk3f4+vb/jE5PLfL7Xul1PXV9HAPItAU/sxwxo/oUEamnRtZe9EpmC3SNI4JCpbZLYizI0lXUdkp&#10;yLI1yLKQ/zeUvwAAAP//AwBQSwECLQAUAAYACAAAACEAtoM4kv4AAADhAQAAEwAAAAAAAAAAAAAA&#10;AAAAAAAAW0NvbnRlbnRfVHlwZXNdLnhtbFBLAQItABQABgAIAAAAIQA4/SH/1gAAAJQBAAALAAAA&#10;AAAAAAAAAAAAAC8BAABfcmVscy8ucmVsc1BLAQItABQABgAIAAAAIQDbp+ZCdQIAAGIFAAAOAAAA&#10;AAAAAAAAAAAAAC4CAABkcnMvZTJvRG9jLnhtbFBLAQItABQABgAIAAAAIQCpBjem3wAAAAsBAAAP&#10;AAAAAAAAAAAAAAAAAM8EAABkcnMvZG93bnJldi54bWxQSwUGAAAAAAQABADzAAAA2wUAAAAA&#10;" fillcolor="#40d1f5 [3208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62A8C" w14:textId="77777777" w:rsidR="006A2BA0" w:rsidRDefault="006A2BA0" w:rsidP="00324744">
      <w:pPr>
        <w:spacing w:after="0" w:line="240" w:lineRule="auto"/>
      </w:pPr>
      <w:r>
        <w:separator/>
      </w:r>
    </w:p>
  </w:footnote>
  <w:footnote w:type="continuationSeparator" w:id="0">
    <w:p w14:paraId="0E549438" w14:textId="77777777" w:rsidR="006A2BA0" w:rsidRDefault="006A2BA0" w:rsidP="00324744">
      <w:pPr>
        <w:spacing w:after="0" w:line="240" w:lineRule="auto"/>
      </w:pPr>
      <w:r>
        <w:continuationSeparator/>
      </w:r>
    </w:p>
  </w:footnote>
  <w:footnote w:type="continuationNotice" w:id="1">
    <w:p w14:paraId="30AC9BCF" w14:textId="77777777" w:rsidR="006A2BA0" w:rsidRDefault="006A2B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5A74" w14:textId="77777777" w:rsidR="00135C0D" w:rsidRDefault="00135C0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175A76" wp14:editId="3E175A77">
              <wp:simplePos x="0" y="0"/>
              <wp:positionH relativeFrom="column">
                <wp:posOffset>-914400</wp:posOffset>
              </wp:positionH>
              <wp:positionV relativeFrom="paragraph">
                <wp:posOffset>-487681</wp:posOffset>
              </wp:positionV>
              <wp:extent cx="7562850" cy="257175"/>
              <wp:effectExtent l="0" t="0" r="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38A0D775" id="Rectangle 1" o:spid="_x0000_s1026" style="position:absolute;margin-left:-1in;margin-top:-38.4pt;width:595.5pt;height:20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2hcgIAAGIFAAAOAAAAZHJzL2Uyb0RvYy54bWysVG1r2zAQ/j7YfxD6vjoOTdOFOiWkdAxK&#10;W9aOflZlKTbIOu2kxMl+/U7yS7q2bDDmD7Kke+7t0d1dXO4bw3YKfQ224PnJhDNlJZS13RT8++P1&#10;p3POfBC2FAasKvhBeX65/PjhonULNYUKTKmQkRHrF60reBWCW2SZl5VqhD8BpywJNWAjAh1xk5Uo&#10;WrLemGw6mZxlLWDpEKTynm6vOiFfJvtaKxnutPYqMFNwii2kFdP6HNdseSEWGxSuqmUfhviHKBpR&#10;W3I6mroSQbAt1m9MNbVE8KDDiYQmA61rqVIOlE0+eZXNQyWcSrkQOd6NNPn/Z1be7h7cPRINrfML&#10;T9uYxV5jE/8UH9snsg4jWWofmKTL+exsej4jTiXJprN5Pp9FNrOjtkMfvihoWNwUHOkxEkdid+ND&#10;Bx0g0ZkHU5fXtTHpEAtArQ2ynaCnE1IqG/LewW9IYyPeQtTsjMab7JhO2oWDURFn7DelWV1SAtMU&#10;TKq0t45SDJUoVed/NqFv8D6ElpJNBiNak//Rdv4n212UPT6qqlSoo/Lk78qjRvIMNozKTW0B3zNg&#10;Rvp0hx9I6qiJLD1DebhHhtC1iXfyuqanuxE+3AukvqDXpl4Pd7RoA23Bod9xVgH+fO8+4qlcScpZ&#10;S31WcP9jK1BxZr5aKuTP+elpbMx0OJ3Np3TAl5LnlxK7bdZA9ZDTVHEybSM+mGGrEZonGgmr6JVE&#10;wkryXXAZcDisQ9f/NFSkWq0SjJrRiXBjH5yMxiOrsTQf908CXV+/gSr/FoaeFItXZdxho6aF1TaA&#10;rlONH3nt+aZGToXTD504KV6eE+o4Gpe/AAAA//8DAFBLAwQUAAYACAAAACEATDeVQuEAAAANAQAA&#10;DwAAAGRycy9kb3ducmV2LnhtbEyPQU/DMAyF70j8h8hI3LZ0rHSoNJ0AiZ1hTAhuWeO1FY0TNena&#10;8evxTuNmPz89f69YT7YTR+xD60jBYp6AQKqcaalWsPt4nT2ACFGT0Z0jVHDCAOvy+qrQuXEjveNx&#10;G2vBIRRyraCJ0edShqpBq8PceSS+HVxvdeS1r6Xp9cjhtpN3SZJJq1viD432+NJg9bMdrAK/2b19&#10;H5pnP2anz/vNVA9fv+2g1O3N9PQIIuIUL2Y44zM6lMy0dwOZIDoFs0WacpnI0yrjEmdLkq5Y2rO0&#10;zJYgy0L+b1H+AQAA//8DAFBLAQItABQABgAIAAAAIQC2gziS/gAAAOEBAAATAAAAAAAAAAAAAAAA&#10;AAAAAABbQ29udGVudF9UeXBlc10ueG1sUEsBAi0AFAAGAAgAAAAhADj9If/WAAAAlAEAAAsAAAAA&#10;AAAAAAAAAAAALwEAAF9yZWxzLy5yZWxzUEsBAi0AFAAGAAgAAAAhABIRjaFyAgAAYgUAAA4AAAAA&#10;AAAAAAAAAAAALgIAAGRycy9lMm9Eb2MueG1sUEsBAi0AFAAGAAgAAAAhAEw3lULhAAAADQEAAA8A&#10;AAAAAAAAAAAAAAAAzAQAAGRycy9kb3ducmV2LnhtbFBLBQYAAAAABAAEAPMAAADaBQAAAAA=&#10;" fillcolor="#3e5aa8 [3204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697"/>
    <w:multiLevelType w:val="hybridMultilevel"/>
    <w:tmpl w:val="083C2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172F3"/>
    <w:multiLevelType w:val="hybridMultilevel"/>
    <w:tmpl w:val="242C0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22A7A"/>
    <w:multiLevelType w:val="hybridMultilevel"/>
    <w:tmpl w:val="4EAA3C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7A2E05"/>
    <w:multiLevelType w:val="hybridMultilevel"/>
    <w:tmpl w:val="F61AE970"/>
    <w:lvl w:ilvl="0" w:tplc="C1CA03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E6F16"/>
    <w:multiLevelType w:val="multilevel"/>
    <w:tmpl w:val="688057E0"/>
    <w:lvl w:ilvl="0">
      <w:start w:val="1"/>
      <w:numFmt w:val="decimal"/>
      <w:pStyle w:val="NGT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NGTHeading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NGTHeading3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pStyle w:val="NGTHeading4"/>
      <w:lvlText w:val="(%4)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4">
      <w:start w:val="1"/>
      <w:numFmt w:val="upperLetter"/>
      <w:pStyle w:val="NGTHeading5"/>
      <w:lvlText w:val="(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pStyle w:val="NGTHeading6"/>
      <w:lvlText w:val="(%6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upperRoman"/>
      <w:pStyle w:val="NGTHeading7"/>
      <w:lvlText w:val="(%7)"/>
      <w:lvlJc w:val="left"/>
      <w:pPr>
        <w:tabs>
          <w:tab w:val="num" w:pos="3555"/>
        </w:tabs>
        <w:ind w:left="3402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5" w15:restartNumberingAfterBreak="0">
    <w:nsid w:val="179721F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3467D7"/>
    <w:multiLevelType w:val="hybridMultilevel"/>
    <w:tmpl w:val="23CEE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06510"/>
    <w:multiLevelType w:val="hybridMultilevel"/>
    <w:tmpl w:val="C3620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211D8"/>
    <w:multiLevelType w:val="hybridMultilevel"/>
    <w:tmpl w:val="8530FD7E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49807874"/>
    <w:multiLevelType w:val="multilevel"/>
    <w:tmpl w:val="0FA819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4E7F2B4F"/>
    <w:multiLevelType w:val="hybridMultilevel"/>
    <w:tmpl w:val="456A7ADA"/>
    <w:name w:val="Style411"/>
    <w:styleLink w:val="Style411"/>
    <w:lvl w:ilvl="0" w:tplc="5A689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E04A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D94286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AAE33A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ED6EC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2945DF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0E29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19EDC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078D96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F5E1AFB"/>
    <w:multiLevelType w:val="hybridMultilevel"/>
    <w:tmpl w:val="AB0A3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37B69"/>
    <w:multiLevelType w:val="hybridMultilevel"/>
    <w:tmpl w:val="648CD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84AD5"/>
    <w:multiLevelType w:val="hybridMultilevel"/>
    <w:tmpl w:val="078E2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D1E00"/>
    <w:multiLevelType w:val="hybridMultilevel"/>
    <w:tmpl w:val="8D184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A664FD"/>
    <w:multiLevelType w:val="hybridMultilevel"/>
    <w:tmpl w:val="3DBA5FC8"/>
    <w:lvl w:ilvl="0" w:tplc="C3A88E7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078BE"/>
    <w:multiLevelType w:val="hybridMultilevel"/>
    <w:tmpl w:val="DE82B7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A92A79"/>
    <w:multiLevelType w:val="hybridMultilevel"/>
    <w:tmpl w:val="F246FFCC"/>
    <w:name w:val="Style41"/>
    <w:styleLink w:val="Style41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0001A">
      <w:start w:val="1"/>
      <w:numFmt w:val="lowerLetter"/>
      <w:lvlText w:val="%2."/>
      <w:lvlJc w:val="left"/>
      <w:pPr>
        <w:ind w:left="1440" w:hanging="360"/>
      </w:pPr>
    </w:lvl>
    <w:lvl w:ilvl="2" w:tplc="276E2C02">
      <w:start w:val="1"/>
      <w:numFmt w:val="lowerRoman"/>
      <w:lvlText w:val="%3."/>
      <w:lvlJc w:val="right"/>
      <w:pPr>
        <w:ind w:left="2160" w:hanging="180"/>
      </w:pPr>
    </w:lvl>
    <w:lvl w:ilvl="3" w:tplc="99864048">
      <w:start w:val="1"/>
      <w:numFmt w:val="decimal"/>
      <w:lvlText w:val="%4."/>
      <w:lvlJc w:val="left"/>
      <w:pPr>
        <w:ind w:left="2880" w:hanging="360"/>
      </w:pPr>
    </w:lvl>
    <w:lvl w:ilvl="4" w:tplc="9B244D5C">
      <w:start w:val="1"/>
      <w:numFmt w:val="lowerLetter"/>
      <w:lvlText w:val="%5."/>
      <w:lvlJc w:val="left"/>
      <w:pPr>
        <w:ind w:left="3600" w:hanging="360"/>
      </w:pPr>
    </w:lvl>
    <w:lvl w:ilvl="5" w:tplc="4F12EAAE">
      <w:start w:val="1"/>
      <w:numFmt w:val="lowerRoman"/>
      <w:lvlText w:val="%6."/>
      <w:lvlJc w:val="right"/>
      <w:pPr>
        <w:ind w:left="4320" w:hanging="180"/>
      </w:pPr>
    </w:lvl>
    <w:lvl w:ilvl="6" w:tplc="ABDEF396">
      <w:start w:val="1"/>
      <w:numFmt w:val="decimal"/>
      <w:lvlText w:val="%7."/>
      <w:lvlJc w:val="left"/>
      <w:pPr>
        <w:ind w:left="5040" w:hanging="360"/>
      </w:pPr>
    </w:lvl>
    <w:lvl w:ilvl="7" w:tplc="7F148600">
      <w:start w:val="1"/>
      <w:numFmt w:val="lowerLetter"/>
      <w:lvlText w:val="%8."/>
      <w:lvlJc w:val="left"/>
      <w:pPr>
        <w:ind w:left="5760" w:hanging="360"/>
      </w:pPr>
    </w:lvl>
    <w:lvl w:ilvl="8" w:tplc="440863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14"/>
  </w:num>
  <w:num w:numId="7">
    <w:abstractNumId w:val="1"/>
  </w:num>
  <w:num w:numId="8">
    <w:abstractNumId w:val="11"/>
  </w:num>
  <w:num w:numId="9">
    <w:abstractNumId w:val="17"/>
  </w:num>
  <w:num w:numId="10">
    <w:abstractNumId w:val="10"/>
  </w:num>
  <w:num w:numId="11">
    <w:abstractNumId w:val="3"/>
  </w:num>
  <w:num w:numId="12">
    <w:abstractNumId w:val="2"/>
  </w:num>
  <w:num w:numId="13">
    <w:abstractNumId w:val="16"/>
  </w:num>
  <w:num w:numId="14">
    <w:abstractNumId w:val="8"/>
  </w:num>
  <w:num w:numId="15">
    <w:abstractNumId w:val="15"/>
  </w:num>
  <w:num w:numId="16">
    <w:abstractNumId w:val="7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DB"/>
    <w:rsid w:val="0000140B"/>
    <w:rsid w:val="0000299E"/>
    <w:rsid w:val="000041D6"/>
    <w:rsid w:val="00006BB6"/>
    <w:rsid w:val="00006E29"/>
    <w:rsid w:val="00010986"/>
    <w:rsid w:val="00010EB6"/>
    <w:rsid w:val="00011681"/>
    <w:rsid w:val="00014007"/>
    <w:rsid w:val="00014747"/>
    <w:rsid w:val="00014DA2"/>
    <w:rsid w:val="00016736"/>
    <w:rsid w:val="00016CD3"/>
    <w:rsid w:val="0001772D"/>
    <w:rsid w:val="000223FF"/>
    <w:rsid w:val="000229F1"/>
    <w:rsid w:val="0002511B"/>
    <w:rsid w:val="000257F7"/>
    <w:rsid w:val="00025955"/>
    <w:rsid w:val="0003136C"/>
    <w:rsid w:val="00035EB2"/>
    <w:rsid w:val="00036325"/>
    <w:rsid w:val="000368F5"/>
    <w:rsid w:val="0003758F"/>
    <w:rsid w:val="00040B7E"/>
    <w:rsid w:val="0004141D"/>
    <w:rsid w:val="00042DB8"/>
    <w:rsid w:val="00043629"/>
    <w:rsid w:val="0004417B"/>
    <w:rsid w:val="0004427F"/>
    <w:rsid w:val="00045E44"/>
    <w:rsid w:val="000471A3"/>
    <w:rsid w:val="000503C6"/>
    <w:rsid w:val="0005209B"/>
    <w:rsid w:val="00055749"/>
    <w:rsid w:val="0005577C"/>
    <w:rsid w:val="00055F7C"/>
    <w:rsid w:val="000560C0"/>
    <w:rsid w:val="00057653"/>
    <w:rsid w:val="000579FD"/>
    <w:rsid w:val="00057AFE"/>
    <w:rsid w:val="00057F11"/>
    <w:rsid w:val="0006032B"/>
    <w:rsid w:val="000608B3"/>
    <w:rsid w:val="00060E2B"/>
    <w:rsid w:val="000612CE"/>
    <w:rsid w:val="00061BCD"/>
    <w:rsid w:val="000620C4"/>
    <w:rsid w:val="0006230E"/>
    <w:rsid w:val="00062E9C"/>
    <w:rsid w:val="00062EB0"/>
    <w:rsid w:val="00065459"/>
    <w:rsid w:val="00066EA4"/>
    <w:rsid w:val="00074FDE"/>
    <w:rsid w:val="0007561C"/>
    <w:rsid w:val="00075669"/>
    <w:rsid w:val="000759A1"/>
    <w:rsid w:val="000774B8"/>
    <w:rsid w:val="000778AE"/>
    <w:rsid w:val="00077DB3"/>
    <w:rsid w:val="000807EF"/>
    <w:rsid w:val="000818D5"/>
    <w:rsid w:val="0008363C"/>
    <w:rsid w:val="00083E49"/>
    <w:rsid w:val="00084714"/>
    <w:rsid w:val="00086F14"/>
    <w:rsid w:val="000870F3"/>
    <w:rsid w:val="000909E7"/>
    <w:rsid w:val="000932A6"/>
    <w:rsid w:val="00093D54"/>
    <w:rsid w:val="0009489D"/>
    <w:rsid w:val="00094AA2"/>
    <w:rsid w:val="000958A5"/>
    <w:rsid w:val="00095B8A"/>
    <w:rsid w:val="000972CB"/>
    <w:rsid w:val="0009754E"/>
    <w:rsid w:val="00097557"/>
    <w:rsid w:val="000A09DA"/>
    <w:rsid w:val="000A1AD1"/>
    <w:rsid w:val="000A4611"/>
    <w:rsid w:val="000A4EFA"/>
    <w:rsid w:val="000A5402"/>
    <w:rsid w:val="000A66E9"/>
    <w:rsid w:val="000A6A9E"/>
    <w:rsid w:val="000A71BB"/>
    <w:rsid w:val="000B1B5B"/>
    <w:rsid w:val="000B1D95"/>
    <w:rsid w:val="000B26DE"/>
    <w:rsid w:val="000B2E95"/>
    <w:rsid w:val="000B332E"/>
    <w:rsid w:val="000B406F"/>
    <w:rsid w:val="000B411F"/>
    <w:rsid w:val="000B6963"/>
    <w:rsid w:val="000B7262"/>
    <w:rsid w:val="000B73EA"/>
    <w:rsid w:val="000B7CF3"/>
    <w:rsid w:val="000C16E1"/>
    <w:rsid w:val="000C2380"/>
    <w:rsid w:val="000C2924"/>
    <w:rsid w:val="000C3EC6"/>
    <w:rsid w:val="000C6E46"/>
    <w:rsid w:val="000C74D3"/>
    <w:rsid w:val="000D05B9"/>
    <w:rsid w:val="000D16ED"/>
    <w:rsid w:val="000D252F"/>
    <w:rsid w:val="000E0DC2"/>
    <w:rsid w:val="000E0F8B"/>
    <w:rsid w:val="000E1463"/>
    <w:rsid w:val="000E16C9"/>
    <w:rsid w:val="000E3819"/>
    <w:rsid w:val="000E44D6"/>
    <w:rsid w:val="000E55B0"/>
    <w:rsid w:val="000E5E54"/>
    <w:rsid w:val="000E6BC8"/>
    <w:rsid w:val="000F2D15"/>
    <w:rsid w:val="000F4E5A"/>
    <w:rsid w:val="000F6542"/>
    <w:rsid w:val="00101151"/>
    <w:rsid w:val="00103179"/>
    <w:rsid w:val="00103FC5"/>
    <w:rsid w:val="00104664"/>
    <w:rsid w:val="001078EA"/>
    <w:rsid w:val="00110FBF"/>
    <w:rsid w:val="0011133F"/>
    <w:rsid w:val="001123AF"/>
    <w:rsid w:val="00112D74"/>
    <w:rsid w:val="00115508"/>
    <w:rsid w:val="001175BE"/>
    <w:rsid w:val="00120018"/>
    <w:rsid w:val="001207D8"/>
    <w:rsid w:val="00122F88"/>
    <w:rsid w:val="00125B61"/>
    <w:rsid w:val="001270A2"/>
    <w:rsid w:val="00127356"/>
    <w:rsid w:val="00127D07"/>
    <w:rsid w:val="0013031C"/>
    <w:rsid w:val="00130457"/>
    <w:rsid w:val="00131FD0"/>
    <w:rsid w:val="00134E0E"/>
    <w:rsid w:val="001353D7"/>
    <w:rsid w:val="00135C0D"/>
    <w:rsid w:val="00136998"/>
    <w:rsid w:val="00137CB9"/>
    <w:rsid w:val="00143EFF"/>
    <w:rsid w:val="001446C2"/>
    <w:rsid w:val="00144E00"/>
    <w:rsid w:val="00146DE4"/>
    <w:rsid w:val="00150CFF"/>
    <w:rsid w:val="00150D38"/>
    <w:rsid w:val="0015137D"/>
    <w:rsid w:val="001525F1"/>
    <w:rsid w:val="001531E7"/>
    <w:rsid w:val="001535E6"/>
    <w:rsid w:val="001540DC"/>
    <w:rsid w:val="00154AE1"/>
    <w:rsid w:val="00157073"/>
    <w:rsid w:val="0016147C"/>
    <w:rsid w:val="00164810"/>
    <w:rsid w:val="00165114"/>
    <w:rsid w:val="0016617B"/>
    <w:rsid w:val="0016667F"/>
    <w:rsid w:val="00172D81"/>
    <w:rsid w:val="001742CE"/>
    <w:rsid w:val="00174786"/>
    <w:rsid w:val="00175116"/>
    <w:rsid w:val="001771A2"/>
    <w:rsid w:val="00180F82"/>
    <w:rsid w:val="00181F6D"/>
    <w:rsid w:val="00182A46"/>
    <w:rsid w:val="00183A53"/>
    <w:rsid w:val="001852E1"/>
    <w:rsid w:val="00186E8F"/>
    <w:rsid w:val="001916E5"/>
    <w:rsid w:val="00191D7E"/>
    <w:rsid w:val="00192E23"/>
    <w:rsid w:val="00192E27"/>
    <w:rsid w:val="001936FC"/>
    <w:rsid w:val="0019390D"/>
    <w:rsid w:val="00193F34"/>
    <w:rsid w:val="001942F6"/>
    <w:rsid w:val="00195FBE"/>
    <w:rsid w:val="00196973"/>
    <w:rsid w:val="001A0C4E"/>
    <w:rsid w:val="001A303F"/>
    <w:rsid w:val="001A30AA"/>
    <w:rsid w:val="001A4748"/>
    <w:rsid w:val="001A6A59"/>
    <w:rsid w:val="001A6D80"/>
    <w:rsid w:val="001A73D2"/>
    <w:rsid w:val="001B0848"/>
    <w:rsid w:val="001B706C"/>
    <w:rsid w:val="001B7D77"/>
    <w:rsid w:val="001B7DC1"/>
    <w:rsid w:val="001C107B"/>
    <w:rsid w:val="001C15F7"/>
    <w:rsid w:val="001C1A4B"/>
    <w:rsid w:val="001C2DB1"/>
    <w:rsid w:val="001C627D"/>
    <w:rsid w:val="001C6C3E"/>
    <w:rsid w:val="001D0FA0"/>
    <w:rsid w:val="001D247D"/>
    <w:rsid w:val="001D275E"/>
    <w:rsid w:val="001D5B76"/>
    <w:rsid w:val="001D5C9C"/>
    <w:rsid w:val="001D668B"/>
    <w:rsid w:val="001D69A1"/>
    <w:rsid w:val="001E0531"/>
    <w:rsid w:val="001E0B85"/>
    <w:rsid w:val="001E18B0"/>
    <w:rsid w:val="001E2626"/>
    <w:rsid w:val="001E26D5"/>
    <w:rsid w:val="001E373F"/>
    <w:rsid w:val="001E398E"/>
    <w:rsid w:val="001E3C5C"/>
    <w:rsid w:val="001E4F06"/>
    <w:rsid w:val="001E6419"/>
    <w:rsid w:val="001E6D34"/>
    <w:rsid w:val="001F350A"/>
    <w:rsid w:val="001F7621"/>
    <w:rsid w:val="001F7F6F"/>
    <w:rsid w:val="00203FBC"/>
    <w:rsid w:val="002041D0"/>
    <w:rsid w:val="00204973"/>
    <w:rsid w:val="00204B36"/>
    <w:rsid w:val="0021305D"/>
    <w:rsid w:val="00220376"/>
    <w:rsid w:val="0022126F"/>
    <w:rsid w:val="00221538"/>
    <w:rsid w:val="00223385"/>
    <w:rsid w:val="00223716"/>
    <w:rsid w:val="002251F1"/>
    <w:rsid w:val="00226D34"/>
    <w:rsid w:val="002317F2"/>
    <w:rsid w:val="0023324C"/>
    <w:rsid w:val="00233305"/>
    <w:rsid w:val="00234F5A"/>
    <w:rsid w:val="00236472"/>
    <w:rsid w:val="00240A00"/>
    <w:rsid w:val="00242C0A"/>
    <w:rsid w:val="002466AB"/>
    <w:rsid w:val="002468DD"/>
    <w:rsid w:val="00246F5D"/>
    <w:rsid w:val="00247A8B"/>
    <w:rsid w:val="002512D9"/>
    <w:rsid w:val="00251F1C"/>
    <w:rsid w:val="002528DB"/>
    <w:rsid w:val="00253465"/>
    <w:rsid w:val="002539AB"/>
    <w:rsid w:val="00254336"/>
    <w:rsid w:val="0026046A"/>
    <w:rsid w:val="00260F79"/>
    <w:rsid w:val="002617C6"/>
    <w:rsid w:val="00263B6E"/>
    <w:rsid w:val="002658DF"/>
    <w:rsid w:val="00265EE3"/>
    <w:rsid w:val="0026663B"/>
    <w:rsid w:val="00266EF3"/>
    <w:rsid w:val="002677DA"/>
    <w:rsid w:val="0027026C"/>
    <w:rsid w:val="002707BF"/>
    <w:rsid w:val="0027091E"/>
    <w:rsid w:val="00270B01"/>
    <w:rsid w:val="00273F45"/>
    <w:rsid w:val="002753CD"/>
    <w:rsid w:val="002765FA"/>
    <w:rsid w:val="0028280D"/>
    <w:rsid w:val="00283C33"/>
    <w:rsid w:val="00283FD9"/>
    <w:rsid w:val="00286D0E"/>
    <w:rsid w:val="00287F2C"/>
    <w:rsid w:val="00290735"/>
    <w:rsid w:val="00290C3C"/>
    <w:rsid w:val="00290CDA"/>
    <w:rsid w:val="00290F15"/>
    <w:rsid w:val="00291A42"/>
    <w:rsid w:val="00291D86"/>
    <w:rsid w:val="00292474"/>
    <w:rsid w:val="00294684"/>
    <w:rsid w:val="00294CA5"/>
    <w:rsid w:val="00294DE9"/>
    <w:rsid w:val="00295370"/>
    <w:rsid w:val="00295D27"/>
    <w:rsid w:val="00296239"/>
    <w:rsid w:val="00296772"/>
    <w:rsid w:val="002A090D"/>
    <w:rsid w:val="002A1FC5"/>
    <w:rsid w:val="002A43D6"/>
    <w:rsid w:val="002A554E"/>
    <w:rsid w:val="002A5FD3"/>
    <w:rsid w:val="002A66F7"/>
    <w:rsid w:val="002A6742"/>
    <w:rsid w:val="002A7EB5"/>
    <w:rsid w:val="002B04DD"/>
    <w:rsid w:val="002B11B2"/>
    <w:rsid w:val="002B27C5"/>
    <w:rsid w:val="002B2B02"/>
    <w:rsid w:val="002B2E87"/>
    <w:rsid w:val="002B4221"/>
    <w:rsid w:val="002B4FD7"/>
    <w:rsid w:val="002B5742"/>
    <w:rsid w:val="002B57B1"/>
    <w:rsid w:val="002C58D6"/>
    <w:rsid w:val="002C7B8F"/>
    <w:rsid w:val="002C7DFB"/>
    <w:rsid w:val="002D653F"/>
    <w:rsid w:val="002D683D"/>
    <w:rsid w:val="002D7018"/>
    <w:rsid w:val="002D7026"/>
    <w:rsid w:val="002D745C"/>
    <w:rsid w:val="002D74BA"/>
    <w:rsid w:val="002D7A48"/>
    <w:rsid w:val="002E24A2"/>
    <w:rsid w:val="002E31D5"/>
    <w:rsid w:val="002E511B"/>
    <w:rsid w:val="002E7662"/>
    <w:rsid w:val="002F1120"/>
    <w:rsid w:val="002F16E5"/>
    <w:rsid w:val="002F1B28"/>
    <w:rsid w:val="002F2BA9"/>
    <w:rsid w:val="002F5086"/>
    <w:rsid w:val="002F51C1"/>
    <w:rsid w:val="002F5DCA"/>
    <w:rsid w:val="002F6CC9"/>
    <w:rsid w:val="003016CC"/>
    <w:rsid w:val="00303A14"/>
    <w:rsid w:val="00303E07"/>
    <w:rsid w:val="003045B1"/>
    <w:rsid w:val="0030619C"/>
    <w:rsid w:val="00306F47"/>
    <w:rsid w:val="00311365"/>
    <w:rsid w:val="003138F6"/>
    <w:rsid w:val="003141B1"/>
    <w:rsid w:val="0031660D"/>
    <w:rsid w:val="003167FE"/>
    <w:rsid w:val="003171BA"/>
    <w:rsid w:val="00323EF3"/>
    <w:rsid w:val="00324744"/>
    <w:rsid w:val="00325F3A"/>
    <w:rsid w:val="0032604C"/>
    <w:rsid w:val="003270E3"/>
    <w:rsid w:val="00327CA0"/>
    <w:rsid w:val="00330CC3"/>
    <w:rsid w:val="00330F6D"/>
    <w:rsid w:val="00331F8E"/>
    <w:rsid w:val="00332325"/>
    <w:rsid w:val="0033543C"/>
    <w:rsid w:val="00336F7E"/>
    <w:rsid w:val="00337E5B"/>
    <w:rsid w:val="00340205"/>
    <w:rsid w:val="0034298D"/>
    <w:rsid w:val="0034304D"/>
    <w:rsid w:val="00345850"/>
    <w:rsid w:val="00345937"/>
    <w:rsid w:val="003520F8"/>
    <w:rsid w:val="0035622F"/>
    <w:rsid w:val="00356379"/>
    <w:rsid w:val="00361571"/>
    <w:rsid w:val="003631E6"/>
    <w:rsid w:val="00365051"/>
    <w:rsid w:val="003650B4"/>
    <w:rsid w:val="0036515E"/>
    <w:rsid w:val="0036721C"/>
    <w:rsid w:val="0036771B"/>
    <w:rsid w:val="00370FBF"/>
    <w:rsid w:val="0037133A"/>
    <w:rsid w:val="0037145E"/>
    <w:rsid w:val="00372AF4"/>
    <w:rsid w:val="00373D5C"/>
    <w:rsid w:val="00374984"/>
    <w:rsid w:val="003772D6"/>
    <w:rsid w:val="00377544"/>
    <w:rsid w:val="00383052"/>
    <w:rsid w:val="00383D4F"/>
    <w:rsid w:val="00385069"/>
    <w:rsid w:val="00385ADF"/>
    <w:rsid w:val="00386C13"/>
    <w:rsid w:val="00386DD6"/>
    <w:rsid w:val="003910C0"/>
    <w:rsid w:val="00391B4E"/>
    <w:rsid w:val="00392806"/>
    <w:rsid w:val="00392D22"/>
    <w:rsid w:val="00395B9D"/>
    <w:rsid w:val="0039741E"/>
    <w:rsid w:val="00397A48"/>
    <w:rsid w:val="003A0A81"/>
    <w:rsid w:val="003A56B0"/>
    <w:rsid w:val="003A68F3"/>
    <w:rsid w:val="003B125F"/>
    <w:rsid w:val="003B2395"/>
    <w:rsid w:val="003B52D6"/>
    <w:rsid w:val="003C04A7"/>
    <w:rsid w:val="003C3B5C"/>
    <w:rsid w:val="003C3D6B"/>
    <w:rsid w:val="003C4226"/>
    <w:rsid w:val="003C4FE1"/>
    <w:rsid w:val="003C56A2"/>
    <w:rsid w:val="003C5A46"/>
    <w:rsid w:val="003C79B7"/>
    <w:rsid w:val="003D3C55"/>
    <w:rsid w:val="003D486E"/>
    <w:rsid w:val="003E04A9"/>
    <w:rsid w:val="003E1EC0"/>
    <w:rsid w:val="003E26B0"/>
    <w:rsid w:val="003E3022"/>
    <w:rsid w:val="003E4886"/>
    <w:rsid w:val="003E595D"/>
    <w:rsid w:val="003E76C8"/>
    <w:rsid w:val="003F2791"/>
    <w:rsid w:val="003F3198"/>
    <w:rsid w:val="003F3251"/>
    <w:rsid w:val="003F338D"/>
    <w:rsid w:val="003F509A"/>
    <w:rsid w:val="003F51E3"/>
    <w:rsid w:val="003F568E"/>
    <w:rsid w:val="003F6B37"/>
    <w:rsid w:val="003F6E17"/>
    <w:rsid w:val="004002B1"/>
    <w:rsid w:val="00401A1F"/>
    <w:rsid w:val="004020FB"/>
    <w:rsid w:val="004023BF"/>
    <w:rsid w:val="0040241C"/>
    <w:rsid w:val="004037F9"/>
    <w:rsid w:val="004038F0"/>
    <w:rsid w:val="00407371"/>
    <w:rsid w:val="00407373"/>
    <w:rsid w:val="00407E5B"/>
    <w:rsid w:val="004101BA"/>
    <w:rsid w:val="0041043A"/>
    <w:rsid w:val="00411FB4"/>
    <w:rsid w:val="0041328B"/>
    <w:rsid w:val="004133E3"/>
    <w:rsid w:val="004134DD"/>
    <w:rsid w:val="00417C23"/>
    <w:rsid w:val="0042046E"/>
    <w:rsid w:val="004206E8"/>
    <w:rsid w:val="00420BA0"/>
    <w:rsid w:val="00420CFB"/>
    <w:rsid w:val="0042165F"/>
    <w:rsid w:val="004224DF"/>
    <w:rsid w:val="00422C7A"/>
    <w:rsid w:val="004250C5"/>
    <w:rsid w:val="00426807"/>
    <w:rsid w:val="0042704B"/>
    <w:rsid w:val="00427F02"/>
    <w:rsid w:val="00431E5E"/>
    <w:rsid w:val="004324AF"/>
    <w:rsid w:val="00433764"/>
    <w:rsid w:val="004345AE"/>
    <w:rsid w:val="00434BEE"/>
    <w:rsid w:val="00436C36"/>
    <w:rsid w:val="00441315"/>
    <w:rsid w:val="0044312D"/>
    <w:rsid w:val="0044312E"/>
    <w:rsid w:val="00443425"/>
    <w:rsid w:val="00443694"/>
    <w:rsid w:val="00445256"/>
    <w:rsid w:val="00445D18"/>
    <w:rsid w:val="004461BC"/>
    <w:rsid w:val="004467DB"/>
    <w:rsid w:val="00450D37"/>
    <w:rsid w:val="0045266B"/>
    <w:rsid w:val="0045742C"/>
    <w:rsid w:val="00463EB7"/>
    <w:rsid w:val="0046467E"/>
    <w:rsid w:val="0046499A"/>
    <w:rsid w:val="004650A2"/>
    <w:rsid w:val="0046780A"/>
    <w:rsid w:val="00470600"/>
    <w:rsid w:val="00470A39"/>
    <w:rsid w:val="00473262"/>
    <w:rsid w:val="00475BAB"/>
    <w:rsid w:val="00476907"/>
    <w:rsid w:val="00477D87"/>
    <w:rsid w:val="004817E2"/>
    <w:rsid w:val="004822B0"/>
    <w:rsid w:val="00487C4F"/>
    <w:rsid w:val="00487E4D"/>
    <w:rsid w:val="004903EF"/>
    <w:rsid w:val="004903FD"/>
    <w:rsid w:val="0049103B"/>
    <w:rsid w:val="00491D60"/>
    <w:rsid w:val="00492F06"/>
    <w:rsid w:val="00492F86"/>
    <w:rsid w:val="00494E5C"/>
    <w:rsid w:val="00497DE7"/>
    <w:rsid w:val="004A0A34"/>
    <w:rsid w:val="004A24D8"/>
    <w:rsid w:val="004A35CC"/>
    <w:rsid w:val="004A4941"/>
    <w:rsid w:val="004A5084"/>
    <w:rsid w:val="004A5384"/>
    <w:rsid w:val="004A6524"/>
    <w:rsid w:val="004A7196"/>
    <w:rsid w:val="004B0CB9"/>
    <w:rsid w:val="004B16E0"/>
    <w:rsid w:val="004B2CAB"/>
    <w:rsid w:val="004B34C8"/>
    <w:rsid w:val="004B5879"/>
    <w:rsid w:val="004B5DDF"/>
    <w:rsid w:val="004C2371"/>
    <w:rsid w:val="004C3277"/>
    <w:rsid w:val="004C3840"/>
    <w:rsid w:val="004C3A76"/>
    <w:rsid w:val="004C4A01"/>
    <w:rsid w:val="004C5D53"/>
    <w:rsid w:val="004C6FFA"/>
    <w:rsid w:val="004C7509"/>
    <w:rsid w:val="004C7C75"/>
    <w:rsid w:val="004D02BC"/>
    <w:rsid w:val="004D06B5"/>
    <w:rsid w:val="004D0B72"/>
    <w:rsid w:val="004D0C0E"/>
    <w:rsid w:val="004D1060"/>
    <w:rsid w:val="004D22D8"/>
    <w:rsid w:val="004D68A7"/>
    <w:rsid w:val="004E102B"/>
    <w:rsid w:val="004E151D"/>
    <w:rsid w:val="004E3EFE"/>
    <w:rsid w:val="004E4855"/>
    <w:rsid w:val="004E604B"/>
    <w:rsid w:val="004E630F"/>
    <w:rsid w:val="004E6C88"/>
    <w:rsid w:val="004E78CA"/>
    <w:rsid w:val="004F095D"/>
    <w:rsid w:val="004F1627"/>
    <w:rsid w:val="004F226A"/>
    <w:rsid w:val="004F2953"/>
    <w:rsid w:val="004F3362"/>
    <w:rsid w:val="004F48AC"/>
    <w:rsid w:val="004F5FAD"/>
    <w:rsid w:val="004F7AC5"/>
    <w:rsid w:val="00502BD0"/>
    <w:rsid w:val="00504147"/>
    <w:rsid w:val="00505225"/>
    <w:rsid w:val="00505A92"/>
    <w:rsid w:val="00506384"/>
    <w:rsid w:val="0051318E"/>
    <w:rsid w:val="005144BB"/>
    <w:rsid w:val="005156C2"/>
    <w:rsid w:val="00515EC5"/>
    <w:rsid w:val="00517F6F"/>
    <w:rsid w:val="005230DF"/>
    <w:rsid w:val="0052496E"/>
    <w:rsid w:val="005249FC"/>
    <w:rsid w:val="00525557"/>
    <w:rsid w:val="00531E79"/>
    <w:rsid w:val="00532937"/>
    <w:rsid w:val="00533EC4"/>
    <w:rsid w:val="00536416"/>
    <w:rsid w:val="00537435"/>
    <w:rsid w:val="00537DCD"/>
    <w:rsid w:val="00537FFA"/>
    <w:rsid w:val="0054088A"/>
    <w:rsid w:val="00540CC7"/>
    <w:rsid w:val="00540FDC"/>
    <w:rsid w:val="00541A57"/>
    <w:rsid w:val="00543428"/>
    <w:rsid w:val="00543672"/>
    <w:rsid w:val="00544F5A"/>
    <w:rsid w:val="00545BDD"/>
    <w:rsid w:val="005470B9"/>
    <w:rsid w:val="0055011F"/>
    <w:rsid w:val="00550EFE"/>
    <w:rsid w:val="00550F57"/>
    <w:rsid w:val="0055298E"/>
    <w:rsid w:val="005531A4"/>
    <w:rsid w:val="005538E6"/>
    <w:rsid w:val="00554A0E"/>
    <w:rsid w:val="0055528B"/>
    <w:rsid w:val="00555A8E"/>
    <w:rsid w:val="0055608D"/>
    <w:rsid w:val="00560924"/>
    <w:rsid w:val="005617E4"/>
    <w:rsid w:val="00563280"/>
    <w:rsid w:val="00563377"/>
    <w:rsid w:val="00564566"/>
    <w:rsid w:val="00564777"/>
    <w:rsid w:val="00570041"/>
    <w:rsid w:val="00572B62"/>
    <w:rsid w:val="0057305B"/>
    <w:rsid w:val="005768BD"/>
    <w:rsid w:val="0058353E"/>
    <w:rsid w:val="005845CC"/>
    <w:rsid w:val="00584722"/>
    <w:rsid w:val="0058602E"/>
    <w:rsid w:val="005864A5"/>
    <w:rsid w:val="00586C9D"/>
    <w:rsid w:val="0058700B"/>
    <w:rsid w:val="00590448"/>
    <w:rsid w:val="00591949"/>
    <w:rsid w:val="00591CEA"/>
    <w:rsid w:val="00592987"/>
    <w:rsid w:val="005931DD"/>
    <w:rsid w:val="00595C56"/>
    <w:rsid w:val="005964A0"/>
    <w:rsid w:val="005966B6"/>
    <w:rsid w:val="00597E73"/>
    <w:rsid w:val="00597F80"/>
    <w:rsid w:val="005A00C0"/>
    <w:rsid w:val="005A0A28"/>
    <w:rsid w:val="005A0ACF"/>
    <w:rsid w:val="005A153A"/>
    <w:rsid w:val="005A2B58"/>
    <w:rsid w:val="005A3993"/>
    <w:rsid w:val="005A47AA"/>
    <w:rsid w:val="005A53C3"/>
    <w:rsid w:val="005A5C2D"/>
    <w:rsid w:val="005A6114"/>
    <w:rsid w:val="005A660B"/>
    <w:rsid w:val="005A680F"/>
    <w:rsid w:val="005A6CEB"/>
    <w:rsid w:val="005B08CE"/>
    <w:rsid w:val="005B19C1"/>
    <w:rsid w:val="005B3BAA"/>
    <w:rsid w:val="005B407D"/>
    <w:rsid w:val="005B4293"/>
    <w:rsid w:val="005B4A6F"/>
    <w:rsid w:val="005B7AD6"/>
    <w:rsid w:val="005C059D"/>
    <w:rsid w:val="005C325D"/>
    <w:rsid w:val="005C446F"/>
    <w:rsid w:val="005C44B3"/>
    <w:rsid w:val="005D0CC1"/>
    <w:rsid w:val="005D16CA"/>
    <w:rsid w:val="005D1E7E"/>
    <w:rsid w:val="005D1F1B"/>
    <w:rsid w:val="005D1F43"/>
    <w:rsid w:val="005D3AC7"/>
    <w:rsid w:val="005D40A8"/>
    <w:rsid w:val="005D4F5D"/>
    <w:rsid w:val="005D55A3"/>
    <w:rsid w:val="005E1C66"/>
    <w:rsid w:val="005E2260"/>
    <w:rsid w:val="005E2838"/>
    <w:rsid w:val="005E4D31"/>
    <w:rsid w:val="005F1990"/>
    <w:rsid w:val="005F19A3"/>
    <w:rsid w:val="005F23D7"/>
    <w:rsid w:val="005F37C2"/>
    <w:rsid w:val="005F418D"/>
    <w:rsid w:val="005F59E0"/>
    <w:rsid w:val="005F5B67"/>
    <w:rsid w:val="005F673F"/>
    <w:rsid w:val="005F7D44"/>
    <w:rsid w:val="006069BE"/>
    <w:rsid w:val="00607F85"/>
    <w:rsid w:val="00610390"/>
    <w:rsid w:val="0061348C"/>
    <w:rsid w:val="00613E31"/>
    <w:rsid w:val="00616DD0"/>
    <w:rsid w:val="00617345"/>
    <w:rsid w:val="00617A3C"/>
    <w:rsid w:val="0062016E"/>
    <w:rsid w:val="006204A2"/>
    <w:rsid w:val="0062085B"/>
    <w:rsid w:val="00622202"/>
    <w:rsid w:val="00622783"/>
    <w:rsid w:val="006238F8"/>
    <w:rsid w:val="00623F98"/>
    <w:rsid w:val="0062593D"/>
    <w:rsid w:val="00626FC5"/>
    <w:rsid w:val="006275B2"/>
    <w:rsid w:val="006300B9"/>
    <w:rsid w:val="00632AF8"/>
    <w:rsid w:val="0063343D"/>
    <w:rsid w:val="00635874"/>
    <w:rsid w:val="00635B86"/>
    <w:rsid w:val="006363F3"/>
    <w:rsid w:val="00636B0A"/>
    <w:rsid w:val="0064383D"/>
    <w:rsid w:val="00644F7A"/>
    <w:rsid w:val="00646043"/>
    <w:rsid w:val="006507DD"/>
    <w:rsid w:val="00650B5E"/>
    <w:rsid w:val="00651354"/>
    <w:rsid w:val="00653173"/>
    <w:rsid w:val="00656367"/>
    <w:rsid w:val="00660CA9"/>
    <w:rsid w:val="00662760"/>
    <w:rsid w:val="006643E9"/>
    <w:rsid w:val="006657A1"/>
    <w:rsid w:val="0066616B"/>
    <w:rsid w:val="006668AF"/>
    <w:rsid w:val="00667D87"/>
    <w:rsid w:val="00667F77"/>
    <w:rsid w:val="00672C70"/>
    <w:rsid w:val="0067549F"/>
    <w:rsid w:val="00676453"/>
    <w:rsid w:val="006769AC"/>
    <w:rsid w:val="00677270"/>
    <w:rsid w:val="00677C69"/>
    <w:rsid w:val="00680861"/>
    <w:rsid w:val="006810CF"/>
    <w:rsid w:val="00681F46"/>
    <w:rsid w:val="00682C0C"/>
    <w:rsid w:val="00684003"/>
    <w:rsid w:val="006842A9"/>
    <w:rsid w:val="006843DD"/>
    <w:rsid w:val="0068628A"/>
    <w:rsid w:val="006870DE"/>
    <w:rsid w:val="00687F1E"/>
    <w:rsid w:val="00690D16"/>
    <w:rsid w:val="00691B44"/>
    <w:rsid w:val="006936E1"/>
    <w:rsid w:val="006A0B23"/>
    <w:rsid w:val="006A2BA0"/>
    <w:rsid w:val="006A3A0E"/>
    <w:rsid w:val="006A7370"/>
    <w:rsid w:val="006B1E55"/>
    <w:rsid w:val="006B37E7"/>
    <w:rsid w:val="006B5219"/>
    <w:rsid w:val="006B5E4F"/>
    <w:rsid w:val="006C09B4"/>
    <w:rsid w:val="006C1B6E"/>
    <w:rsid w:val="006C228D"/>
    <w:rsid w:val="006C2C66"/>
    <w:rsid w:val="006C542E"/>
    <w:rsid w:val="006C6330"/>
    <w:rsid w:val="006C7029"/>
    <w:rsid w:val="006D423B"/>
    <w:rsid w:val="006D433E"/>
    <w:rsid w:val="006D4434"/>
    <w:rsid w:val="006D44C5"/>
    <w:rsid w:val="006D461D"/>
    <w:rsid w:val="006D4B3E"/>
    <w:rsid w:val="006D5230"/>
    <w:rsid w:val="006D5D08"/>
    <w:rsid w:val="006D5E6F"/>
    <w:rsid w:val="006E43D9"/>
    <w:rsid w:val="006E583D"/>
    <w:rsid w:val="006E5B4C"/>
    <w:rsid w:val="006E6DDA"/>
    <w:rsid w:val="006E7218"/>
    <w:rsid w:val="006F062B"/>
    <w:rsid w:val="006F11A4"/>
    <w:rsid w:val="006F1AE5"/>
    <w:rsid w:val="006F3DB0"/>
    <w:rsid w:val="006F3E55"/>
    <w:rsid w:val="007004AF"/>
    <w:rsid w:val="00701329"/>
    <w:rsid w:val="00702702"/>
    <w:rsid w:val="00703F5A"/>
    <w:rsid w:val="00705C13"/>
    <w:rsid w:val="00705C86"/>
    <w:rsid w:val="00706010"/>
    <w:rsid w:val="00706CBE"/>
    <w:rsid w:val="00707442"/>
    <w:rsid w:val="00707B37"/>
    <w:rsid w:val="00711DA8"/>
    <w:rsid w:val="00712243"/>
    <w:rsid w:val="007123BF"/>
    <w:rsid w:val="00712B49"/>
    <w:rsid w:val="0071648B"/>
    <w:rsid w:val="007172CE"/>
    <w:rsid w:val="00717368"/>
    <w:rsid w:val="00722648"/>
    <w:rsid w:val="00723079"/>
    <w:rsid w:val="00724049"/>
    <w:rsid w:val="007243D3"/>
    <w:rsid w:val="00725E9C"/>
    <w:rsid w:val="007265CA"/>
    <w:rsid w:val="00734B40"/>
    <w:rsid w:val="00735F2C"/>
    <w:rsid w:val="00737013"/>
    <w:rsid w:val="00742128"/>
    <w:rsid w:val="007426F4"/>
    <w:rsid w:val="00743EB3"/>
    <w:rsid w:val="00744317"/>
    <w:rsid w:val="00745D01"/>
    <w:rsid w:val="0074646A"/>
    <w:rsid w:val="00746EF9"/>
    <w:rsid w:val="00750E30"/>
    <w:rsid w:val="007516E1"/>
    <w:rsid w:val="00754351"/>
    <w:rsid w:val="007545B7"/>
    <w:rsid w:val="007549BA"/>
    <w:rsid w:val="00755B92"/>
    <w:rsid w:val="00756D08"/>
    <w:rsid w:val="00760FCA"/>
    <w:rsid w:val="007647A7"/>
    <w:rsid w:val="0076501F"/>
    <w:rsid w:val="00765648"/>
    <w:rsid w:val="00765AB3"/>
    <w:rsid w:val="00765CC3"/>
    <w:rsid w:val="00772BC2"/>
    <w:rsid w:val="00781263"/>
    <w:rsid w:val="00785B00"/>
    <w:rsid w:val="0079016D"/>
    <w:rsid w:val="00790295"/>
    <w:rsid w:val="00791386"/>
    <w:rsid w:val="007922AC"/>
    <w:rsid w:val="00793374"/>
    <w:rsid w:val="00794E22"/>
    <w:rsid w:val="00795ACE"/>
    <w:rsid w:val="00797CAB"/>
    <w:rsid w:val="007A05A1"/>
    <w:rsid w:val="007A17E4"/>
    <w:rsid w:val="007A27D2"/>
    <w:rsid w:val="007A2935"/>
    <w:rsid w:val="007A330A"/>
    <w:rsid w:val="007A56DB"/>
    <w:rsid w:val="007A7F69"/>
    <w:rsid w:val="007B0A23"/>
    <w:rsid w:val="007B2ABF"/>
    <w:rsid w:val="007B666A"/>
    <w:rsid w:val="007B68F8"/>
    <w:rsid w:val="007B76D8"/>
    <w:rsid w:val="007B79DF"/>
    <w:rsid w:val="007C0752"/>
    <w:rsid w:val="007C119E"/>
    <w:rsid w:val="007C2148"/>
    <w:rsid w:val="007C2644"/>
    <w:rsid w:val="007C52CE"/>
    <w:rsid w:val="007C71D5"/>
    <w:rsid w:val="007D0CB5"/>
    <w:rsid w:val="007D2AFB"/>
    <w:rsid w:val="007D4D28"/>
    <w:rsid w:val="007D4F26"/>
    <w:rsid w:val="007D5D6C"/>
    <w:rsid w:val="007D68DD"/>
    <w:rsid w:val="007D74D9"/>
    <w:rsid w:val="007E3B77"/>
    <w:rsid w:val="007E5E73"/>
    <w:rsid w:val="007E5EC3"/>
    <w:rsid w:val="007E60E2"/>
    <w:rsid w:val="007E6BC1"/>
    <w:rsid w:val="007F351A"/>
    <w:rsid w:val="007F5501"/>
    <w:rsid w:val="007F6275"/>
    <w:rsid w:val="008006C9"/>
    <w:rsid w:val="00800F15"/>
    <w:rsid w:val="0080149E"/>
    <w:rsid w:val="00801CE0"/>
    <w:rsid w:val="00802485"/>
    <w:rsid w:val="008026AC"/>
    <w:rsid w:val="0080492D"/>
    <w:rsid w:val="00806333"/>
    <w:rsid w:val="00810786"/>
    <w:rsid w:val="00810C5C"/>
    <w:rsid w:val="00813076"/>
    <w:rsid w:val="00815847"/>
    <w:rsid w:val="008158C1"/>
    <w:rsid w:val="008177C1"/>
    <w:rsid w:val="00817F39"/>
    <w:rsid w:val="00825094"/>
    <w:rsid w:val="00826CF4"/>
    <w:rsid w:val="00827695"/>
    <w:rsid w:val="00830F52"/>
    <w:rsid w:val="0083252E"/>
    <w:rsid w:val="00834D83"/>
    <w:rsid w:val="00835D2F"/>
    <w:rsid w:val="00835E78"/>
    <w:rsid w:val="00840F4F"/>
    <w:rsid w:val="00841378"/>
    <w:rsid w:val="00842917"/>
    <w:rsid w:val="0084405F"/>
    <w:rsid w:val="00845605"/>
    <w:rsid w:val="00845AC9"/>
    <w:rsid w:val="00846B1C"/>
    <w:rsid w:val="00847195"/>
    <w:rsid w:val="008573DE"/>
    <w:rsid w:val="00857E35"/>
    <w:rsid w:val="008605F5"/>
    <w:rsid w:val="008611B4"/>
    <w:rsid w:val="008613DB"/>
    <w:rsid w:val="00865076"/>
    <w:rsid w:val="00865BB9"/>
    <w:rsid w:val="00873B2A"/>
    <w:rsid w:val="008775AF"/>
    <w:rsid w:val="0088076A"/>
    <w:rsid w:val="00883040"/>
    <w:rsid w:val="00886946"/>
    <w:rsid w:val="00886E75"/>
    <w:rsid w:val="008906A3"/>
    <w:rsid w:val="00891794"/>
    <w:rsid w:val="00891CF0"/>
    <w:rsid w:val="00891E51"/>
    <w:rsid w:val="00892840"/>
    <w:rsid w:val="00893050"/>
    <w:rsid w:val="00893298"/>
    <w:rsid w:val="00894AAF"/>
    <w:rsid w:val="00896180"/>
    <w:rsid w:val="00896A0D"/>
    <w:rsid w:val="008977AA"/>
    <w:rsid w:val="008A2138"/>
    <w:rsid w:val="008A22D6"/>
    <w:rsid w:val="008A2C31"/>
    <w:rsid w:val="008A4FFC"/>
    <w:rsid w:val="008A53FA"/>
    <w:rsid w:val="008A55AB"/>
    <w:rsid w:val="008B1C2E"/>
    <w:rsid w:val="008B2B47"/>
    <w:rsid w:val="008B3815"/>
    <w:rsid w:val="008B5120"/>
    <w:rsid w:val="008B7706"/>
    <w:rsid w:val="008B79C2"/>
    <w:rsid w:val="008C6359"/>
    <w:rsid w:val="008C7629"/>
    <w:rsid w:val="008D1540"/>
    <w:rsid w:val="008D61F3"/>
    <w:rsid w:val="008D6278"/>
    <w:rsid w:val="008E2FB2"/>
    <w:rsid w:val="008E32C9"/>
    <w:rsid w:val="008E3496"/>
    <w:rsid w:val="008E40B3"/>
    <w:rsid w:val="008E458F"/>
    <w:rsid w:val="008E4C82"/>
    <w:rsid w:val="008E9538"/>
    <w:rsid w:val="008F192B"/>
    <w:rsid w:val="008F247A"/>
    <w:rsid w:val="008F496C"/>
    <w:rsid w:val="008F611C"/>
    <w:rsid w:val="008F63AC"/>
    <w:rsid w:val="008F7493"/>
    <w:rsid w:val="008F7A7B"/>
    <w:rsid w:val="00900AAB"/>
    <w:rsid w:val="00900B95"/>
    <w:rsid w:val="00900F10"/>
    <w:rsid w:val="00900FB4"/>
    <w:rsid w:val="00903B63"/>
    <w:rsid w:val="009070A3"/>
    <w:rsid w:val="00907531"/>
    <w:rsid w:val="00907BA9"/>
    <w:rsid w:val="009128B1"/>
    <w:rsid w:val="00914F93"/>
    <w:rsid w:val="00915026"/>
    <w:rsid w:val="009151BD"/>
    <w:rsid w:val="009165C9"/>
    <w:rsid w:val="00916754"/>
    <w:rsid w:val="00916F72"/>
    <w:rsid w:val="009203F6"/>
    <w:rsid w:val="00922F4C"/>
    <w:rsid w:val="00925DCB"/>
    <w:rsid w:val="009278E5"/>
    <w:rsid w:val="00930C38"/>
    <w:rsid w:val="00932034"/>
    <w:rsid w:val="0093540E"/>
    <w:rsid w:val="009364D3"/>
    <w:rsid w:val="009408F0"/>
    <w:rsid w:val="0094137E"/>
    <w:rsid w:val="009436FD"/>
    <w:rsid w:val="00943D13"/>
    <w:rsid w:val="0094462E"/>
    <w:rsid w:val="00944770"/>
    <w:rsid w:val="00944FE0"/>
    <w:rsid w:val="009454A8"/>
    <w:rsid w:val="0094734A"/>
    <w:rsid w:val="00947AB0"/>
    <w:rsid w:val="00950C49"/>
    <w:rsid w:val="00955E5F"/>
    <w:rsid w:val="009567F5"/>
    <w:rsid w:val="00964A50"/>
    <w:rsid w:val="00966866"/>
    <w:rsid w:val="00970A73"/>
    <w:rsid w:val="00971142"/>
    <w:rsid w:val="00972082"/>
    <w:rsid w:val="009733BE"/>
    <w:rsid w:val="009735AF"/>
    <w:rsid w:val="009736A2"/>
    <w:rsid w:val="0097393B"/>
    <w:rsid w:val="009747D7"/>
    <w:rsid w:val="0097511E"/>
    <w:rsid w:val="009756C0"/>
    <w:rsid w:val="00975BC5"/>
    <w:rsid w:val="0098213A"/>
    <w:rsid w:val="00982681"/>
    <w:rsid w:val="00983B1E"/>
    <w:rsid w:val="00984DA6"/>
    <w:rsid w:val="00985869"/>
    <w:rsid w:val="00990B99"/>
    <w:rsid w:val="00991029"/>
    <w:rsid w:val="009929BD"/>
    <w:rsid w:val="00992A4B"/>
    <w:rsid w:val="00992C0B"/>
    <w:rsid w:val="00995536"/>
    <w:rsid w:val="0099595C"/>
    <w:rsid w:val="009A0DD5"/>
    <w:rsid w:val="009A1BEE"/>
    <w:rsid w:val="009A43B9"/>
    <w:rsid w:val="009B06B4"/>
    <w:rsid w:val="009B4078"/>
    <w:rsid w:val="009B5BD1"/>
    <w:rsid w:val="009B7ABC"/>
    <w:rsid w:val="009C19E9"/>
    <w:rsid w:val="009C433B"/>
    <w:rsid w:val="009C4788"/>
    <w:rsid w:val="009C5805"/>
    <w:rsid w:val="009D3190"/>
    <w:rsid w:val="009D35A6"/>
    <w:rsid w:val="009D464C"/>
    <w:rsid w:val="009D4A01"/>
    <w:rsid w:val="009D51E0"/>
    <w:rsid w:val="009D63E3"/>
    <w:rsid w:val="009E1C52"/>
    <w:rsid w:val="009E2DF8"/>
    <w:rsid w:val="009E3962"/>
    <w:rsid w:val="009E53AA"/>
    <w:rsid w:val="009E564A"/>
    <w:rsid w:val="009E7CA6"/>
    <w:rsid w:val="009F04DE"/>
    <w:rsid w:val="009F3251"/>
    <w:rsid w:val="009F3A8C"/>
    <w:rsid w:val="009F5D13"/>
    <w:rsid w:val="009F71E5"/>
    <w:rsid w:val="00A005A3"/>
    <w:rsid w:val="00A01251"/>
    <w:rsid w:val="00A015F7"/>
    <w:rsid w:val="00A028B8"/>
    <w:rsid w:val="00A02994"/>
    <w:rsid w:val="00A04AD5"/>
    <w:rsid w:val="00A04D14"/>
    <w:rsid w:val="00A060C5"/>
    <w:rsid w:val="00A107AC"/>
    <w:rsid w:val="00A1212C"/>
    <w:rsid w:val="00A13B7D"/>
    <w:rsid w:val="00A16D5C"/>
    <w:rsid w:val="00A2250A"/>
    <w:rsid w:val="00A22702"/>
    <w:rsid w:val="00A27D44"/>
    <w:rsid w:val="00A338AC"/>
    <w:rsid w:val="00A36180"/>
    <w:rsid w:val="00A40AEA"/>
    <w:rsid w:val="00A41B5D"/>
    <w:rsid w:val="00A422CD"/>
    <w:rsid w:val="00A451D3"/>
    <w:rsid w:val="00A476C8"/>
    <w:rsid w:val="00A52DEF"/>
    <w:rsid w:val="00A552B6"/>
    <w:rsid w:val="00A55429"/>
    <w:rsid w:val="00A571D0"/>
    <w:rsid w:val="00A602B2"/>
    <w:rsid w:val="00A611B9"/>
    <w:rsid w:val="00A62080"/>
    <w:rsid w:val="00A62FAF"/>
    <w:rsid w:val="00A714EA"/>
    <w:rsid w:val="00A72687"/>
    <w:rsid w:val="00A72FB8"/>
    <w:rsid w:val="00A747D8"/>
    <w:rsid w:val="00A75332"/>
    <w:rsid w:val="00A7688A"/>
    <w:rsid w:val="00A8007D"/>
    <w:rsid w:val="00A8140C"/>
    <w:rsid w:val="00A81F1A"/>
    <w:rsid w:val="00A82548"/>
    <w:rsid w:val="00A83436"/>
    <w:rsid w:val="00A8357C"/>
    <w:rsid w:val="00A83F49"/>
    <w:rsid w:val="00A843C2"/>
    <w:rsid w:val="00A858AE"/>
    <w:rsid w:val="00A85E89"/>
    <w:rsid w:val="00A8684A"/>
    <w:rsid w:val="00A91BED"/>
    <w:rsid w:val="00A920FB"/>
    <w:rsid w:val="00A9226F"/>
    <w:rsid w:val="00A94845"/>
    <w:rsid w:val="00A96DCE"/>
    <w:rsid w:val="00A97DF8"/>
    <w:rsid w:val="00AA1081"/>
    <w:rsid w:val="00AA235F"/>
    <w:rsid w:val="00AA2FF8"/>
    <w:rsid w:val="00AB290C"/>
    <w:rsid w:val="00AB5B54"/>
    <w:rsid w:val="00AB63DE"/>
    <w:rsid w:val="00AB666F"/>
    <w:rsid w:val="00AC2244"/>
    <w:rsid w:val="00AC3B3A"/>
    <w:rsid w:val="00AC4B9E"/>
    <w:rsid w:val="00AC53A8"/>
    <w:rsid w:val="00AC5B22"/>
    <w:rsid w:val="00AC5B65"/>
    <w:rsid w:val="00AC5FC0"/>
    <w:rsid w:val="00AC7022"/>
    <w:rsid w:val="00AD03E3"/>
    <w:rsid w:val="00AD3715"/>
    <w:rsid w:val="00AD54C9"/>
    <w:rsid w:val="00AD5778"/>
    <w:rsid w:val="00AD77B9"/>
    <w:rsid w:val="00AE20DD"/>
    <w:rsid w:val="00AE2302"/>
    <w:rsid w:val="00AE298F"/>
    <w:rsid w:val="00AE31DA"/>
    <w:rsid w:val="00AE33C8"/>
    <w:rsid w:val="00AE5F7F"/>
    <w:rsid w:val="00AF3920"/>
    <w:rsid w:val="00AF3B49"/>
    <w:rsid w:val="00AF3B7B"/>
    <w:rsid w:val="00AF3E44"/>
    <w:rsid w:val="00AF635B"/>
    <w:rsid w:val="00AF70A0"/>
    <w:rsid w:val="00B02E70"/>
    <w:rsid w:val="00B03E33"/>
    <w:rsid w:val="00B12469"/>
    <w:rsid w:val="00B13330"/>
    <w:rsid w:val="00B13C27"/>
    <w:rsid w:val="00B229D6"/>
    <w:rsid w:val="00B243B8"/>
    <w:rsid w:val="00B31489"/>
    <w:rsid w:val="00B3369E"/>
    <w:rsid w:val="00B33D35"/>
    <w:rsid w:val="00B33E2C"/>
    <w:rsid w:val="00B33EAC"/>
    <w:rsid w:val="00B34CAA"/>
    <w:rsid w:val="00B34DE8"/>
    <w:rsid w:val="00B3593B"/>
    <w:rsid w:val="00B36854"/>
    <w:rsid w:val="00B40445"/>
    <w:rsid w:val="00B40C97"/>
    <w:rsid w:val="00B41BFA"/>
    <w:rsid w:val="00B41C64"/>
    <w:rsid w:val="00B41E08"/>
    <w:rsid w:val="00B41FDB"/>
    <w:rsid w:val="00B42EF3"/>
    <w:rsid w:val="00B44FD9"/>
    <w:rsid w:val="00B4637B"/>
    <w:rsid w:val="00B4794F"/>
    <w:rsid w:val="00B47993"/>
    <w:rsid w:val="00B50D30"/>
    <w:rsid w:val="00B50F65"/>
    <w:rsid w:val="00B53DDE"/>
    <w:rsid w:val="00B5496A"/>
    <w:rsid w:val="00B56DBF"/>
    <w:rsid w:val="00B64E4A"/>
    <w:rsid w:val="00B66AF9"/>
    <w:rsid w:val="00B7195F"/>
    <w:rsid w:val="00B719B1"/>
    <w:rsid w:val="00B7346C"/>
    <w:rsid w:val="00B749E4"/>
    <w:rsid w:val="00B763B9"/>
    <w:rsid w:val="00B763CF"/>
    <w:rsid w:val="00B765EB"/>
    <w:rsid w:val="00B77013"/>
    <w:rsid w:val="00B80324"/>
    <w:rsid w:val="00B803BB"/>
    <w:rsid w:val="00B81BDB"/>
    <w:rsid w:val="00B827C6"/>
    <w:rsid w:val="00B85AFF"/>
    <w:rsid w:val="00B8723A"/>
    <w:rsid w:val="00B915EB"/>
    <w:rsid w:val="00B91BE7"/>
    <w:rsid w:val="00B93782"/>
    <w:rsid w:val="00B93DED"/>
    <w:rsid w:val="00B945A7"/>
    <w:rsid w:val="00B957D3"/>
    <w:rsid w:val="00B95BC2"/>
    <w:rsid w:val="00B96504"/>
    <w:rsid w:val="00B9672F"/>
    <w:rsid w:val="00BA0DBB"/>
    <w:rsid w:val="00BA13D1"/>
    <w:rsid w:val="00BA1C0D"/>
    <w:rsid w:val="00BA3A3F"/>
    <w:rsid w:val="00BA3EE0"/>
    <w:rsid w:val="00BA6734"/>
    <w:rsid w:val="00BB251D"/>
    <w:rsid w:val="00BB5EEE"/>
    <w:rsid w:val="00BC16F6"/>
    <w:rsid w:val="00BC1A99"/>
    <w:rsid w:val="00BC1C21"/>
    <w:rsid w:val="00BC2E58"/>
    <w:rsid w:val="00BC3D10"/>
    <w:rsid w:val="00BC4379"/>
    <w:rsid w:val="00BC4DFE"/>
    <w:rsid w:val="00BC5967"/>
    <w:rsid w:val="00BC7FC9"/>
    <w:rsid w:val="00BD0214"/>
    <w:rsid w:val="00BD0A45"/>
    <w:rsid w:val="00BD0BB6"/>
    <w:rsid w:val="00BD0E99"/>
    <w:rsid w:val="00BD1798"/>
    <w:rsid w:val="00BD389E"/>
    <w:rsid w:val="00BE15D4"/>
    <w:rsid w:val="00BE2E78"/>
    <w:rsid w:val="00BF2FBE"/>
    <w:rsid w:val="00BF30AF"/>
    <w:rsid w:val="00BF3DF4"/>
    <w:rsid w:val="00BF4C6E"/>
    <w:rsid w:val="00BF66FB"/>
    <w:rsid w:val="00BF761E"/>
    <w:rsid w:val="00C016C4"/>
    <w:rsid w:val="00C02D87"/>
    <w:rsid w:val="00C0520E"/>
    <w:rsid w:val="00C06ABF"/>
    <w:rsid w:val="00C07933"/>
    <w:rsid w:val="00C111BF"/>
    <w:rsid w:val="00C1282D"/>
    <w:rsid w:val="00C133A0"/>
    <w:rsid w:val="00C147D6"/>
    <w:rsid w:val="00C15C81"/>
    <w:rsid w:val="00C17454"/>
    <w:rsid w:val="00C202D5"/>
    <w:rsid w:val="00C226CF"/>
    <w:rsid w:val="00C23388"/>
    <w:rsid w:val="00C23BE7"/>
    <w:rsid w:val="00C23CEE"/>
    <w:rsid w:val="00C23DCF"/>
    <w:rsid w:val="00C25F07"/>
    <w:rsid w:val="00C2750D"/>
    <w:rsid w:val="00C279BD"/>
    <w:rsid w:val="00C31751"/>
    <w:rsid w:val="00C3295A"/>
    <w:rsid w:val="00C33D91"/>
    <w:rsid w:val="00C352F0"/>
    <w:rsid w:val="00C354E4"/>
    <w:rsid w:val="00C3594E"/>
    <w:rsid w:val="00C36EC3"/>
    <w:rsid w:val="00C37DEF"/>
    <w:rsid w:val="00C41B72"/>
    <w:rsid w:val="00C4330F"/>
    <w:rsid w:val="00C45843"/>
    <w:rsid w:val="00C474CE"/>
    <w:rsid w:val="00C50B49"/>
    <w:rsid w:val="00C523DF"/>
    <w:rsid w:val="00C52D70"/>
    <w:rsid w:val="00C5304D"/>
    <w:rsid w:val="00C531AD"/>
    <w:rsid w:val="00C54CBB"/>
    <w:rsid w:val="00C556E9"/>
    <w:rsid w:val="00C56BBB"/>
    <w:rsid w:val="00C56FC5"/>
    <w:rsid w:val="00C571CE"/>
    <w:rsid w:val="00C5751B"/>
    <w:rsid w:val="00C57A0A"/>
    <w:rsid w:val="00C57CED"/>
    <w:rsid w:val="00C620E5"/>
    <w:rsid w:val="00C64854"/>
    <w:rsid w:val="00C64B33"/>
    <w:rsid w:val="00C6529A"/>
    <w:rsid w:val="00C661DD"/>
    <w:rsid w:val="00C66347"/>
    <w:rsid w:val="00C66D40"/>
    <w:rsid w:val="00C66E07"/>
    <w:rsid w:val="00C7028B"/>
    <w:rsid w:val="00C7059F"/>
    <w:rsid w:val="00C7121A"/>
    <w:rsid w:val="00C71D7B"/>
    <w:rsid w:val="00C721D4"/>
    <w:rsid w:val="00C74383"/>
    <w:rsid w:val="00C75A48"/>
    <w:rsid w:val="00C760B3"/>
    <w:rsid w:val="00C801A7"/>
    <w:rsid w:val="00C811E7"/>
    <w:rsid w:val="00C81CB1"/>
    <w:rsid w:val="00C8254B"/>
    <w:rsid w:val="00C8261C"/>
    <w:rsid w:val="00C83698"/>
    <w:rsid w:val="00C873DC"/>
    <w:rsid w:val="00C87499"/>
    <w:rsid w:val="00C907E2"/>
    <w:rsid w:val="00C90A8A"/>
    <w:rsid w:val="00C913E7"/>
    <w:rsid w:val="00C91D43"/>
    <w:rsid w:val="00C91E2F"/>
    <w:rsid w:val="00C92201"/>
    <w:rsid w:val="00C922A8"/>
    <w:rsid w:val="00C9295D"/>
    <w:rsid w:val="00C94964"/>
    <w:rsid w:val="00C967C0"/>
    <w:rsid w:val="00C96857"/>
    <w:rsid w:val="00C97875"/>
    <w:rsid w:val="00C97B3F"/>
    <w:rsid w:val="00C97E08"/>
    <w:rsid w:val="00CA0D53"/>
    <w:rsid w:val="00CA3177"/>
    <w:rsid w:val="00CA3866"/>
    <w:rsid w:val="00CA4840"/>
    <w:rsid w:val="00CA51E8"/>
    <w:rsid w:val="00CA5B3B"/>
    <w:rsid w:val="00CA5E86"/>
    <w:rsid w:val="00CA6F57"/>
    <w:rsid w:val="00CB043F"/>
    <w:rsid w:val="00CB0E14"/>
    <w:rsid w:val="00CB27FE"/>
    <w:rsid w:val="00CB2E35"/>
    <w:rsid w:val="00CB3588"/>
    <w:rsid w:val="00CB3A29"/>
    <w:rsid w:val="00CB3DC0"/>
    <w:rsid w:val="00CB572F"/>
    <w:rsid w:val="00CB5746"/>
    <w:rsid w:val="00CB63B9"/>
    <w:rsid w:val="00CB6DCB"/>
    <w:rsid w:val="00CB70CD"/>
    <w:rsid w:val="00CC0E20"/>
    <w:rsid w:val="00CC2ADC"/>
    <w:rsid w:val="00CC68F6"/>
    <w:rsid w:val="00CC755B"/>
    <w:rsid w:val="00CC7F24"/>
    <w:rsid w:val="00CD3310"/>
    <w:rsid w:val="00CD3547"/>
    <w:rsid w:val="00CD35A1"/>
    <w:rsid w:val="00CD3B81"/>
    <w:rsid w:val="00CD4BAA"/>
    <w:rsid w:val="00CD56CA"/>
    <w:rsid w:val="00CD69CD"/>
    <w:rsid w:val="00CD6A21"/>
    <w:rsid w:val="00CD7E18"/>
    <w:rsid w:val="00CD7F4C"/>
    <w:rsid w:val="00CE01BC"/>
    <w:rsid w:val="00CE2FFD"/>
    <w:rsid w:val="00CE4DB2"/>
    <w:rsid w:val="00CF074C"/>
    <w:rsid w:val="00CF37EC"/>
    <w:rsid w:val="00CF39FE"/>
    <w:rsid w:val="00D009D5"/>
    <w:rsid w:val="00D00C96"/>
    <w:rsid w:val="00D0538A"/>
    <w:rsid w:val="00D06554"/>
    <w:rsid w:val="00D07B73"/>
    <w:rsid w:val="00D117CB"/>
    <w:rsid w:val="00D136FE"/>
    <w:rsid w:val="00D162D0"/>
    <w:rsid w:val="00D211E3"/>
    <w:rsid w:val="00D21980"/>
    <w:rsid w:val="00D224DA"/>
    <w:rsid w:val="00D22F20"/>
    <w:rsid w:val="00D24E05"/>
    <w:rsid w:val="00D263C7"/>
    <w:rsid w:val="00D30641"/>
    <w:rsid w:val="00D33910"/>
    <w:rsid w:val="00D347FB"/>
    <w:rsid w:val="00D3531C"/>
    <w:rsid w:val="00D360CF"/>
    <w:rsid w:val="00D36CF6"/>
    <w:rsid w:val="00D3722A"/>
    <w:rsid w:val="00D4510D"/>
    <w:rsid w:val="00D453BD"/>
    <w:rsid w:val="00D47323"/>
    <w:rsid w:val="00D5051B"/>
    <w:rsid w:val="00D518AC"/>
    <w:rsid w:val="00D52D27"/>
    <w:rsid w:val="00D52F5C"/>
    <w:rsid w:val="00D5546E"/>
    <w:rsid w:val="00D56421"/>
    <w:rsid w:val="00D60A67"/>
    <w:rsid w:val="00D6193F"/>
    <w:rsid w:val="00D61D8C"/>
    <w:rsid w:val="00D62954"/>
    <w:rsid w:val="00D62F8E"/>
    <w:rsid w:val="00D653DB"/>
    <w:rsid w:val="00D66BC1"/>
    <w:rsid w:val="00D66C7E"/>
    <w:rsid w:val="00D66DF8"/>
    <w:rsid w:val="00D67645"/>
    <w:rsid w:val="00D70770"/>
    <w:rsid w:val="00D70D71"/>
    <w:rsid w:val="00D713D9"/>
    <w:rsid w:val="00D725DA"/>
    <w:rsid w:val="00D72C35"/>
    <w:rsid w:val="00D73057"/>
    <w:rsid w:val="00D7514E"/>
    <w:rsid w:val="00D752CE"/>
    <w:rsid w:val="00D76038"/>
    <w:rsid w:val="00D761C5"/>
    <w:rsid w:val="00D818BD"/>
    <w:rsid w:val="00D8274C"/>
    <w:rsid w:val="00D828FD"/>
    <w:rsid w:val="00D82FA3"/>
    <w:rsid w:val="00D82FD6"/>
    <w:rsid w:val="00D83C1B"/>
    <w:rsid w:val="00D83D74"/>
    <w:rsid w:val="00D844E5"/>
    <w:rsid w:val="00D85F8B"/>
    <w:rsid w:val="00D8702E"/>
    <w:rsid w:val="00D87FF7"/>
    <w:rsid w:val="00D904B7"/>
    <w:rsid w:val="00D90A02"/>
    <w:rsid w:val="00D91870"/>
    <w:rsid w:val="00D92BA2"/>
    <w:rsid w:val="00D93AF7"/>
    <w:rsid w:val="00D96DF2"/>
    <w:rsid w:val="00D97738"/>
    <w:rsid w:val="00DA0BAE"/>
    <w:rsid w:val="00DA32E8"/>
    <w:rsid w:val="00DA4910"/>
    <w:rsid w:val="00DB1C70"/>
    <w:rsid w:val="00DB1EE8"/>
    <w:rsid w:val="00DB2804"/>
    <w:rsid w:val="00DB29E8"/>
    <w:rsid w:val="00DB488E"/>
    <w:rsid w:val="00DB598D"/>
    <w:rsid w:val="00DB7344"/>
    <w:rsid w:val="00DC71FE"/>
    <w:rsid w:val="00DC7308"/>
    <w:rsid w:val="00DD03F7"/>
    <w:rsid w:val="00DD14E1"/>
    <w:rsid w:val="00DD14FD"/>
    <w:rsid w:val="00DD16A6"/>
    <w:rsid w:val="00DD428D"/>
    <w:rsid w:val="00DD4309"/>
    <w:rsid w:val="00DD55C4"/>
    <w:rsid w:val="00DD5C08"/>
    <w:rsid w:val="00DD70AB"/>
    <w:rsid w:val="00DD7B1E"/>
    <w:rsid w:val="00DE0FE3"/>
    <w:rsid w:val="00DE1870"/>
    <w:rsid w:val="00DE1FD0"/>
    <w:rsid w:val="00DE3297"/>
    <w:rsid w:val="00DE6183"/>
    <w:rsid w:val="00DE6368"/>
    <w:rsid w:val="00DE7399"/>
    <w:rsid w:val="00DF2DD0"/>
    <w:rsid w:val="00DF3483"/>
    <w:rsid w:val="00DF4B58"/>
    <w:rsid w:val="00DF7243"/>
    <w:rsid w:val="00DF7F79"/>
    <w:rsid w:val="00E01B8D"/>
    <w:rsid w:val="00E01BE9"/>
    <w:rsid w:val="00E03535"/>
    <w:rsid w:val="00E05485"/>
    <w:rsid w:val="00E05837"/>
    <w:rsid w:val="00E106CA"/>
    <w:rsid w:val="00E1121F"/>
    <w:rsid w:val="00E150B0"/>
    <w:rsid w:val="00E15D12"/>
    <w:rsid w:val="00E17555"/>
    <w:rsid w:val="00E17CF1"/>
    <w:rsid w:val="00E20E6E"/>
    <w:rsid w:val="00E22F8F"/>
    <w:rsid w:val="00E2459A"/>
    <w:rsid w:val="00E24B72"/>
    <w:rsid w:val="00E24C85"/>
    <w:rsid w:val="00E25168"/>
    <w:rsid w:val="00E27890"/>
    <w:rsid w:val="00E27E62"/>
    <w:rsid w:val="00E30722"/>
    <w:rsid w:val="00E31D77"/>
    <w:rsid w:val="00E34145"/>
    <w:rsid w:val="00E35A43"/>
    <w:rsid w:val="00E41517"/>
    <w:rsid w:val="00E422EC"/>
    <w:rsid w:val="00E43930"/>
    <w:rsid w:val="00E44E1D"/>
    <w:rsid w:val="00E45748"/>
    <w:rsid w:val="00E4575F"/>
    <w:rsid w:val="00E45A62"/>
    <w:rsid w:val="00E460E1"/>
    <w:rsid w:val="00E46BC0"/>
    <w:rsid w:val="00E47DE2"/>
    <w:rsid w:val="00E52009"/>
    <w:rsid w:val="00E531E2"/>
    <w:rsid w:val="00E55905"/>
    <w:rsid w:val="00E57137"/>
    <w:rsid w:val="00E57EF1"/>
    <w:rsid w:val="00E61C13"/>
    <w:rsid w:val="00E630B5"/>
    <w:rsid w:val="00E64254"/>
    <w:rsid w:val="00E65354"/>
    <w:rsid w:val="00E67A9B"/>
    <w:rsid w:val="00E67CA3"/>
    <w:rsid w:val="00E702A2"/>
    <w:rsid w:val="00E70645"/>
    <w:rsid w:val="00E70A7F"/>
    <w:rsid w:val="00E7156A"/>
    <w:rsid w:val="00E7187E"/>
    <w:rsid w:val="00E720E5"/>
    <w:rsid w:val="00E721CC"/>
    <w:rsid w:val="00E72CA6"/>
    <w:rsid w:val="00E761D3"/>
    <w:rsid w:val="00E773AE"/>
    <w:rsid w:val="00E7794D"/>
    <w:rsid w:val="00E851F8"/>
    <w:rsid w:val="00E8669A"/>
    <w:rsid w:val="00E87229"/>
    <w:rsid w:val="00E9104B"/>
    <w:rsid w:val="00E946F9"/>
    <w:rsid w:val="00E947D5"/>
    <w:rsid w:val="00E9528A"/>
    <w:rsid w:val="00E97E8D"/>
    <w:rsid w:val="00EA086C"/>
    <w:rsid w:val="00EA140D"/>
    <w:rsid w:val="00EA1B2C"/>
    <w:rsid w:val="00EA552C"/>
    <w:rsid w:val="00EA5547"/>
    <w:rsid w:val="00EA65B4"/>
    <w:rsid w:val="00EA74A2"/>
    <w:rsid w:val="00EB1713"/>
    <w:rsid w:val="00EB6413"/>
    <w:rsid w:val="00EC0757"/>
    <w:rsid w:val="00EC10E8"/>
    <w:rsid w:val="00EC1289"/>
    <w:rsid w:val="00EC132B"/>
    <w:rsid w:val="00EC3207"/>
    <w:rsid w:val="00EC33C5"/>
    <w:rsid w:val="00EC495E"/>
    <w:rsid w:val="00EC76DA"/>
    <w:rsid w:val="00ED0379"/>
    <w:rsid w:val="00ED04CF"/>
    <w:rsid w:val="00ED16AA"/>
    <w:rsid w:val="00ED1A0C"/>
    <w:rsid w:val="00ED3A7C"/>
    <w:rsid w:val="00ED3AC7"/>
    <w:rsid w:val="00ED3EB3"/>
    <w:rsid w:val="00ED635E"/>
    <w:rsid w:val="00ED6BC9"/>
    <w:rsid w:val="00EE1078"/>
    <w:rsid w:val="00EE2BF2"/>
    <w:rsid w:val="00EE4571"/>
    <w:rsid w:val="00EE47EC"/>
    <w:rsid w:val="00EE4E3F"/>
    <w:rsid w:val="00EE5435"/>
    <w:rsid w:val="00EF0578"/>
    <w:rsid w:val="00EF327D"/>
    <w:rsid w:val="00EF3E32"/>
    <w:rsid w:val="00EF4182"/>
    <w:rsid w:val="00EF6BAA"/>
    <w:rsid w:val="00F0059E"/>
    <w:rsid w:val="00F01272"/>
    <w:rsid w:val="00F022DC"/>
    <w:rsid w:val="00F0272A"/>
    <w:rsid w:val="00F03D06"/>
    <w:rsid w:val="00F05018"/>
    <w:rsid w:val="00F07FF2"/>
    <w:rsid w:val="00F10410"/>
    <w:rsid w:val="00F11CB3"/>
    <w:rsid w:val="00F136F7"/>
    <w:rsid w:val="00F14EC6"/>
    <w:rsid w:val="00F15BD3"/>
    <w:rsid w:val="00F1776E"/>
    <w:rsid w:val="00F17BE6"/>
    <w:rsid w:val="00F17CD3"/>
    <w:rsid w:val="00F20834"/>
    <w:rsid w:val="00F20F3C"/>
    <w:rsid w:val="00F217FE"/>
    <w:rsid w:val="00F226D6"/>
    <w:rsid w:val="00F22FB0"/>
    <w:rsid w:val="00F24979"/>
    <w:rsid w:val="00F267BB"/>
    <w:rsid w:val="00F278FE"/>
    <w:rsid w:val="00F27D4F"/>
    <w:rsid w:val="00F3152F"/>
    <w:rsid w:val="00F31F1A"/>
    <w:rsid w:val="00F352BA"/>
    <w:rsid w:val="00F420FC"/>
    <w:rsid w:val="00F427DB"/>
    <w:rsid w:val="00F42E70"/>
    <w:rsid w:val="00F4467F"/>
    <w:rsid w:val="00F44B03"/>
    <w:rsid w:val="00F44FDE"/>
    <w:rsid w:val="00F45E78"/>
    <w:rsid w:val="00F50E2D"/>
    <w:rsid w:val="00F54249"/>
    <w:rsid w:val="00F5457A"/>
    <w:rsid w:val="00F54826"/>
    <w:rsid w:val="00F552FE"/>
    <w:rsid w:val="00F56BDB"/>
    <w:rsid w:val="00F60C1F"/>
    <w:rsid w:val="00F6186F"/>
    <w:rsid w:val="00F619FD"/>
    <w:rsid w:val="00F62827"/>
    <w:rsid w:val="00F648DD"/>
    <w:rsid w:val="00F65C9D"/>
    <w:rsid w:val="00F65FAE"/>
    <w:rsid w:val="00F67051"/>
    <w:rsid w:val="00F6711C"/>
    <w:rsid w:val="00F67F5E"/>
    <w:rsid w:val="00F70D4C"/>
    <w:rsid w:val="00F70FD3"/>
    <w:rsid w:val="00F71999"/>
    <w:rsid w:val="00F7242F"/>
    <w:rsid w:val="00F73BDE"/>
    <w:rsid w:val="00F77FCD"/>
    <w:rsid w:val="00F80305"/>
    <w:rsid w:val="00F81245"/>
    <w:rsid w:val="00F8158D"/>
    <w:rsid w:val="00F83237"/>
    <w:rsid w:val="00F846D9"/>
    <w:rsid w:val="00F852B3"/>
    <w:rsid w:val="00F8594D"/>
    <w:rsid w:val="00F87354"/>
    <w:rsid w:val="00F87995"/>
    <w:rsid w:val="00F91A2E"/>
    <w:rsid w:val="00F9305F"/>
    <w:rsid w:val="00F93C9B"/>
    <w:rsid w:val="00F95876"/>
    <w:rsid w:val="00F962BA"/>
    <w:rsid w:val="00F969EB"/>
    <w:rsid w:val="00FA01BF"/>
    <w:rsid w:val="00FA0FAB"/>
    <w:rsid w:val="00FA5B25"/>
    <w:rsid w:val="00FA64AC"/>
    <w:rsid w:val="00FB108A"/>
    <w:rsid w:val="00FB108C"/>
    <w:rsid w:val="00FB1F03"/>
    <w:rsid w:val="00FB28E3"/>
    <w:rsid w:val="00FB2F9A"/>
    <w:rsid w:val="00FB37A5"/>
    <w:rsid w:val="00FB54E9"/>
    <w:rsid w:val="00FB734A"/>
    <w:rsid w:val="00FC2AD1"/>
    <w:rsid w:val="00FC2DE4"/>
    <w:rsid w:val="00FC3017"/>
    <w:rsid w:val="00FC3424"/>
    <w:rsid w:val="00FC4A12"/>
    <w:rsid w:val="00FC4BD1"/>
    <w:rsid w:val="00FC512D"/>
    <w:rsid w:val="00FC60A9"/>
    <w:rsid w:val="00FC6F9B"/>
    <w:rsid w:val="00FC7184"/>
    <w:rsid w:val="00FD22CD"/>
    <w:rsid w:val="00FD3D80"/>
    <w:rsid w:val="00FD5C20"/>
    <w:rsid w:val="00FD7887"/>
    <w:rsid w:val="00FD79A4"/>
    <w:rsid w:val="00FE0B99"/>
    <w:rsid w:val="00FE496F"/>
    <w:rsid w:val="00FE5813"/>
    <w:rsid w:val="00FE70D0"/>
    <w:rsid w:val="00FF05F8"/>
    <w:rsid w:val="00FF0F07"/>
    <w:rsid w:val="00FF3781"/>
    <w:rsid w:val="00FF48D2"/>
    <w:rsid w:val="00FF573D"/>
    <w:rsid w:val="00FF6191"/>
    <w:rsid w:val="00FF77FB"/>
    <w:rsid w:val="02302CC5"/>
    <w:rsid w:val="064E8D20"/>
    <w:rsid w:val="07D26E13"/>
    <w:rsid w:val="0B3F3EB3"/>
    <w:rsid w:val="0CE2346A"/>
    <w:rsid w:val="1C6875B6"/>
    <w:rsid w:val="1CAEF634"/>
    <w:rsid w:val="1D2FE75F"/>
    <w:rsid w:val="2095F158"/>
    <w:rsid w:val="29BB1F16"/>
    <w:rsid w:val="3124A265"/>
    <w:rsid w:val="32EF9798"/>
    <w:rsid w:val="384532EE"/>
    <w:rsid w:val="39712EE9"/>
    <w:rsid w:val="39D36DB0"/>
    <w:rsid w:val="46073681"/>
    <w:rsid w:val="4BC8E631"/>
    <w:rsid w:val="51AB0AC7"/>
    <w:rsid w:val="532D6140"/>
    <w:rsid w:val="59D051A9"/>
    <w:rsid w:val="5C3FA2A3"/>
    <w:rsid w:val="5C4D837B"/>
    <w:rsid w:val="5F2EF19A"/>
    <w:rsid w:val="606EC557"/>
    <w:rsid w:val="6182FE2B"/>
    <w:rsid w:val="63699548"/>
    <w:rsid w:val="6BAC466B"/>
    <w:rsid w:val="6EEFDFBD"/>
    <w:rsid w:val="706ACD0C"/>
    <w:rsid w:val="7199234A"/>
    <w:rsid w:val="727C089B"/>
    <w:rsid w:val="729516D5"/>
    <w:rsid w:val="745268C2"/>
    <w:rsid w:val="7497D44B"/>
    <w:rsid w:val="74B0E446"/>
    <w:rsid w:val="7633A4AC"/>
    <w:rsid w:val="776666EA"/>
    <w:rsid w:val="7867B4B0"/>
    <w:rsid w:val="7AB19897"/>
    <w:rsid w:val="7E258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75A29"/>
  <w15:docId w15:val="{9602D834-2297-4ABE-B481-6C962CAD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Xo Normal"/>
    <w:qFormat/>
    <w:rsid w:val="007A56DB"/>
    <w:rPr>
      <w:rFonts w:ascii="Arial" w:hAnsi="Arial"/>
    </w:rPr>
  </w:style>
  <w:style w:type="paragraph" w:styleId="Heading1">
    <w:name w:val="heading 1"/>
    <w:aliases w:val="Xo Heading 1"/>
    <w:basedOn w:val="Normal"/>
    <w:next w:val="Normal"/>
    <w:link w:val="Heading1Char"/>
    <w:uiPriority w:val="9"/>
    <w:qFormat/>
    <w:rsid w:val="007A56D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E5AA8"/>
      <w:sz w:val="28"/>
      <w:szCs w:val="28"/>
    </w:rPr>
  </w:style>
  <w:style w:type="paragraph" w:styleId="Heading2">
    <w:name w:val="heading 2"/>
    <w:aliases w:val="Xo Heading 2"/>
    <w:basedOn w:val="Normal"/>
    <w:next w:val="Normal"/>
    <w:link w:val="Heading2Char"/>
    <w:uiPriority w:val="9"/>
    <w:unhideWhenUsed/>
    <w:qFormat/>
    <w:rsid w:val="007A56D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6440A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A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Heading4">
    <w:name w:val="heading 4"/>
    <w:aliases w:val="Xo Heading 4"/>
    <w:basedOn w:val="Normal"/>
    <w:next w:val="Normal"/>
    <w:link w:val="Heading4Char"/>
    <w:uiPriority w:val="9"/>
    <w:unhideWhenUsed/>
    <w:qFormat/>
    <w:rsid w:val="000014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014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E2C5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Xo No Spacing"/>
    <w:uiPriority w:val="1"/>
    <w:qFormat/>
    <w:rsid w:val="007A56DB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aliases w:val="Xo Heading 1 Char"/>
    <w:basedOn w:val="DefaultParagraphFont"/>
    <w:link w:val="Heading1"/>
    <w:uiPriority w:val="9"/>
    <w:rsid w:val="007A56DB"/>
    <w:rPr>
      <w:rFonts w:ascii="Arial" w:eastAsiaTheme="majorEastAsia" w:hAnsi="Arial" w:cstheme="majorBidi"/>
      <w:b/>
      <w:bCs/>
      <w:color w:val="3E5AA8"/>
      <w:sz w:val="28"/>
      <w:szCs w:val="28"/>
    </w:rPr>
  </w:style>
  <w:style w:type="character" w:customStyle="1" w:styleId="Heading2Char">
    <w:name w:val="Heading 2 Char"/>
    <w:aliases w:val="Xo Heading 2 Char"/>
    <w:basedOn w:val="DefaultParagraphFont"/>
    <w:link w:val="Heading2"/>
    <w:uiPriority w:val="9"/>
    <w:rsid w:val="007A56DB"/>
    <w:rPr>
      <w:rFonts w:ascii="Arial" w:eastAsiaTheme="majorEastAsia" w:hAnsi="Arial" w:cstheme="majorBidi"/>
      <w:b/>
      <w:bCs/>
      <w:color w:val="6440A3"/>
      <w:sz w:val="26"/>
      <w:szCs w:val="26"/>
    </w:rPr>
  </w:style>
  <w:style w:type="paragraph" w:styleId="Title">
    <w:name w:val="Title"/>
    <w:aliases w:val="Xo Title"/>
    <w:basedOn w:val="Normal"/>
    <w:next w:val="Normal"/>
    <w:link w:val="TitleChar"/>
    <w:uiPriority w:val="10"/>
    <w:qFormat/>
    <w:rsid w:val="00BD0A45"/>
    <w:pPr>
      <w:pBdr>
        <w:bottom w:val="single" w:sz="8" w:space="4" w:color="3E5AA8" w:themeColor="accent1"/>
      </w:pBdr>
      <w:spacing w:after="300" w:line="240" w:lineRule="auto"/>
      <w:contextualSpacing/>
    </w:pPr>
    <w:rPr>
      <w:rFonts w:eastAsiaTheme="majorEastAsia" w:cstheme="majorBidi"/>
      <w:b/>
      <w:color w:val="1D3E61"/>
      <w:spacing w:val="5"/>
      <w:kern w:val="28"/>
      <w:sz w:val="52"/>
      <w:szCs w:val="52"/>
    </w:rPr>
  </w:style>
  <w:style w:type="character" w:customStyle="1" w:styleId="TitleChar">
    <w:name w:val="Title Char"/>
    <w:aliases w:val="Xo Title Char"/>
    <w:basedOn w:val="DefaultParagraphFont"/>
    <w:link w:val="Title"/>
    <w:uiPriority w:val="10"/>
    <w:rsid w:val="00BD0A45"/>
    <w:rPr>
      <w:rFonts w:ascii="Arial" w:eastAsiaTheme="majorEastAsia" w:hAnsi="Arial" w:cstheme="majorBidi"/>
      <w:b/>
      <w:color w:val="1D3E61"/>
      <w:spacing w:val="5"/>
      <w:kern w:val="28"/>
      <w:sz w:val="52"/>
      <w:szCs w:val="52"/>
    </w:rPr>
  </w:style>
  <w:style w:type="paragraph" w:styleId="Subtitle">
    <w:name w:val="Subtitle"/>
    <w:aliases w:val="Xo Subtitle"/>
    <w:basedOn w:val="Normal"/>
    <w:next w:val="Normal"/>
    <w:link w:val="SubtitleChar"/>
    <w:uiPriority w:val="11"/>
    <w:qFormat/>
    <w:rsid w:val="00324744"/>
    <w:pPr>
      <w:numPr>
        <w:ilvl w:val="1"/>
      </w:numPr>
    </w:pPr>
    <w:rPr>
      <w:rFonts w:eastAsiaTheme="majorEastAsia" w:cstheme="majorBidi"/>
      <w:i/>
      <w:iCs/>
      <w:color w:val="56CF9E"/>
      <w:spacing w:val="15"/>
      <w:sz w:val="24"/>
      <w:szCs w:val="24"/>
    </w:rPr>
  </w:style>
  <w:style w:type="character" w:customStyle="1" w:styleId="SubtitleChar">
    <w:name w:val="Subtitle Char"/>
    <w:aliases w:val="Xo Subtitle Char"/>
    <w:basedOn w:val="DefaultParagraphFont"/>
    <w:link w:val="Subtitle"/>
    <w:uiPriority w:val="11"/>
    <w:rsid w:val="00324744"/>
    <w:rPr>
      <w:rFonts w:ascii="Arial" w:eastAsiaTheme="majorEastAsia" w:hAnsi="Arial" w:cstheme="majorBidi"/>
      <w:i/>
      <w:iCs/>
      <w:color w:val="56CF9E"/>
      <w:spacing w:val="15"/>
      <w:sz w:val="24"/>
      <w:szCs w:val="24"/>
    </w:rPr>
  </w:style>
  <w:style w:type="character" w:styleId="SubtleEmphasis">
    <w:name w:val="Subtle Emphasis"/>
    <w:aliases w:val="Xo Subtle Emphasis"/>
    <w:basedOn w:val="DefaultParagraphFont"/>
    <w:uiPriority w:val="19"/>
    <w:qFormat/>
    <w:rsid w:val="00324744"/>
    <w:rPr>
      <w:rFonts w:ascii="Arial" w:hAnsi="Arial"/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74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74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BD0A45"/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9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140B"/>
    <w:rPr>
      <w:color w:val="6440A3" w:themeColor="hyperlink"/>
      <w:u w:val="single"/>
    </w:rPr>
  </w:style>
  <w:style w:type="character" w:customStyle="1" w:styleId="Heading4Char">
    <w:name w:val="Heading 4 Char"/>
    <w:aliases w:val="Xo Heading 4 Char"/>
    <w:basedOn w:val="DefaultParagraphFont"/>
    <w:link w:val="Heading4"/>
    <w:uiPriority w:val="9"/>
    <w:rsid w:val="0000140B"/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40B"/>
    <w:rPr>
      <w:rFonts w:asciiTheme="majorHAnsi" w:eastAsiaTheme="majorEastAsia" w:hAnsiTheme="majorHAnsi" w:cstheme="majorBidi"/>
      <w:color w:val="1E2C53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426807"/>
    <w:rPr>
      <w:b/>
      <w:bCs/>
      <w:i/>
      <w:iCs/>
      <w:color w:val="3E5AA8" w:themeColor="accent1"/>
    </w:rPr>
  </w:style>
  <w:style w:type="character" w:styleId="Strong">
    <w:name w:val="Strong"/>
    <w:basedOn w:val="DefaultParagraphFont"/>
    <w:uiPriority w:val="22"/>
    <w:qFormat/>
    <w:rsid w:val="0042680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268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6807"/>
    <w:rPr>
      <w:rFonts w:ascii="Arial" w:hAnsi="Arial"/>
      <w:i/>
      <w:iCs/>
      <w:color w:val="000000" w:themeColor="text1"/>
    </w:rPr>
  </w:style>
  <w:style w:type="table" w:customStyle="1" w:styleId="TableGrid1">
    <w:name w:val="Table Grid1"/>
    <w:basedOn w:val="TableNormal"/>
    <w:next w:val="TableGrid"/>
    <w:uiPriority w:val="59"/>
    <w:rsid w:val="002B2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B2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Equipment,Figure_name,Numbered Indented Text,List Paragraph1,List Paragraph Char Char Char,List Paragraph Char Char,Bullet 1,lp1,List Paragraph11"/>
    <w:basedOn w:val="Normal"/>
    <w:link w:val="ListParagraphChar"/>
    <w:uiPriority w:val="34"/>
    <w:qFormat/>
    <w:rsid w:val="00A107AC"/>
    <w:pPr>
      <w:spacing w:after="120" w:line="360" w:lineRule="auto"/>
      <w:ind w:left="720"/>
      <w:contextualSpacing/>
      <w:jc w:val="both"/>
    </w:pPr>
    <w:rPr>
      <w:rFonts w:eastAsia="Times New Roman" w:cs="Times New Roman"/>
      <w:sz w:val="20"/>
      <w:szCs w:val="24"/>
      <w:lang w:eastAsia="en-US"/>
    </w:rPr>
  </w:style>
  <w:style w:type="paragraph" w:customStyle="1" w:styleId="NGTHeading1">
    <w:name w:val="*NGT Heading 1"/>
    <w:basedOn w:val="Normal"/>
    <w:next w:val="Normal"/>
    <w:rsid w:val="00373D5C"/>
    <w:pPr>
      <w:keepNext/>
      <w:numPr>
        <w:numId w:val="3"/>
      </w:numPr>
      <w:spacing w:line="360" w:lineRule="auto"/>
      <w:jc w:val="both"/>
    </w:pPr>
    <w:rPr>
      <w:rFonts w:eastAsia="Times New Roman" w:cs="Times New Roman"/>
      <w:b/>
      <w:sz w:val="20"/>
      <w:szCs w:val="24"/>
      <w:lang w:eastAsia="en-US"/>
    </w:rPr>
  </w:style>
  <w:style w:type="paragraph" w:customStyle="1" w:styleId="NGTHeading2">
    <w:name w:val="*NGT Heading 2"/>
    <w:basedOn w:val="Normal"/>
    <w:rsid w:val="00373D5C"/>
    <w:pPr>
      <w:numPr>
        <w:ilvl w:val="1"/>
        <w:numId w:val="3"/>
      </w:numPr>
      <w:spacing w:before="120" w:after="0" w:line="360" w:lineRule="auto"/>
      <w:jc w:val="both"/>
    </w:pPr>
    <w:rPr>
      <w:rFonts w:eastAsia="Times New Roman" w:cs="Times New Roman"/>
      <w:sz w:val="20"/>
      <w:szCs w:val="24"/>
      <w:lang w:eastAsia="en-US"/>
    </w:rPr>
  </w:style>
  <w:style w:type="paragraph" w:customStyle="1" w:styleId="NGTHeading3">
    <w:name w:val="*NGT Heading 3"/>
    <w:basedOn w:val="Normal"/>
    <w:rsid w:val="00373D5C"/>
    <w:pPr>
      <w:numPr>
        <w:ilvl w:val="2"/>
        <w:numId w:val="3"/>
      </w:numPr>
      <w:spacing w:after="0" w:line="360" w:lineRule="auto"/>
      <w:jc w:val="both"/>
    </w:pPr>
    <w:rPr>
      <w:rFonts w:eastAsia="Times New Roman" w:cs="Times New Roman"/>
      <w:sz w:val="20"/>
      <w:szCs w:val="24"/>
      <w:lang w:eastAsia="en-US"/>
    </w:rPr>
  </w:style>
  <w:style w:type="paragraph" w:customStyle="1" w:styleId="NGTHeading4">
    <w:name w:val="*NGT Heading 4"/>
    <w:basedOn w:val="Normal"/>
    <w:rsid w:val="00373D5C"/>
    <w:pPr>
      <w:numPr>
        <w:ilvl w:val="3"/>
        <w:numId w:val="3"/>
      </w:numPr>
      <w:tabs>
        <w:tab w:val="left" w:pos="1701"/>
      </w:tabs>
      <w:spacing w:line="360" w:lineRule="auto"/>
      <w:jc w:val="both"/>
    </w:pPr>
    <w:rPr>
      <w:rFonts w:eastAsia="Times New Roman" w:cs="Times New Roman"/>
      <w:sz w:val="20"/>
      <w:szCs w:val="24"/>
      <w:lang w:eastAsia="en-US"/>
    </w:rPr>
  </w:style>
  <w:style w:type="paragraph" w:customStyle="1" w:styleId="NGTHeading5">
    <w:name w:val="*NGT Heading 5"/>
    <w:basedOn w:val="Normal"/>
    <w:rsid w:val="00373D5C"/>
    <w:pPr>
      <w:numPr>
        <w:ilvl w:val="4"/>
        <w:numId w:val="3"/>
      </w:numPr>
      <w:spacing w:line="360" w:lineRule="auto"/>
      <w:jc w:val="both"/>
    </w:pPr>
    <w:rPr>
      <w:rFonts w:eastAsia="Times New Roman" w:cs="Times New Roman"/>
      <w:sz w:val="20"/>
      <w:szCs w:val="24"/>
      <w:lang w:eastAsia="en-US"/>
    </w:rPr>
  </w:style>
  <w:style w:type="paragraph" w:customStyle="1" w:styleId="NGTHeading6">
    <w:name w:val="*NGT Heading 6"/>
    <w:basedOn w:val="Normal"/>
    <w:rsid w:val="00373D5C"/>
    <w:pPr>
      <w:numPr>
        <w:ilvl w:val="5"/>
        <w:numId w:val="3"/>
      </w:numPr>
      <w:spacing w:line="360" w:lineRule="auto"/>
      <w:jc w:val="both"/>
    </w:pPr>
    <w:rPr>
      <w:rFonts w:eastAsia="Times New Roman" w:cs="Times New Roman"/>
      <w:sz w:val="20"/>
      <w:szCs w:val="24"/>
      <w:lang w:eastAsia="en-US"/>
    </w:rPr>
  </w:style>
  <w:style w:type="paragraph" w:customStyle="1" w:styleId="NGTHeading7">
    <w:name w:val="*NGT Heading 7"/>
    <w:basedOn w:val="Normal"/>
    <w:rsid w:val="00373D5C"/>
    <w:pPr>
      <w:numPr>
        <w:ilvl w:val="6"/>
        <w:numId w:val="3"/>
      </w:numPr>
      <w:tabs>
        <w:tab w:val="left" w:pos="3402"/>
      </w:tabs>
      <w:spacing w:line="360" w:lineRule="auto"/>
      <w:jc w:val="both"/>
    </w:pPr>
    <w:rPr>
      <w:rFonts w:eastAsia="Times New Roman" w:cs="Times New Roman"/>
      <w:sz w:val="20"/>
      <w:szCs w:val="24"/>
      <w:lang w:eastAsia="en-US"/>
    </w:rPr>
  </w:style>
  <w:style w:type="numbering" w:customStyle="1" w:styleId="Style41">
    <w:name w:val="Style41"/>
    <w:qFormat/>
    <w:rsid w:val="00186E8F"/>
    <w:pPr>
      <w:numPr>
        <w:numId w:val="9"/>
      </w:numPr>
    </w:pPr>
  </w:style>
  <w:style w:type="numbering" w:customStyle="1" w:styleId="Style411">
    <w:name w:val="Style411"/>
    <w:qFormat/>
    <w:rsid w:val="005931DD"/>
    <w:pPr>
      <w:numPr>
        <w:numId w:val="10"/>
      </w:numPr>
    </w:pPr>
  </w:style>
  <w:style w:type="character" w:customStyle="1" w:styleId="ListParagraphChar">
    <w:name w:val="List Paragraph Char"/>
    <w:aliases w:val="Equipment Char,Figure_name Char,Numbered Indented Text Char,List Paragraph1 Char,List Paragraph Char Char Char Char,List Paragraph Char Char Char1,Bullet 1 Char,lp1 Char,List Paragraph11 Char"/>
    <w:basedOn w:val="DefaultParagraphFont"/>
    <w:link w:val="ListParagraph"/>
    <w:uiPriority w:val="34"/>
    <w:qFormat/>
    <w:locked/>
    <w:rsid w:val="0028280D"/>
    <w:rPr>
      <w:rFonts w:ascii="Arial" w:eastAsia="Times New Roman" w:hAnsi="Arial" w:cs="Times New Roman"/>
      <w:sz w:val="20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70600"/>
    <w:rPr>
      <w:color w:val="D2232A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EB0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FF0F0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D74D9"/>
    <w:rPr>
      <w:color w:val="2B579A"/>
      <w:shd w:val="clear" w:color="auto" w:fill="E1DFDD"/>
    </w:rPr>
  </w:style>
  <w:style w:type="character" w:customStyle="1" w:styleId="smaller">
    <w:name w:val="smaller"/>
    <w:basedOn w:val="DefaultParagraphFont"/>
    <w:rsid w:val="00FD5C20"/>
  </w:style>
  <w:style w:type="character" w:customStyle="1" w:styleId="normaltextrun">
    <w:name w:val="normaltextrun"/>
    <w:basedOn w:val="DefaultParagraphFont"/>
    <w:rsid w:val="00C111BF"/>
  </w:style>
  <w:style w:type="paragraph" w:styleId="NormalWeb">
    <w:name w:val="Normal (Web)"/>
    <w:basedOn w:val="Normal"/>
    <w:uiPriority w:val="99"/>
    <w:unhideWhenUsed/>
    <w:rsid w:val="0043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-0">
    <w:name w:val="mb-0"/>
    <w:basedOn w:val="Normal"/>
    <w:rsid w:val="0043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xoserve.com/change/change-proposals/xrn-4990-transfer-of-sites-with-low-read-submission-performance-from-class-2-and-3-into-class-4-mod0664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xoserve.com/change/change-proposals/xrn-4978-notification-of-rolling-aq-value-following-transfer-of-ownership-between-m-5-and-m/" TargetMode="External"/><Relationship Id="rId17" Type="http://schemas.openxmlformats.org/officeDocument/2006/relationships/hyperlink" Target="mailto:box.xoserve.portfoliooffice@xoserve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xoserve.com/change/change-proposals/xrn-4900-biomethane-sites-with-reduced-propane-injection/" TargetMode="External"/></Relationships>
</file>

<file path=word/theme/theme1.xml><?xml version="1.0" encoding="utf-8"?>
<a:theme xmlns:a="http://schemas.openxmlformats.org/drawingml/2006/main" name="Office Theme">
  <a:themeElements>
    <a:clrScheme name="Xoserve 2018">
      <a:dk1>
        <a:sysClr val="windowText" lastClr="000000"/>
      </a:dk1>
      <a:lt1>
        <a:sysClr val="window" lastClr="FFFFFF"/>
      </a:lt1>
      <a:dk2>
        <a:srgbClr val="1D3E61"/>
      </a:dk2>
      <a:lt2>
        <a:srgbClr val="EEECE1"/>
      </a:lt2>
      <a:accent1>
        <a:srgbClr val="3E5AA8"/>
      </a:accent1>
      <a:accent2>
        <a:srgbClr val="D75733"/>
      </a:accent2>
      <a:accent3>
        <a:srgbClr val="56CF9E"/>
      </a:accent3>
      <a:accent4>
        <a:srgbClr val="6440A3"/>
      </a:accent4>
      <a:accent5>
        <a:srgbClr val="40D1F5"/>
      </a:accent5>
      <a:accent6>
        <a:srgbClr val="FCBC55"/>
      </a:accent6>
      <a:hlink>
        <a:srgbClr val="6440A3"/>
      </a:hlink>
      <a:folHlink>
        <a:srgbClr val="D2232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A46900855F54F8B1B4A69CC14CF6B" ma:contentTypeVersion="7" ma:contentTypeDescription="Create a new document." ma:contentTypeScope="" ma:versionID="cb23e439608fa62b7d4e34d18c2a6014">
  <xsd:schema xmlns:xsd="http://www.w3.org/2001/XMLSchema" xmlns:xs="http://www.w3.org/2001/XMLSchema" xmlns:p="http://schemas.microsoft.com/office/2006/metadata/properties" xmlns:ns2="11f1cc19-a6a2-4477-822b-8358f9edc374" xmlns:ns3="103fba77-31dd-4780-83f9-c54f26c3a260" targetNamespace="http://schemas.microsoft.com/office/2006/metadata/properties" ma:root="true" ma:fieldsID="8f8e5271f7d152bbf69cc47d21b266bc" ns2:_="" ns3:_="">
    <xsd:import namespace="11f1cc19-a6a2-4477-822b-8358f9edc374"/>
    <xsd:import namespace="103fba77-31dd-4780-83f9-c54f26c3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1cc19-a6a2-4477-822b-8358f9edc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fba77-31dd-4780-83f9-c54f26c3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6DFDC-5DFC-466F-9A2F-7A5A5F76348A}"/>
</file>

<file path=customXml/itemProps2.xml><?xml version="1.0" encoding="utf-8"?>
<ds:datastoreItem xmlns:ds="http://schemas.openxmlformats.org/officeDocument/2006/customXml" ds:itemID="{C6C2A127-A57B-449F-87D8-176316FF51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FE92D9-C373-4587-A1BF-C6A521F5E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5FD1E4-E801-45E3-8622-5705A3614C6C}">
  <ds:schemaRefs>
    <ds:schemaRef ds:uri="http://schemas.microsoft.com/office/2006/metadata/properties"/>
    <ds:schemaRef ds:uri="http://schemas.microsoft.com/office/infopath/2007/PartnerControls"/>
    <ds:schemaRef ds:uri="1040278d-60be-4753-907d-d783fa3b9d6f"/>
    <ds:schemaRef ds:uri="0dfb44b9-928e-414d-88dd-e1a1842074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1246</Words>
  <Characters>7108</Characters>
  <Application>Microsoft Office Word</Application>
  <DocSecurity>0</DocSecurity>
  <Lines>59</Lines>
  <Paragraphs>16</Paragraphs>
  <ScaleCrop>false</ScaleCrop>
  <Company>National Grid</Company>
  <LinksUpToDate>false</LinksUpToDate>
  <CharactersWithSpaces>8338</CharactersWithSpaces>
  <SharedDoc>false</SharedDoc>
  <HLinks>
    <vt:vector size="24" baseType="variant">
      <vt:variant>
        <vt:i4>8061011</vt:i4>
      </vt:variant>
      <vt:variant>
        <vt:i4>9</vt:i4>
      </vt:variant>
      <vt:variant>
        <vt:i4>0</vt:i4>
      </vt:variant>
      <vt:variant>
        <vt:i4>5</vt:i4>
      </vt:variant>
      <vt:variant>
        <vt:lpwstr>mailto:box.xoserve.portfoliooffice@xoserve.com</vt:lpwstr>
      </vt:variant>
      <vt:variant>
        <vt:lpwstr/>
      </vt:variant>
      <vt:variant>
        <vt:i4>1769473</vt:i4>
      </vt:variant>
      <vt:variant>
        <vt:i4>6</vt:i4>
      </vt:variant>
      <vt:variant>
        <vt:i4>0</vt:i4>
      </vt:variant>
      <vt:variant>
        <vt:i4>5</vt:i4>
      </vt:variant>
      <vt:variant>
        <vt:lpwstr>https://www.xoserve.com/change/change-proposals/xrn-4900-biomethane-sites-with-reduced-propane-injection/</vt:lpwstr>
      </vt:variant>
      <vt:variant>
        <vt:lpwstr/>
      </vt:variant>
      <vt:variant>
        <vt:i4>5242909</vt:i4>
      </vt:variant>
      <vt:variant>
        <vt:i4>3</vt:i4>
      </vt:variant>
      <vt:variant>
        <vt:i4>0</vt:i4>
      </vt:variant>
      <vt:variant>
        <vt:i4>5</vt:i4>
      </vt:variant>
      <vt:variant>
        <vt:lpwstr>https://www.xoserve.com/change/change-proposals/xrn-4990-transfer-of-sites-with-low-read-submission-performance-from-class-2-and-3-into-class-4-mod0664/</vt:lpwstr>
      </vt:variant>
      <vt:variant>
        <vt:lpwstr/>
      </vt:variant>
      <vt:variant>
        <vt:i4>5832769</vt:i4>
      </vt:variant>
      <vt:variant>
        <vt:i4>0</vt:i4>
      </vt:variant>
      <vt:variant>
        <vt:i4>0</vt:i4>
      </vt:variant>
      <vt:variant>
        <vt:i4>5</vt:i4>
      </vt:variant>
      <vt:variant>
        <vt:lpwstr>https://www.xoserve.com/change/change-proposals/xrn-4978-notification-of-rolling-aq-value-following-transfer-of-ownership-between-m-5-and-m/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National Grid</dc:creator>
  <cp:keywords/>
  <cp:lastModifiedBy>Molly Haley1</cp:lastModifiedBy>
  <cp:revision>2</cp:revision>
  <dcterms:created xsi:type="dcterms:W3CDTF">2022-07-15T11:27:00Z</dcterms:created>
  <dcterms:modified xsi:type="dcterms:W3CDTF">2022-07-15T11:27:00Z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0x010100BE4A46900855F54F8B1B4A69CC14CF6B</vt:lpwstr>
  </property>
  <property fmtid="{D5CDD505-2E9C-101B-9397-08002B2CF9AE}" pid="3" name="_NewReviewCycle">
    <vt:lpwstr/>
  </property>
  <property fmtid="{D5CDD505-2E9C-101B-9397-08002B2CF9AE}" pid="4" name="MediaServiceImageTags">
    <vt:lpwstr/>
  </property>
</Properties>
</file>