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4ea33884bc464a2c" /><Relationship Type="http://schemas.openxmlformats.org/package/2006/relationships/metadata/core-properties" Target="/docProps/core.xml" Id="R950f3aa8f9314fd5" /><Relationship Type="http://schemas.openxmlformats.org/officeDocument/2006/relationships/extended-properties" Target="/docProps/app.xml" Id="Rab5c41178a4948c0" /><Relationship Type="http://schemas.openxmlformats.org/officeDocument/2006/relationships/custom-properties" Target="/docProps/custom.xml" Id="R11d2ebcf6f7b40ce"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 xml:space="preserve">Change Pack </w:t>
      </w:r>
      <w:r>
        <w:t>For</w:t>
      </w:r>
      <w:r>
        <w:t xml:space="preserve"> Information</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t>Comm Reference:</w:t>
            </w:r>
          </w:p>
        </w:tc>
        <w:tc>
          <w:tcPr>
            <w:tcW w:type="pct" w:w="3777"/>
            <w:vAlign w:val="center"/>
          </w:tcPr>
          <w:p>
            <w:pPr>
              <w:rPr>
                <w:rFonts w:cs="Arial"/>
              </w:rPr>
            </w:pPr>
            <w:r>
              <w:rPr>
                <w:rFonts w:cs="Arial"/>
              </w:rPr>
              <w:t>3078.2 - MT - PO</w:t>
            </w:r>
          </w:p>
        </w:tc>
      </w:tr>
      <w:tr>
        <w:trPr>
          <w:trHeight w:hRule="atLeast" w:val="403"/>
        </w:trPr>
        <w:tc>
          <w:tcPr>
            <w:shd w:val="clear" w:fill="B3EDFB"/>
            <w:tcW w:type="pct" w:w="1223"/>
            <w:vAlign w:val="center"/>
          </w:tcPr>
          <w:p>
            <w:pPr>
              <w:rPr>
                <w:rFonts w:cs="Arial"/>
              </w:rPr>
              <w:jc w:val="right"/>
            </w:pPr>
            <w:r>
              <w:t>Comm Title:</w:t>
            </w:r>
          </w:p>
        </w:tc>
        <w:tc>
          <w:tcPr>
            <w:tcW w:type="pct" w:w="3777"/>
            <w:vAlign w:val="center"/>
          </w:tcPr>
          <w:p>
            <w:pPr>
              <w:rPr>
                <w:rFonts w:cs="Arial"/>
              </w:rPr>
            </w:pPr>
            <w:r>
              <w:rPr>
                <w:rFonts w:cs="Arial"/>
              </w:rPr>
              <w:t>Shipper Pack Transition to Data Discovery Platform</w:t>
            </w:r>
          </w:p>
        </w:tc>
      </w:tr>
      <w:tr>
        <w:trPr>
          <w:trHeight w:hRule="atLeast" w:val="403"/>
        </w:trPr>
        <w:tc>
          <w:tcPr>
            <w:shd w:val="clear" w:fill="B3EDFB"/>
            <w:tcW w:type="pct" w:w="1223"/>
            <w:vAlign w:val="center"/>
          </w:tcPr>
          <w:p>
            <w:pPr>
              <w:rPr>
                <w:rFonts w:cs="Arial"/>
              </w:rPr>
              <w:jc w:val="right"/>
            </w:pPr>
            <w:r>
              <w:t>Comm Date:</w:t>
            </w:r>
          </w:p>
        </w:tc>
        <w:tc>
          <w:tcPr>
            <w:tcW w:type="pct" w:w="3777"/>
            <w:vAlign w:val="center"/>
          </w:tcPr>
          <w:p>
            <w:pPr>
              <w:rPr>
                <w:rFonts w:cs="Arial"/>
              </w:rPr>
            </w:pPr>
            <w:r>
              <w:rPr>
                <w:rFonts w:cs="Arial"/>
              </w:rPr>
              <w:t>15/08/2022</w:t>
            </w:r>
          </w:p>
        </w:tc>
      </w:tr>
    </w:tbl>
    <w:p>
      <w:pPr>
        <w:rPr>
          <w:b w:val="1"/>
          <w:bCs w:val="1"/>
          <w:color w:val="3E5AA8"/>
          <w:sz w:val="28"/>
          <w:szCs w:val="28"/>
        </w:rPr>
        <w:spacing w:after="0"/>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30/08/2022</w:t>
            </w:r>
          </w:p>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XRN5200</w:t>
            </w:r>
          </w:p>
        </w:tc>
      </w:tr>
      <w:tr>
        <w:trPr>
          <w:trHeight w:hRule="atLeast" w:val="403"/>
        </w:trPr>
        <w:tc>
          <w:tcPr>
            <w:shd w:val="clear" w:fill="B3EDFB"/>
            <w:tcW w:type="pct" w:w="1223"/>
            <w:vAlign w:val="center"/>
          </w:tcPr>
          <w:p>
            <w:pPr>
              <w:rPr>
                <w:rFonts w:cs="Arial"/>
              </w:rPr>
              <w:jc w:val="right"/>
            </w:pPr>
            <w:r>
              <w:rPr>
                <w:rFonts w:cs="Arial"/>
              </w:rPr>
              <w:t>* ChMC Constituency Impacted:</w:t>
            </w:r>
          </w:p>
        </w:tc>
        <w:tc>
          <w:tcPr>
            <w:tcW w:type="pct" w:w="3777"/>
            <w:vAlign w:val="center"/>
          </w:tcPr>
          <w:p>
            <w:pPr>
              <w:rPr>
                <w:rFonts w:cs="Arial"/>
              </w:rPr>
            </w:pPr>
            <w:r>
              <w:rPr>
                <w:rFonts w:cs="Arial"/>
              </w:rPr>
              <w:t>Shippers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Rachel Taggart</w:t>
            </w:r>
          </w:p>
          <w:p>
            <w:pPr>
              <w:rPr>
                <w:rFonts w:cs="Arial"/>
              </w:rPr>
            </w:pPr>
            <w:hyperlink r:id="Ra00bbcc12b174d8e">
              <w:r>
                <w:rPr>
                  <w:rStyle w:val="Hyperlink"/>
                  <w:rFonts w:cs="Arial"/>
                </w:rPr>
                <w:t>rachel.taggart@xoserve.com</w:t>
              </w:r>
            </w:hyperlink>
          </w:p>
          <w:p>
            <w:pPr>
              <w:rPr>
                <w:rFonts w:cs="Arial"/>
              </w:rPr>
            </w:pP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p>
          <w:p>
            <w:pPr/>
            <w:r>
              <w:t xml:space="preserve">Change Proposal, </w:t>
            </w:r>
            <w:hyperlink r:id="Radfae99bac8042df">
              <w:r>
                <w:rPr>
                  <w:rStyle w:val="Hyperlink"/>
                </w:rPr>
                <w:t>XRN5200</w:t>
              </w:r>
            </w:hyperlink>
            <w:r>
              <w:t xml:space="preserve"> Shipper Pack Transition to Data Discovery Platform, was raised to move the Shi</w:t>
            </w:r>
            <w:r>
              <w:t>pper Pack Topics into Data Discovery Platform (DDP) and decommission the legacy reporting which is issued via email.</w:t>
            </w:r>
          </w:p>
          <w:p>
            <w:pPr/>
            <w:r>
              <w:t xml:space="preserve">As per solution option approved at ChMC on 10th March 2021, </w:t>
            </w:r>
            <w:r>
              <w:t>a number of</w:t>
            </w:r>
            <w:r>
              <w:t xml:space="preserve"> Topics which were already in DDP were decommissioned in September 2</w:t>
            </w:r>
            <w:r>
              <w:t>021, with the remaining Topics added to the DDP backlog for future development.</w:t>
            </w:r>
          </w:p>
          <w:p>
            <w:pPr/>
          </w:p>
          <w:p>
            <w:pPr/>
          </w:p>
          <w:p>
            <w:pPr/>
            <w:r>
              <w:t>Shippers prioritised two further Shipper Pack Topics that were delivered as part of the DDP Drop 1, in May 2022 (see table below) and will now be decommissioned.  We will par</w:t>
            </w:r>
            <w:r>
              <w:t>allel run the reports for three months, ending with the October pack. From November Shippers will only receive the remaining Topics (see table below) in the legacy format until they have been deployed into DDP.</w:t>
            </w:r>
          </w:p>
          <w:p>
            <w:pPr/>
          </w:p>
          <w:p>
            <w:pPr/>
          </w:p>
          <w:tbl>
            <w:tblPr>
              <w:tblLayout w:type="fixed"/>
              <w:tblCellMar>
                <w:left w:type="dxa" w:w="0"/>
                <w:top w:type="dxa" w:w="0"/>
                <w:right w:type="dxa" w:w="0"/>
                <w:bottom w:type="dxa" w:w="0"/>
              </w:tblCellMar>
              <w:tblW w:type="dxa" w:w="8495"/>
              <w:tblLook w:firstColumn="1" w:firstRow="1" w:lastColumn="0" w:lastRow="0" w:noHBand="0" w:noVBand="1"/>
              <w:tblpPr w:leftFromText="180" w:topFromText="0" w:rightFromText="180" w:bottomFromText="0" w:vertAnchor="text" w:horzAnchor="text" w:tblpY="0" w:tblpX="0"/>
            </w:tblPr>
            <w:tblGrid>
              <w:gridCol w:w="3260"/>
              <w:gridCol w:w="5235"/>
            </w:tblGrid>
            <w:tr>
              <w:trPr>
                <w:trHeight w:hRule="atLeast" w:val="540"/>
              </w:trPr>
              <w:tc>
                <w:tcPr>
                  <w:shd w:val="clear" w:fill="4472C4"/>
                  <w:tcMar>
                    <w:left w:type="dxa" w:w="108"/>
                    <w:top w:type="dxa" w:w="0"/>
                    <w:right w:type="dxa" w:w="108"/>
                    <w:bottom w:type="dxa" w:w="0"/>
                  </w:tcMar>
                  <w:tcW w:type="dxa" w:w="3260"/>
                  <w:vAlign w:val="center"/>
                  <w:tcBorders>
                    <w:left w:val="single" w:sz="8" w:space="0" w:color="000000"/>
                    <w:top w:val="single" w:sz="8" w:space="0" w:color="000000"/>
                    <w:right w:val="single" w:sz="12" w:space="0" w:color="auto"/>
                    <w:bottom w:val="single" w:sz="8" w:space="0" w:color="000000"/>
                  </w:tcBorders>
                </w:tcPr>
                <w:p>
                  <w:pPr>
                    <w:rPr>
                      <w:b w:val="1"/>
                      <w:bCs w:val="1"/>
                      <w:color w:val="FFFFFF"/>
                      <w:rFonts w:cs="Arial"/>
                      <w:i w:val="1"/>
                      <w:iCs w:val="1"/>
                      <w:sz w:val="20"/>
                      <w:szCs w:val="20"/>
                    </w:rPr>
                  </w:pPr>
                  <w:r>
                    <w:rPr>
                      <w:b w:val="1"/>
                      <w:bCs w:val="1"/>
                      <w:color w:val="FFFFFF"/>
                      <w:rFonts w:cs="Arial"/>
                      <w:i w:val="1"/>
                      <w:iCs w:val="1"/>
                      <w:sz w:val="20"/>
                      <w:szCs w:val="20"/>
                    </w:rPr>
                    <w:t>New Shipper Pack Topics in DDP</w:t>
                  </w:r>
                </w:p>
              </w:tc>
              <w:tc>
                <w:tcPr>
                  <w:shd w:val="clear" w:fill="4472C4"/>
                  <w:tcMar>
                    <w:left w:type="dxa" w:w="108"/>
                    <w:top w:type="dxa" w:w="0"/>
                    <w:right w:type="dxa" w:w="108"/>
                    <w:bottom w:type="dxa" w:w="0"/>
                  </w:tcMar>
                  <w:tcW w:type="dxa" w:w="5235"/>
                  <w:vAlign w:val="center"/>
                  <w:tcBorders>
                    <w:left w:val="nil"/>
                    <w:top w:val="single" w:sz="8" w:space="0" w:color="000000"/>
                    <w:right w:val="single" w:sz="8" w:space="0" w:color="000000"/>
                    <w:bottom w:val="single" w:sz="8" w:space="0" w:color="000000"/>
                  </w:tcBorders>
                </w:tcPr>
                <w:p>
                  <w:pPr>
                    <w:rPr>
                      <w:b w:val="1"/>
                      <w:bCs w:val="1"/>
                      <w:color w:val="FFFFFF"/>
                      <w:rFonts w:cs="Arial"/>
                      <w:i w:val="1"/>
                      <w:iCs w:val="1"/>
                      <w:sz w:val="20"/>
                      <w:szCs w:val="20"/>
                    </w:rPr>
                  </w:pPr>
                  <w:r>
                    <w:rPr>
                      <w:b w:val="1"/>
                      <w:bCs w:val="1"/>
                      <w:color w:val="FFFFFF"/>
                      <w:rFonts w:cs="Arial"/>
                      <w:i w:val="1"/>
                      <w:iCs w:val="1"/>
                      <w:sz w:val="20"/>
                      <w:szCs w:val="20"/>
                    </w:rPr>
                    <w:t>Shipper Pack Topics not yet in DDP</w:t>
                  </w:r>
                </w:p>
              </w:tc>
            </w:tr>
            <w:tr>
              <w:trPr>
                <w:trHeight w:hRule="atLeast" w:val="347"/>
              </w:trPr>
              <w:tc>
                <w:tcPr>
                  <w:shd w:val="clear" w:fill="DEEAF6"/>
                  <w:tcMar>
                    <w:left w:type="dxa" w:w="108"/>
                    <w:top w:type="dxa" w:w="0"/>
                    <w:right w:type="dxa" w:w="108"/>
                    <w:bottom w:type="dxa" w:w="0"/>
                  </w:tcMar>
                  <w:tcW w:type="dxa" w:w="3260"/>
                  <w:vAlign w:val="center"/>
                  <w:tcBorders>
                    <w:left w:val="single" w:sz="8" w:space="0" w:color="auto"/>
                    <w:top w:val="nil"/>
                    <w:right w:val="single" w:sz="8" w:space="0" w:color="000000"/>
                    <w:bottom w:val="single" w:sz="8" w:space="0" w:color="auto"/>
                  </w:tcBorders>
                </w:tcPr>
                <w:p>
                  <w:pPr>
                    <w:rPr>
                      <w:color w:val="1F3864"/>
                      <w:rFonts w:cs="Arial"/>
                      <w:sz w:val="20"/>
                      <w:szCs w:val="20"/>
                    </w:rPr>
                  </w:pPr>
                  <w:r>
                    <w:rPr>
                      <w:color w:val="1F3864"/>
                      <w:rFonts w:cs="Arial"/>
                      <w:sz w:val="20"/>
                      <w:szCs w:val="20"/>
                    </w:rPr>
                    <w:t>RGMA traffic flow</w:t>
                  </w:r>
                </w:p>
              </w:tc>
              <w:tc>
                <w:tcPr>
                  <w:shd w:val="clear" w:fill="DEEAF6"/>
                  <w:tcMar>
                    <w:left w:type="dxa" w:w="108"/>
                    <w:top w:type="dxa" w:w="0"/>
                    <w:right w:type="dxa" w:w="108"/>
                    <w:bottom w:type="dxa" w:w="0"/>
                  </w:tcMar>
                  <w:tcW w:type="dxa" w:w="5235"/>
                  <w:vAlign w:val="center"/>
                  <w:tcBorders>
                    <w:left w:val="nil"/>
                    <w:top w:val="nil"/>
                    <w:right w:val="single" w:sz="8" w:space="0" w:color="000000"/>
                    <w:bottom w:val="single" w:sz="8" w:space="0" w:color="000000"/>
                  </w:tcBorders>
                </w:tcPr>
                <w:p>
                  <w:pPr>
                    <w:rPr>
                      <w:color w:val="1F3864"/>
                      <w:rFonts w:cs="Arial"/>
                      <w:sz w:val="20"/>
                      <w:szCs w:val="20"/>
                    </w:rPr>
                  </w:pPr>
                  <w:r>
                    <w:rPr>
                      <w:color w:val="1F3864"/>
                      <w:rFonts w:cs="Arial"/>
                      <w:sz w:val="20"/>
                      <w:szCs w:val="20"/>
                    </w:rPr>
                    <w:t>Incorrect Meter Read Factor and Units</w:t>
                  </w:r>
                </w:p>
              </w:tc>
            </w:tr>
            <w:tr>
              <w:trPr>
                <w:trHeight w:hRule="atLeast" w:val="253"/>
              </w:trPr>
              <w:tc>
                <w:tcPr>
                  <w:shd w:val="clear" w:fill="DEEAF6"/>
                  <w:tcMar>
                    <w:left w:type="dxa" w:w="108"/>
                    <w:top w:type="dxa" w:w="0"/>
                    <w:right w:type="dxa" w:w="108"/>
                    <w:bottom w:type="dxa" w:w="0"/>
                  </w:tcMar>
                  <w:tcW w:type="dxa" w:w="3260"/>
                  <w:vAlign w:val="center"/>
                  <w:tcBorders>
                    <w:left w:val="single" w:sz="8" w:space="0" w:color="auto"/>
                    <w:top w:val="nil"/>
                    <w:right w:val="single" w:sz="8" w:space="0" w:color="auto"/>
                    <w:bottom w:val="single" w:sz="8" w:space="0" w:color="auto"/>
                  </w:tcBorders>
                </w:tcPr>
                <w:p>
                  <w:pPr>
                    <w:rPr>
                      <w:color w:val="1F3864"/>
                      <w:rFonts w:cs="Arial"/>
                      <w:sz w:val="20"/>
                      <w:szCs w:val="20"/>
                    </w:rPr>
                  </w:pPr>
                  <w:r>
                    <w:rPr>
                      <w:color w:val="1F3864"/>
                      <w:rFonts w:cs="Arial"/>
                      <w:sz w:val="20"/>
                      <w:szCs w:val="20"/>
                    </w:rPr>
                    <w:t>TOG (Theft of Gas)</w:t>
                  </w:r>
                </w:p>
              </w:tc>
              <w:tc>
                <w:tcPr>
                  <w:shd w:val="clear" w:fill="DEEAF6"/>
                  <w:tcMar>
                    <w:left w:type="dxa" w:w="108"/>
                    <w:top w:type="dxa" w:w="0"/>
                    <w:right w:type="dxa" w:w="108"/>
                    <w:bottom w:type="dxa" w:w="0"/>
                  </w:tcMar>
                  <w:tcW w:type="dxa" w:w="5235"/>
                  <w:vAlign w:val="center"/>
                  <w:tcBorders>
                    <w:left w:val="nil"/>
                    <w:top w:val="nil"/>
                    <w:right w:val="single" w:sz="8" w:space="0" w:color="000000"/>
                    <w:bottom w:val="nil"/>
                  </w:tcBorders>
                </w:tcPr>
                <w:p>
                  <w:pPr>
                    <w:rPr>
                      <w:color w:val="1F3864"/>
                      <w:rFonts w:cs="Arial"/>
                      <w:sz w:val="20"/>
                      <w:szCs w:val="20"/>
                    </w:rPr>
                  </w:pPr>
                  <w:r>
                    <w:rPr>
                      <w:color w:val="1F3864"/>
                      <w:rFonts w:cs="Arial"/>
                      <w:sz w:val="20"/>
                      <w:szCs w:val="20"/>
                    </w:rPr>
                    <w:t>Count of Supply Point GTs – Non-standard sites only</w:t>
                  </w:r>
                </w:p>
              </w:tc>
            </w:tr>
            <w:tr>
              <w:trPr>
                <w:trHeight w:hRule="atLeast" w:val="271"/>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single" w:sz="8" w:space="0" w:color="auto"/>
                    <w:right w:val="single" w:sz="8" w:space="0" w:color="auto"/>
                    <w:bottom w:val="single" w:sz="8" w:space="0" w:color="000000"/>
                  </w:tcBorders>
                </w:tcPr>
                <w:p>
                  <w:pPr>
                    <w:rPr>
                      <w:color w:val="1F3864"/>
                      <w:rFonts w:cs="Arial" w:eastAsia="Arial"/>
                      <w:sz w:val="20"/>
                      <w:szCs w:val="20"/>
                    </w:rPr>
                  </w:pPr>
                  <w:r>
                    <w:rPr>
                      <w:color w:val="1F3864"/>
                      <w:rFonts w:cs="Arial"/>
                      <w:sz w:val="20"/>
                      <w:szCs w:val="20"/>
                    </w:rPr>
                    <w:t>Count of Supply Point IGTs – Non-standard sites only</w:t>
                  </w:r>
                </w:p>
              </w:tc>
            </w:tr>
            <w:tr>
              <w:trPr>
                <w:trHeight w:hRule="atLeast" w:val="300"/>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nil"/>
                    <w:right w:val="single" w:sz="8" w:space="0" w:color="auto"/>
                    <w:bottom w:val="single" w:sz="8" w:space="0" w:color="000000"/>
                  </w:tcBorders>
                </w:tcPr>
                <w:p>
                  <w:pPr>
                    <w:rPr>
                      <w:color w:val="1F3864"/>
                      <w:rFonts w:cs="Arial" w:eastAsia="Arial"/>
                      <w:sz w:val="20"/>
                      <w:szCs w:val="20"/>
                    </w:rPr>
                  </w:pPr>
                  <w:r>
                    <w:rPr>
                      <w:color w:val="1F3864"/>
                      <w:rFonts w:cs="Arial"/>
                      <w:sz w:val="20"/>
                      <w:szCs w:val="20"/>
                    </w:rPr>
                    <w:t>Meter read validity monitoring</w:t>
                  </w:r>
                </w:p>
              </w:tc>
            </w:tr>
            <w:tr>
              <w:trPr>
                <w:trHeight w:hRule="atLeast" w:val="224"/>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nil"/>
                    <w:right w:val="single" w:sz="8" w:space="0" w:color="auto"/>
                    <w:bottom w:val="single" w:sz="8" w:space="0" w:color="000000"/>
                  </w:tcBorders>
                </w:tcPr>
                <w:p>
                  <w:pPr>
                    <w:rPr>
                      <w:color w:val="1F3864"/>
                      <w:rFonts w:cs="Arial" w:eastAsia="Arial"/>
                      <w:sz w:val="20"/>
                      <w:szCs w:val="20"/>
                    </w:rPr>
                  </w:pPr>
                  <w:r>
                    <w:rPr>
                      <w:color w:val="1F3864"/>
                      <w:rFonts w:cs="Arial"/>
                      <w:sz w:val="20"/>
                      <w:szCs w:val="20"/>
                    </w:rPr>
                    <w:t>Must Reads - Percentage and industry total only</w:t>
                  </w:r>
                </w:p>
              </w:tc>
            </w:tr>
            <w:tr>
              <w:trPr>
                <w:trHeight w:hRule="atLeast" w:val="300"/>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nil"/>
                    <w:right w:val="single" w:sz="8" w:space="0" w:color="auto"/>
                    <w:bottom w:val="single" w:sz="8" w:space="0" w:color="000000"/>
                  </w:tcBorders>
                </w:tcPr>
                <w:p>
                  <w:pPr>
                    <w:rPr>
                      <w:color w:val="1F3864"/>
                      <w:rFonts w:cs="Arial" w:eastAsia="Arial"/>
                      <w:sz w:val="20"/>
                      <w:szCs w:val="20"/>
                    </w:rPr>
                  </w:pPr>
                  <w:r>
                    <w:rPr>
                      <w:color w:val="1F3864"/>
                      <w:rFonts w:cs="Arial"/>
                      <w:sz w:val="20"/>
                      <w:szCs w:val="20"/>
                    </w:rPr>
                    <w:t>Confirmed No Asset</w:t>
                  </w:r>
                </w:p>
              </w:tc>
            </w:tr>
            <w:tr>
              <w:trPr>
                <w:trHeight w:hRule="atLeast" w:val="300"/>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nil"/>
                    <w:right w:val="single" w:sz="8" w:space="0" w:color="auto"/>
                    <w:bottom w:val="single" w:sz="8" w:space="0" w:color="auto"/>
                  </w:tcBorders>
                </w:tcPr>
                <w:p>
                  <w:pPr>
                    <w:rPr>
                      <w:color w:val="1F3864"/>
                      <w:rFonts w:cs="Arial" w:eastAsia="Arial"/>
                      <w:sz w:val="20"/>
                      <w:szCs w:val="20"/>
                    </w:rPr>
                  </w:pPr>
                  <w:r>
                    <w:rPr>
                      <w:color w:val="1F3864"/>
                      <w:rFonts w:cs="Arial"/>
                      <w:sz w:val="20"/>
                      <w:szCs w:val="20"/>
                    </w:rPr>
                    <w:t>Dead Report</w:t>
                  </w:r>
                </w:p>
              </w:tc>
            </w:tr>
            <w:tr>
              <w:trPr>
                <w:trHeight w:hRule="atLeast" w:val="300"/>
              </w:trPr>
              <w:tc>
                <w:tcPr>
                  <w:tcMar>
                    <w:left w:type="dxa" w:w="108"/>
                    <w:top w:type="dxa" w:w="0"/>
                    <w:right w:type="dxa" w:w="108"/>
                    <w:bottom w:type="dxa" w:w="0"/>
                  </w:tcMar>
                  <w:tcW w:type="dxa" w:w="3260"/>
                  <w:vAlign w:val="center"/>
                </w:tcPr>
                <w:p>
                  <w:pPr>
                    <w:rPr>
                      <w:color w:val="1F3864"/>
                      <w:rFonts w:cs="Arial"/>
                      <w:sz w:val="20"/>
                      <w:szCs w:val="20"/>
                    </w:rPr>
                  </w:pPr>
                </w:p>
              </w:tc>
              <w:tc>
                <w:tcPr>
                  <w:shd w:val="clear" w:fill="DEEAF6"/>
                  <w:tcMar>
                    <w:left w:type="dxa" w:w="108"/>
                    <w:top w:type="dxa" w:w="0"/>
                    <w:right w:type="dxa" w:w="108"/>
                    <w:bottom w:type="dxa" w:w="0"/>
                  </w:tcMar>
                  <w:tcW w:type="dxa" w:w="5235"/>
                  <w:vAlign w:val="center"/>
                  <w:tcBorders>
                    <w:left w:val="single" w:sz="8" w:space="0" w:color="auto"/>
                    <w:top w:val="nil"/>
                    <w:right w:val="single" w:sz="8" w:space="0" w:color="auto"/>
                    <w:bottom w:val="single" w:sz="8" w:space="0" w:color="auto"/>
                  </w:tcBorders>
                </w:tcPr>
                <w:p>
                  <w:pPr>
                    <w:rPr>
                      <w:color w:val="1F3864"/>
                      <w:rFonts w:cs="Arial" w:eastAsia="Arial"/>
                      <w:sz w:val="20"/>
                      <w:szCs w:val="20"/>
                    </w:rPr>
                  </w:pPr>
                  <w:r>
                    <w:rPr>
                      <w:color w:val="1F3864"/>
                      <w:rFonts w:cs="Arial"/>
                      <w:sz w:val="20"/>
                      <w:szCs w:val="20"/>
                    </w:rPr>
                    <w:t>Replaced Meter Reads</w:t>
                  </w:r>
                </w:p>
              </w:tc>
            </w:tr>
          </w:tbl>
          <w:p>
            <w:pPr/>
          </w:p>
          <w:p>
            <w:pPr/>
          </w:p>
          <w:p>
            <w:pPr/>
            <w:r>
              <w:t>We would like to understand which of the remaining reports are being used.  Please can representations be provided via this Change Pack as to which reports are still being used.  If you do not receive the Change Pack email communication, you can ask your C</w:t>
            </w:r>
            <w:r>
              <w:t xml:space="preserve">hange Management representative to respond on your behalf.  </w:t>
            </w:r>
          </w:p>
          <w:p>
            <w:pPr/>
          </w:p>
          <w:p>
            <w:pPr/>
            <w:r>
              <w:t>Failure to advise us of reports still in use may result in the decommissioning of the legacy Shipper Pack in its entirety prior to all required reports being available in DDP.</w:t>
            </w:r>
          </w:p>
          <w:p>
            <w:pPr/>
          </w:p>
          <w:p>
            <w:pPr/>
          </w:p>
        </w:tc>
      </w:tr>
    </w:tbl>
    <w:p>
      <w:pPr>
        <w:rPr>
          <w:b w:val="1"/>
          <w:bCs w:val="1"/>
          <w:color w:val="3E5AA8"/>
          <w:sz w:val="28"/>
          <w:szCs w:val="28"/>
        </w:rPr>
        <w:spacing w:after="0"/>
      </w:pPr>
    </w:p>
    <w:p>
      <w:pPr/>
      <w:r>
        <w:br w:type="page"/>
      </w:r>
    </w:p>
    <w:p>
      <w:pPr/>
    </w:p>
    <w:p>
      <w:pPr>
        <w:pStyle w:val="Title"/>
      </w:pPr>
      <w:r>
        <w:t>Industry Response Review</w:t>
      </w:r>
    </w:p>
    <w:p>
      <w:pPr/>
      <w:r>
        <w:br w:type="textWrapping"/>
      </w:r>
      <w:r>
        <w:br w:type="textWrapping"/>
      </w:r>
      <w:r>
        <w:rPr>
          <w:rStyle w:val="Heading 1 Char"/>
        </w:rPr>
        <w:t>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Layout w:type="fixed"/>
        <w:tblInd w:type="dxa" w:w="-34"/>
        <w:tblW w:type="pct" w:w="5018"/>
        <w:tblLook w:firstColumn="1" w:firstRow="1" w:lastColumn="0" w:lastRow="0" w:noHBand="0" w:noVBand="1"/>
      </w:tblPr>
      <w:tblGrid>
        <w:gridCol w:w="2566"/>
        <w:gridCol w:w="1925"/>
        <w:gridCol w:w="1123"/>
        <w:gridCol w:w="4880"/>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Oorlagh</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Oorlagh.chapman@centrica.com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w:t>
            </w:r>
          </w:p>
        </w:tc>
      </w:tr>
      <w:tr>
        <w:trPr>
          <w:trHeight w:hRule="atLeast" w:val="403"/>
        </w:trPr>
        <w:tc>
          <w:tcPr>
            <w:shd w:val="clear" w:fill="B3EDFB"/>
            <w:tcW w:type="pct" w:w="1223"/>
            <w:vAlign w:val="center"/>
          </w:tcPr>
          <w:p>
            <w:pPr>
              <w:rPr>
                <w:rFonts w:cs="Arial"/>
              </w:rPr>
              <w:jc w:val="right"/>
            </w:pPr>
            <w:r>
              <w:rPr>
                <w:rFonts w:cs="Arial"/>
              </w:rPr>
              <w:t>Representation Status:</w:t>
            </w:r>
          </w:p>
        </w:tc>
        <w:tc>
          <w:tcPr>
            <w:tcW w:type="pct" w:w="3777"/>
            <w:vAlign w:val="center"/>
            <w:gridSpan w:val="3"/>
          </w:tcPr>
          <w:p>
            <w:pPr>
              <w:rPr>
                <w:rFonts w:cs="Arial"/>
              </w:rPr>
            </w:pPr>
            <w:r>
              <w:rPr>
                <w:rFonts w:cs="Arial"/>
              </w:rPr>
              <w:t xml:space="preserve">Comments </w:t>
            </w:r>
          </w:p>
        </w:tc>
      </w:tr>
      <w:tr>
        <w:trPr>
          <w:trHeight w:hRule="atLeast" w:val="403"/>
        </w:trPr>
        <w:tc>
          <w:tcPr>
            <w:shd w:val="clear" w:fill="B3EDFB"/>
            <w:tcW w:type="pct" w:w="1223"/>
            <w:vAlign w:val="center"/>
          </w:tcPr>
          <w:p>
            <w:pPr>
              <w:rPr>
                <w:rFonts w:cs="Arial"/>
              </w:rPr>
              <w:jc w:val="right"/>
            </w:pPr>
            <w:r>
              <w:rPr>
                <w:rFonts w:cs="Arial"/>
              </w:rPr>
              <w:t>Representation Publication:</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 Comments:</w:t>
            </w:r>
          </w:p>
        </w:tc>
        <w:tc>
          <w:tcPr>
            <w:tcW w:type="pct" w:w="3777"/>
            <w:vAlign w:val="center"/>
            <w:gridSpan w:val="3"/>
          </w:tcPr>
          <w:p>
            <w:pPr>
              <w:rPr>
                <w:rFonts w:cs="Arial"/>
              </w:rPr>
            </w:pPr>
            <w:r>
              <w:rPr>
                <w:rFonts w:cs="Arial"/>
              </w:rPr>
              <w:t xml:space="preserve">Can you please provide each DSC contract manager with a list of recipients of each shipper pack </w:t>
            </w:r>
            <w:r>
              <w:rPr>
                <w:rFonts w:cs="Arial"/>
              </w:rPr>
              <w:t>report.</w:t>
            </w:r>
            <w:r>
              <w:rPr>
                <w:rFonts w:cs="Arial"/>
              </w:rPr>
              <w:t xml:space="preserve"> We can then ensure they have DDP access.</w:t>
            </w:r>
          </w:p>
        </w:tc>
      </w:tr>
      <w:tr>
        <w:trPr>
          <w:trHeight w:hRule="atLeast" w:val="403"/>
        </w:trPr>
        <w:tc>
          <w:tcPr>
            <w:shd w:val="clear" w:fill="B3EDFB"/>
            <w:tcW w:type="pct" w:w="1223"/>
            <w:vAlign w:val="center"/>
          </w:tcPr>
          <w:p>
            <w:pPr>
              <w:rPr>
                <w:rFonts w:cs="Arial"/>
              </w:rPr>
              <w:jc w:val="right"/>
            </w:pPr>
            <w:r>
              <w:rPr>
                <w:rFonts w:cs="Arial"/>
              </w:rPr>
              <w:t>Confirm Target Release Date?</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 Response to Organisations Comments:</w:t>
            </w:r>
          </w:p>
        </w:tc>
        <w:tc>
          <w:tcPr>
            <w:tcW w:type="pct" w:w="3777"/>
            <w:vAlign w:val="center"/>
          </w:tcPr>
          <w:p>
            <w:pPr>
              <w:rPr>
                <w:rFonts w:cs="Arial"/>
              </w:rPr>
            </w:pPr>
            <w:r>
              <w:rPr>
                <w:rFonts w:cs="Arial"/>
              </w:rPr>
              <w:t xml:space="preserve">Thank you for your representation, to provide each DSC Contract manager a list of recipients who receive the </w:t>
            </w:r>
            <w:r>
              <w:rPr>
                <w:rFonts w:cs="Arial"/>
              </w:rPr>
              <w:t xml:space="preserve">Shipper Pack within their organisation to ensure they have DDP access.  </w:t>
            </w:r>
            <w:r>
              <w:rPr>
                <w:rFonts w:cs="Arial"/>
              </w:rPr>
              <w:br w:type="textWrapping"/>
            </w:r>
            <w:r>
              <w:rPr>
                <w:rFonts w:cs="Arial"/>
              </w:rPr>
              <w:t xml:space="preserve">There are 53 Shippers that receive the legacy Shipper </w:t>
            </w:r>
            <w:r>
              <w:rPr>
                <w:rFonts w:cs="Arial"/>
              </w:rPr>
              <w:t>Pack</w:t>
            </w:r>
            <w:r>
              <w:rPr>
                <w:rFonts w:cs="Arial"/>
              </w:rPr>
              <w:t xml:space="preserve"> and we will be emailing them all to give them the information as requested.</w:t>
            </w:r>
          </w:p>
        </w:tc>
      </w:tr>
    </w:tbl>
    <w:p>
      <w:pPr/>
    </w:p>
    <w:p>
      <w:pPr/>
      <w:r>
        <w:t>Please send the completed representation respo</w:t>
      </w:r>
      <w:r>
        <w:t xml:space="preserve">nse to </w:t>
      </w:r>
      <w:hyperlink r:id="Rceae88495d7a4ba2">
        <w:r>
          <w:rPr>
            <w:rStyle w:val="Hyperlink"/>
          </w:rPr>
          <w:t>uklink@xoserve.com</w:t>
        </w:r>
      </w:hyperlink>
      <w:r>
        <w:t xml:space="preserve"> </w:t>
      </w:r>
    </w:p>
    <w:p>
      <w:pPr/>
    </w:p>
    <w:p>
      <w:pPr/>
      <w:r>
        <w:br w:type="textWrapping"/>
      </w:r>
      <w:r>
        <w:br w:type="textWrapping"/>
      </w:r>
      <w:r>
        <w:rPr>
          <w:rStyle w:val="Heading 1 Char"/>
        </w:rPr>
        <w:t>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w:t>
      </w:r>
      <w:r>
        <w:rPr>
          <w:color w:val="auto"/>
          <w:i w:val="1"/>
          <w:iCs w:val="1"/>
          <w:sz w:val="22"/>
          <w:szCs w:val="22"/>
        </w:rPr>
        <w:t>ing your response</w:t>
      </w:r>
    </w:p>
    <w:p>
      <w:pPr/>
    </w:p>
    <w:tbl>
      <w:tblPr>
        <w:tblStyle w:val="Table Grid"/>
        <w:tblLayout w:type="fixed"/>
        <w:tblInd w:type="dxa" w:w="-34"/>
        <w:tblW w:type="pct" w:w="5018"/>
        <w:tblLook w:firstColumn="1" w:firstRow="1" w:lastColumn="0" w:lastRow="0" w:noHBand="0" w:noVBand="1"/>
      </w:tblPr>
      <w:tblGrid>
        <w:gridCol w:w="2566"/>
        <w:gridCol w:w="1925"/>
        <w:gridCol w:w="1123"/>
        <w:gridCol w:w="4880"/>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EON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clare</w:t>
            </w:r>
            <w:r>
              <w:rPr>
                <w:rFonts w:cs="Arial"/>
              </w:rPr>
              <w:t xml:space="preserve"> manning</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clare.maning@eonnext.com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01243564789</w:t>
            </w:r>
          </w:p>
        </w:tc>
      </w:tr>
      <w:tr>
        <w:trPr>
          <w:trHeight w:hRule="atLeast" w:val="403"/>
        </w:trPr>
        <w:tc>
          <w:tcPr>
            <w:shd w:val="clear" w:fill="B3EDFB"/>
            <w:tcW w:type="pct" w:w="1223"/>
            <w:vAlign w:val="center"/>
          </w:tcPr>
          <w:p>
            <w:pPr>
              <w:rPr>
                <w:rFonts w:cs="Arial"/>
              </w:rPr>
              <w:jc w:val="right"/>
            </w:pPr>
            <w:r>
              <w:rPr>
                <w:rFonts w:cs="Arial"/>
              </w:rPr>
              <w:t>Representation Status:</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 Comments:</w:t>
            </w:r>
          </w:p>
        </w:tc>
        <w:tc>
          <w:tcPr>
            <w:tcW w:type="pct" w:w="3777"/>
            <w:vAlign w:val="center"/>
            <w:gridSpan w:val="3"/>
          </w:tcPr>
          <w:p>
            <w:pPr>
              <w:rPr>
                <w:rFonts w:cs="Arial"/>
              </w:rPr>
            </w:pPr>
            <w:r>
              <w:rPr>
                <w:rFonts w:cs="Arial"/>
              </w:rPr>
              <w:t xml:space="preserve">we utilise </w:t>
            </w:r>
            <w:r>
              <w:rPr>
                <w:rFonts w:cs="Arial"/>
              </w:rPr>
              <w:t>all of</w:t>
            </w:r>
            <w:r>
              <w:rPr>
                <w:rFonts w:cs="Arial"/>
              </w:rPr>
              <w:t xml:space="preserve"> the reports so would like to see them all transferred over to DDP.</w:t>
            </w:r>
          </w:p>
        </w:tc>
      </w:tr>
      <w:tr>
        <w:trPr>
          <w:trHeight w:hRule="atLeast" w:val="403"/>
        </w:trPr>
        <w:tc>
          <w:tcPr>
            <w:shd w:val="clear" w:fill="B3EDFB"/>
            <w:tcW w:type="pct" w:w="1223"/>
            <w:vAlign w:val="center"/>
          </w:tcPr>
          <w:p>
            <w:pPr>
              <w:rPr>
                <w:rFonts w:cs="Arial"/>
              </w:rPr>
              <w:jc w:val="right"/>
            </w:pPr>
            <w:r>
              <w:rPr>
                <w:rFonts w:cs="Arial"/>
              </w:rPr>
              <w:t>Confirm Target Release Date?</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Xoserve’ s Response </w:t>
      </w:r>
    </w:p>
    <w:p>
      <w:pPr/>
    </w:p>
    <w:p>
      <w:pPr/>
      <w:r>
        <w:t>Please send the completed represe</w:t>
      </w:r>
      <w:r>
        <w:t xml:space="preserve">ntation response to </w:t>
      </w:r>
      <w:hyperlink r:id="R1fd9ee338193450a">
        <w:r>
          <w:rPr>
            <w:rStyle w:val="Hyperlink"/>
          </w:rPr>
          <w:t>uklink@xoserve.com</w:t>
        </w:r>
      </w:hyperlink>
      <w:r>
        <w:t xml:space="preserve"> </w:t>
      </w:r>
    </w:p>
    <w:p>
      <w:pPr>
        <w:rPr>
          <w:b w:val="1"/>
          <w:bCs w:val="1"/>
          <w:color w:val="1D3E61"/>
          <w:kern w:val="28"/>
          <w:sz w:val="52"/>
          <w:szCs w:val="52"/>
          <w:spacing w:val="5"/>
        </w:rPr>
        <w:pBdr>
          <w:bottom w:val="single" w:sz="8" w:space="4" w:color="3E5AA8"/>
        </w:pBdr>
        <w:spacing w:after="300" w:lineRule="auto" w:line="240"/>
        <w:contextualSpacing w:val="1"/>
      </w:pPr>
    </w:p>
    <w:p>
      <w:pPr>
        <w:rPr>
          <w:b w:val="1"/>
          <w:bCs w:val="1"/>
          <w:color w:val="1D3E61"/>
          <w:kern w:val="28"/>
          <w:sz w:val="52"/>
          <w:szCs w:val="52"/>
          <w:spacing w:val="5"/>
        </w:rPr>
        <w:pBdr>
          <w:bottom w:val="single" w:sz="8" w:space="4" w:color="3E5AA8"/>
        </w:pBdr>
        <w:spacing w:after="300" w:lineRule="auto" w:line="240"/>
        <w:contextualSpacing w:val="1"/>
      </w:pPr>
      <w:r>
        <w:rPr>
          <w:b w:val="1"/>
          <w:bCs w:val="1"/>
          <w:color w:val="1D3E61"/>
          <w:kern w:val="28"/>
          <w:sz w:val="52"/>
          <w:szCs w:val="52"/>
          <w:spacing w:val="5"/>
        </w:rPr>
        <w:t>Change Management Committee Outcome</w:t>
      </w:r>
    </w:p>
    <w:tbl>
      <w:tblPr>
        <w:tblStyle w:val="Table Grid1"/>
        <w:tblLayout w:type="fixed"/>
        <w:tblInd w:type="dxa" w:w="-34"/>
        <w:tblW w:type="pct" w:w="5018"/>
        <w:tblLook w:firstColumn="1" w:firstRow="1" w:lastColumn="0" w:lastRow="0" w:noHBand="0" w:noVBand="1"/>
      </w:tblPr>
      <w:tblGrid>
        <w:gridCol w:w="2573"/>
        <w:gridCol w:w="3551"/>
        <w:gridCol w:w="4370"/>
      </w:tblGrid>
      <w:tr>
        <w:trPr>
          <w:trHeight w:hRule="atLeast" w:val="403"/>
        </w:trPr>
        <w:tc>
          <w:tcPr>
            <w:shd w:val="clear" w:fill="B2ECFB"/>
            <w:tcW w:type="pct" w:w="1226"/>
            <w:vAlign w:val="center"/>
          </w:tcPr>
          <w:p>
            <w:pPr>
              <w:rPr>
                <w:rFonts w:cs="Arial"/>
              </w:rPr>
              <w:jc w:val="right"/>
            </w:pPr>
            <w:r>
              <w:rPr>
                <w:rFonts w:cs="Arial"/>
              </w:rPr>
              <w:t>Change Status:</w:t>
            </w:r>
          </w:p>
        </w:tc>
        <w:tc>
          <w:tcPr>
            <w:tcW w:type="pct" w:w="3774"/>
            <w:vAlign w:val="center"/>
            <w:gridSpan w:val="2"/>
          </w:tcPr>
          <w:p>
            <w:pPr>
              <w:rPr>
                <w:rFonts w:cs="Arial"/>
              </w:rPr>
            </w:pPr>
            <w:sdt>
              <w:sdtPr>
                <w:rPr>
                  <w:rFonts w:cs="Arial"/>
                </w:rPr>
                <w:id w:val="92291494"/>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N/A</w:t>
            </w:r>
          </w:p>
        </w:tc>
      </w:tr>
      <w:tr>
        <w:trPr>
          <w:trHeight w:hRule="atLeast" w:val="403"/>
        </w:trPr>
        <w:tc>
          <w:tcPr>
            <w:shd w:val="clear" w:fill="B2ECFB"/>
            <w:tcW w:type="pct" w:w="1226"/>
            <w:vAlign w:val="center"/>
            <w:vMerge w:val="restart"/>
          </w:tcPr>
          <w:p>
            <w:pPr>
              <w:rPr>
                <w:rFonts w:cs="Arial"/>
              </w:rPr>
              <w:jc w:val="right"/>
            </w:pPr>
            <w:r>
              <w:rPr>
                <w:rFonts w:cs="Arial"/>
              </w:rPr>
              <w:t>Industry Consultation:</w:t>
            </w:r>
          </w:p>
        </w:tc>
        <w:tc>
          <w:tcPr>
            <w:tcW w:type="pct" w:w="1692"/>
            <w:vAlign w:val="center"/>
          </w:tcPr>
          <w:p>
            <w:pPr>
              <w:rPr>
                <w:rFonts w:cs="Arial"/>
              </w:rPr>
            </w:pPr>
            <w:sdt>
              <w:sdtPr>
                <w:rPr>
                  <w:rFonts w:cs="Arial"/>
                </w:rPr>
                <w:id w:val="1199442173"/>
                <w14:checkbox>
                  <w14:checked w14:val="1"/>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10 Working Days</w:t>
            </w:r>
          </w:p>
        </w:tc>
        <w:tc>
          <w:tcPr>
            <w:tcW w:type="pct" w:w="2082"/>
            <w:vAlign w:val="center"/>
          </w:tcPr>
          <w:p>
            <w:pPr>
              <w:rPr>
                <w:rFonts w:cs="Arial"/>
              </w:rPr>
            </w:pPr>
            <w:sdt>
              <w:sdtPr>
                <w:rPr>
                  <w:rFonts w:cs="Arial"/>
                </w:rPr>
                <w:id w:val="733365445"/>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15 Working Days</w:t>
            </w:r>
          </w:p>
        </w:tc>
      </w:tr>
      <w:tr>
        <w:trPr>
          <w:trHeight w:hRule="atLeast" w:val="403"/>
        </w:trPr>
        <w:tc>
          <w:tcPr>
            <w:shd w:val="clear" w:fill="B2ECFB"/>
            <w:tcW w:type="pct" w:w="1226"/>
            <w:vAlign w:val="center"/>
            <w:vMerge w:val="continue"/>
          </w:tcPr>
          <w:p/>
        </w:tc>
        <w:tc>
          <w:tcPr>
            <w:tcW w:type="pct" w:w="1692"/>
            <w:vAlign w:val="center"/>
          </w:tcPr>
          <w:p>
            <w:pPr>
              <w:rPr>
                <w:rFonts w:cs="Arial"/>
              </w:rPr>
            </w:pPr>
            <w:sdt>
              <w:sdtPr>
                <w:rPr>
                  <w:rFonts w:cs="Arial"/>
                </w:rPr>
                <w:id w:val="-1948386441"/>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20 Working Days</w:t>
            </w:r>
          </w:p>
        </w:tc>
        <w:tc>
          <w:tcPr>
            <w:tcW w:type="pct" w:w="2082"/>
            <w:vAlign w:val="center"/>
          </w:tcPr>
          <w:p>
            <w:pPr>
              <w:rPr>
                <w:rFonts w:cs="Arial"/>
              </w:rPr>
            </w:pPr>
            <w:sdt>
              <w:sdtPr>
                <w:rPr>
                  <w:rFonts w:cs="Arial"/>
                </w:rPr>
                <w:id w:val="-206894434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Other [Specify Here]</w:t>
            </w:r>
          </w:p>
        </w:tc>
      </w:tr>
      <w:tr>
        <w:trPr>
          <w:trHeight w:hRule="atLeast" w:val="403"/>
        </w:trPr>
        <w:tc>
          <w:tcPr>
            <w:shd w:val="clear" w:fill="B2ECFB"/>
            <w:tcW w:type="pct" w:w="1226"/>
            <w:vAlign w:val="center"/>
          </w:tcPr>
          <w:p>
            <w:pPr>
              <w:rPr>
                <w:rFonts w:cs="Arial"/>
              </w:rPr>
              <w:jc w:val="right"/>
            </w:pPr>
            <w:r>
              <w:rPr>
                <w:rFonts w:cs="Arial"/>
              </w:rPr>
              <w:t>Date Issued:</w:t>
            </w:r>
          </w:p>
        </w:tc>
        <w:tc>
          <w:tcPr>
            <w:tcW w:type="pct" w:w="3774"/>
            <w:vAlign w:val="center"/>
            <w:gridSpan w:val="2"/>
          </w:tcPr>
          <w:sdt>
            <w:sdtPr>
              <w:rPr>
                <w:rFonts w:cs="Arial"/>
              </w:rPr>
              <w:id w:val="-342008601"/>
              <w:placeholder>
                <w:docPart w:val="64CEB109124C4E0F96640ABD01DA7542"/>
              </w:placeholder>
              <w:date w:fullDate="2022-08-15T00:00:00Z">
                <w:dateFormat w:val="dd/MM/yyyy"/>
                <w:lid w:val="en-GB"/>
                <w:storeMappedDataAs w:val="dateTime"/>
                <w:calendar w:val="gregorian"/>
              </w:date>
            </w:sdtPr>
            <w:sdtContent>
              <w:p>
                <w:pPr/>
                <w:r>
                  <w:rPr>
                    <w:rFonts w:cs="Arial"/>
                  </w:rPr>
                  <w:t>15/08/2022</w:t>
                </w:r>
              </w:p>
            </w:sdtContent>
          </w:sdt>
        </w:tc>
      </w:tr>
      <w:tr>
        <w:trPr>
          <w:trHeight w:hRule="atLeast" w:val="403"/>
        </w:trPr>
        <w:tc>
          <w:tcPr>
            <w:shd w:val="clear" w:fill="B2ECFB"/>
            <w:tcW w:type="pct" w:w="1226"/>
            <w:vAlign w:val="center"/>
          </w:tcPr>
          <w:p>
            <w:pPr>
              <w:rPr>
                <w:rFonts w:cs="Arial"/>
              </w:rPr>
              <w:jc w:val="right"/>
            </w:pPr>
            <w:r>
              <w:rPr>
                <w:rFonts w:cs="Arial"/>
              </w:rPr>
              <w:t>Comms Ref(s):</w:t>
            </w:r>
          </w:p>
        </w:tc>
        <w:tc>
          <w:tcPr>
            <w:tcW w:type="pct" w:w="3774"/>
            <w:vAlign w:val="center"/>
            <w:gridSpan w:val="2"/>
          </w:tcPr>
          <w:p>
            <w:pPr>
              <w:rPr>
                <w:rFonts w:cs="Arial"/>
              </w:rPr>
            </w:pPr>
            <w:r>
              <w:rPr>
                <w:rFonts w:cs="Arial"/>
              </w:rPr>
              <w:t>3078.2 - MT - PO</w:t>
            </w:r>
          </w:p>
        </w:tc>
      </w:tr>
      <w:tr>
        <w:trPr>
          <w:trHeight w:hRule="atLeast" w:val="403"/>
        </w:trPr>
        <w:tc>
          <w:tcPr>
            <w:shd w:val="clear" w:fill="B2ECFB"/>
            <w:tcW w:type="pct" w:w="1226"/>
            <w:vAlign w:val="center"/>
          </w:tcPr>
          <w:p>
            <w:pPr>
              <w:rPr>
                <w:rFonts w:cs="Arial"/>
              </w:rPr>
              <w:jc w:val="right"/>
            </w:pPr>
            <w:r>
              <w:rPr>
                <w:rFonts w:cs="Arial"/>
              </w:rPr>
              <w:t>Number of Responses:</w:t>
            </w:r>
          </w:p>
        </w:tc>
        <w:tc>
          <w:tcPr>
            <w:tcW w:type="pct" w:w="3774"/>
            <w:vAlign w:val="center"/>
            <w:gridSpan w:val="2"/>
          </w:tcPr>
          <w:p>
            <w:pPr>
              <w:rPr>
                <w:rFonts w:cs="Arial"/>
              </w:rPr>
            </w:pPr>
            <w:r>
              <w:rPr>
                <w:rFonts w:cs="Arial"/>
              </w:rPr>
              <w:t>Responses received via email and reps</w:t>
            </w:r>
          </w:p>
        </w:tc>
      </w:tr>
      <w:tr>
        <w:trPr>
          <w:trHeight w:hRule="atLeast" w:val="403"/>
        </w:trPr>
        <w:tc>
          <w:tcPr>
            <w:shd w:val="clear" w:fill="B2ECFB"/>
            <w:tcW w:type="pct" w:w="1226"/>
            <w:vAlign w:val="center"/>
          </w:tcPr>
          <w:p>
            <w:pPr>
              <w:rPr>
                <w:rFonts w:cs="Arial"/>
              </w:rPr>
              <w:jc w:val="right"/>
            </w:pPr>
            <w:r>
              <w:rPr>
                <w:rFonts w:cs="Arial"/>
              </w:rPr>
              <w:t>Meeting Date:</w:t>
            </w:r>
          </w:p>
        </w:tc>
        <w:tc>
          <w:tcPr>
            <w:tcW w:type="pct" w:w="1692"/>
            <w:vAlign w:val="center"/>
          </w:tcPr>
          <w:sdt>
            <w:sdtPr>
              <w:rPr>
                <w:rFonts w:cs="Arial"/>
              </w:rPr>
              <w:id w:val="626280683"/>
              <w:date w:fullDate="2022-09-07T00:00:00Z">
                <w:dateFormat w:val="dd/MM/yyyy"/>
                <w:lid w:val="en-GB"/>
                <w:storeMappedDataAs w:val="dateTime"/>
                <w:calendar w:val="gregorian"/>
              </w:date>
            </w:sdtPr>
            <w:sdtContent>
              <w:p>
                <w:pPr/>
                <w:r>
                  <w:rPr>
                    <w:rFonts w:cs="Arial"/>
                  </w:rPr>
                  <w:t>07/09/2022</w:t>
                </w:r>
              </w:p>
            </w:sdtContent>
          </w:sdt>
        </w:tc>
        <w:tc>
          <w:tcPr>
            <w:tcW w:type="pct" w:w="2082"/>
            <w:vAlign w:val="center"/>
          </w:tcPr>
          <w:p>
            <w:pPr>
              <w:rPr>
                <w:rFonts w:cs="Arial"/>
              </w:rPr>
            </w:pPr>
            <w:r>
              <w:rPr>
                <w:rFonts w:cs="Arial"/>
              </w:rPr>
              <w:t>For Information Only</w:t>
            </w:r>
          </w:p>
        </w:tc>
      </w:tr>
    </w:tbl>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720" w:footer="708" w:gutter="0" w:header="737" w:left="720" w:right="720" w:top="720"/>
      <w:pgNumType w:fmt="decimal"/>
      <w:cols w:equalWidth="1" w:num="1" w:space="708" w:sep="0"/>
      <w:headerReference w:type="default" r:id="Rb925dc2d4f834f1e"/>
      <w:footerReference w:type="default" r:id="Rc1347ec7af9e4f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MS Gothic">
    <w:panose1 w:val="020B0609070205080204"/>
    <w:charset w:val="01"/>
    <w:family w:val="auto"/>
    <w:notTrueType w:val="off"/>
    <w:pitch w:val="fixed"/>
    <w:sig w:usb0="E00002FF" w:usb1="6AC7FDFB" w:usb2="08000012" w:usb3="00000000" w:csb0="4002009F" w:csb1="DFD70000"/>
    <w:altName w:val="ＭＳ ゴシック"/>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 xml:space="preserve">v1.0 </w:t>
    </w:r>
  </w:p>
  <w:p>
    <w:pPr>
      <w:pStyle w:val="footer"/>
    </w:pPr>
  </w:p>
  <w:p>
    <w:pPr>
      <w:rPr>
        <w:rFonts w:ascii="Calibri" w:hAnsi="Calibri" w:cs="Calibri"/>
      </w:rPr>
      <w:pStyle w:val="footer"/>
    </w:pPr>
    <w:r>
      <w:t>*</w:t>
    </w:r>
    <w:r>
      <w:rPr>
        <w:sz w:val="20"/>
        <w:szCs w:val="20"/>
      </w:rPr>
      <w:t>Assumed impacted parties of the proposed change, all parties are encouraged to review</w:t>
    </w:r>
    <w:r>
      <mc:AlternateContent>
        <mc:Choice Requires="wps">
          <w:drawing>
            <wp:anchor allowOverlap="1" layoutInCell="1" relativeHeight="251669508" locked="0" simplePos="0" distL="114300" distT="0" distR="114300" distB="0" behindDoc="0">
              <wp:simplePos x="0" y="0"/>
              <wp:positionH relativeFrom="page">
                <wp:align>right</wp:align>
              </wp:positionH>
              <wp:positionV relativeFrom="paragraph">
                <wp:posOffset>376555</wp:posOffset>
              </wp:positionV>
              <wp:extent cx="7991475" cy="257175"/>
              <wp:effectExtent l="0" t="0" r="9525" b="9525"/>
              <wp:wrapNone/>
              <wp:docPr id="4" name="drawingObject4"/>
              <wp:cNvGraphicFramePr/>
              <a:graphic>
                <a:graphicData uri="http://schemas.microsoft.com/office/word/2010/wordprocessingShape">
                  <wps:wsp>
                    <wps:cNvSpPr/>
                    <wps:spPr>
                      <a:xfrm rot="0">
                        <a:ext cx="7991475"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71556" locked="0" simplePos="0" distL="114300" distT="0" distR="114300" distB="0" behindDoc="0">
              <wp:simplePos x="0" y="0"/>
              <wp:positionH relativeFrom="margin">
                <wp:align>right</wp:align>
              </wp:positionH>
              <wp:positionV relativeFrom="paragraph">
                <wp:posOffset>-76200</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6eb8ace7bc174760"/>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7220" locked="0" simplePos="0" distL="114300" distT="0" distR="114300" distB="0" behindDoc="0">
              <wp:simplePos x="0" y="0"/>
              <wp:positionH relativeFrom="page">
                <wp:posOffset>-326390</wp:posOffset>
              </wp:positionH>
              <wp:positionV relativeFrom="paragraph">
                <wp:posOffset>-470534</wp:posOffset>
              </wp:positionV>
              <wp:extent cx="7991475" cy="276225"/>
              <wp:effectExtent l="0" t="0" r="9525" b="9525"/>
              <wp:wrapNone/>
              <wp:docPr id="3" name="drawingObject3"/>
              <wp:cNvGraphicFramePr/>
              <a:graphic>
                <a:graphicData uri="http://schemas.microsoft.com/office/word/2010/wordprocessingShape">
                  <wps:wsp>
                    <wps:cNvSpPr/>
                    <wps:spPr>
                      <a:xfrm rot="0">
                        <a:ext cx="7991475" cy="27622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paragraph" w:styleId="Normal (Web)">
    <w:name w:val="Normal (Web)"/>
    <w:qFormat/>
    <w:basedOn w:val="Normal"/>
    <w:pPr>
      <w:spacing w:before="100" w:beforeAutospacing="1" w:after="100" w:afterAutospacing="1" w:lineRule="auto" w:line="240"/>
    </w:pPr>
    <w:rPr>
      <w:rFonts w:ascii="Times New Roman" w:hAnsi="Times New Roman"/>
      <w:sz w:val="24"/>
      <w:szCs w:val="24"/>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character" w:styleId="Placeholder Text">
    <w:name w:val="Placeholder Text"/>
    <w:qFormat/>
    <w:basedOn w:val="Default Paragraph Font"/>
    <w:rPr>
      <w:color w:val="808080"/>
    </w:rPr>
  </w:style>
  <w:style w:type="table" w:styleId="Table Grid3">
    <w:name w:val="Table Grid3"/>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Unresolved Mention">
    <w:name w:val="Unresolved Mention"/>
    <w:qFormat/>
    <w:basedOn w:val="Default Paragraph Font"/>
    <w:rPr>
      <w:shd w:val="clear" w:fill="E1DFDD"/>
      <w:color w:val="605E5C"/>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achel.taggart@xoserve.com" TargetMode="External" Id="Ra00bbcc12b174d8e" /><Relationship Type="http://schemas.openxmlformats.org/officeDocument/2006/relationships/hyperlink" Target="https://www.xoserve.com/change/change-proposals/xrn-5200-shipper-pack-transition-to-data-discovery-platform/" TargetMode="External" Id="Radfae99bac8042df" /><Relationship Type="http://schemas.openxmlformats.org/officeDocument/2006/relationships/hyperlink" Target="mailto:uklink@xoserve.com" TargetMode="External" Id="Rceae88495d7a4ba2" /><Relationship Type="http://schemas.openxmlformats.org/officeDocument/2006/relationships/hyperlink" Target="mailto:uklink@xoserve.com" TargetMode="External" Id="R1fd9ee338193450a" /><Relationship Type="http://schemas.openxmlformats.org/officeDocument/2006/relationships/header" Target="header1.xml" Id="Rb925dc2d4f834f1e" /><Relationship Type="http://schemas.openxmlformats.org/officeDocument/2006/relationships/footer" Target="footer1.xml" Id="Rc1347ec7af9e4f96" /><Relationship Type="http://schemas.openxmlformats.org/officeDocument/2006/relationships/customXml" Target="/customXml/item1.xml" Id="R1907388461274e88" /><Relationship Type="http://schemas.openxmlformats.org/officeDocument/2006/relationships/customXml" Target="/customXml/item2.xml" Id="Rf181fe4d576f49c6" /><Relationship Type="http://schemas.openxmlformats.org/officeDocument/2006/relationships/customXml" Target="/customXml/item3.xml" Id="R5a93b995810f41b0" /><Relationship Type="http://schemas.openxmlformats.org/officeDocument/2006/relationships/styles" Target="styles.xml" Id="Rd42436d1c3434a1b" /><Relationship Type="http://schemas.openxmlformats.org/officeDocument/2006/relationships/fontTable" Target="fontTable.xml" Id="R56d0064463584245" /><Relationship Type="http://schemas.openxmlformats.org/officeDocument/2006/relationships/settings" Target="settings.xml" Id="R34d3af4f93a54779" /><Relationship Type="http://schemas.openxmlformats.org/officeDocument/2006/relationships/webSettings" Target="webSettings.xml" Id="R9f3372c84ac3439c" /><Relationship Type="http://schemas.openxmlformats.org/officeDocument/2006/relationships/glossaryDocument" Target="glossary/document.xml" Id="Rfeefd8f1091b464f" /></Relationships>
</file>

<file path=word/_rels/header1.xml.rels>&#65279;<?xml version="1.0" encoding="utf-8"?><Relationships xmlns="http://schemas.openxmlformats.org/package/2006/relationships"><Relationship Type="http://schemas.openxmlformats.org/officeDocument/2006/relationships/image" Target="media/2ixc4cpw.png" Id="R6eb8ace7bc174760" /></Relationships>
</file>

<file path=word/glossary/_rels/document.xml.rels>&#65279;<?xml version="1.0" encoding="utf-8"?><Relationships xmlns="http://schemas.openxmlformats.org/package/2006/relationships"><Relationship Type="http://schemas.openxmlformats.org/officeDocument/2006/relationships/styles" Target="styles.xml" Id="R88ebb0772dfa40e0" /><Relationship Type="http://schemas.openxmlformats.org/officeDocument/2006/relationships/fontTable" Target="fontTable.xml" Id="Rd3b46890ab6a4147" /><Relationship Type="http://schemas.openxmlformats.org/officeDocument/2006/relationships/settings" Target="settings.xml" Id="Re99ceaa741e94b8e" /><Relationship Type="http://schemas.openxmlformats.org/officeDocument/2006/relationships/webSettings" Target="webSettings.xml" Id="Ra718f2d64b3d45c6" /></Relationships>
</file>

<file path=word/glossary/document.xml><?xml version="1.0" encoding="utf-8"?>
<w:glossary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docParts>
    <w:docPart>
      <w:docPartPr>
        <w:name w:val="64CEB109124C4E0F96640ABD01DA7542"/>
        <w:category>
          <w:name w:val="General"/>
          <w:gallery w:val="placeholder"/>
        </w:category>
        <w:types>
          <w:type w:val="bbPlcHdr"/>
        </w:types>
        <w:behaviors>
          <w:behavior w:val="content"/>
        </w:behaviors>
        <w:guid w:val="{5A41E72E-9728-4402-8A7A-0CEA3E3026DA}"/>
      </w:docPartPr>
      <w:docPartBody>
        <w:p>
          <w:pPr>
            <w:pStyle w:val="64CEB109124C4E0F96640ABD01DA7542"/>
          </w:pPr>
          <w:r>
            <w:rPr>
              <w:rStyle w:val="Placeholder 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lang w:val="en-GB"/>
        <w:sz w:val="22"/>
        <w:szCs w:val="22"/>
      </w:rPr>
    </w:rPrDefault>
    <w:pPrDefault>
      <w:pPr>
        <w:spacing w:after="160" w:lineRule="auto" w:line="259"/>
      </w:pPr>
    </w:pPrDefault>
  </w:docDefaults>
  <w:style w:type="paragraph" w:styleId="Normal" w:default="1">
    <w:name w:val="Normal"/>
    <w:qFormat/>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character" w:styleId="Placeholder Text">
    <w:name w:val="Placeholder Text"/>
    <w:qFormat/>
    <w:basedOn w:val="Default Paragraph Font"/>
    <w:rPr>
      <w:color w:val="808080"/>
    </w:rPr>
  </w:style>
  <w:style w:type="paragraph" w:styleId="E7519470039F45749F9C9A7BAE230D3D">
    <w:name w:val="E7519470039F45749F9C9A7BAE230D3D"/>
    <w:qFormat/>
  </w:style>
  <w:style w:type="paragraph" w:styleId="64CEB109124C4E0F96640ABD01DA7542">
    <w:name w:val="64CEB109124C4E0F96640ABD01DA7542"/>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customXml/_rels/item1.xml.rels>&#65279;<?xml version="1.0" encoding="utf-8"?><Relationships xmlns="http://schemas.openxmlformats.org/package/2006/relationships"><Relationship Type="http://schemas.openxmlformats.org/officeDocument/2006/relationships/customXmlProps" Target="itemProps1.xml" Id="Rc54467159e8b45e2" /></Relationships>
</file>

<file path=customXml/_rels/item2.xml.rels>&#65279;<?xml version="1.0" encoding="utf-8"?><Relationships xmlns="http://schemas.openxmlformats.org/package/2006/relationships"><Relationship Type="http://schemas.openxmlformats.org/officeDocument/2006/relationships/customXmlProps" Target="itemProps2.xml" Id="R757be013b1024189" /></Relationships>
</file>

<file path=customXml/_rels/item3.xml.rels>&#65279;<?xml version="1.0" encoding="utf-8"?><Relationships xmlns="http://schemas.openxmlformats.org/package/2006/relationships"><Relationship Type="http://schemas.openxmlformats.org/officeDocument/2006/relationships/customXmlProps" Target="itemProps3.xml" Id="R77a5519ed2994d32" /></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0908A-FADB-43D5-851F-71C44F95A468}">
  <ds:schemaRefs/>
</ds:datastoreItem>
</file>

<file path=customXml/itemProps2.xml><?xml version="1.0" encoding="utf-8"?>
<ds:datastoreItem xmlns:ds="http://schemas.openxmlformats.org/officeDocument/2006/customXml" ds:itemID="{88EC0D87-B16A-4F29-8626-538E679F913A}">
  <ds:schemaRefs/>
</ds:datastoreItem>
</file>

<file path=customXml/itemProps3.xml><?xml version="1.0" encoding="utf-8"?>
<ds:datastoreItem xmlns:ds="http://schemas.openxmlformats.org/officeDocument/2006/customXml" ds:itemID="{82BBBFDE-E08A-4091-8015-8BF03EBB3CBD}">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692</Words>
  <Characters>3947</Characters>
  <CharactersWithSpaces>4630</CharactersWithSpaces>
  <Lines>32</Lin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2022-09-13T07:45:00Z</dcterms:created>
  <dcterms:modified xsi:type="dcterms:W3CDTF">2022-09-13T07:45:00Z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