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package/2006/relationships/metadata/core-properties" Target="/docProps/core.xml" Id="Rb974bb78985f4344" /><Relationship Type="http://schemas.openxmlformats.org/officeDocument/2006/relationships/extended-properties" Target="/docProps/app.xml" Id="Rea9f3810971444e2" /><Relationship Type="http://schemas.openxmlformats.org/officeDocument/2006/relationships/custom-properties" Target="/docProps/custom.xml" Id="R7bd82609341c41e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xml:space="preserve">
  <w:body>
    <w:p>
      <w:pPr>
        <w:rPr>
          <w:rFonts w:ascii="Calibri" w:hAnsi="Calibri" w:cs="Calibri"/>
        </w:rPr>
        <w:pStyle w:val="Title"/>
      </w:pPr>
      <w:r>
        <w:rPr>
          <w:rFonts w:ascii="Calibri" w:hAnsi="Calibri" w:cs="Calibri"/>
        </w:rPr>
        <w:t>Change Pack for Representation</w:t>
      </w:r>
    </w:p>
    <w:p>
      <w:pPr>
        <w:rPr>
          <w:rFonts w:ascii="Calibri" w:hAnsi="Calibri" w:cs="Calibri"/>
        </w:rPr>
        <w:pStyle w:val="heading 1"/>
      </w:pPr>
      <w:r>
        <w:rPr>
          <w:rFonts w:ascii="Calibri" w:hAnsi="Calibri" w:cs="Calibri"/>
        </w:rPr>
        <w:t>Communication Detail</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W w:type="pct" w:w="1223"/>
            <w:vAlign w:val="center"/>
          </w:tcPr>
          <w:p>
            <w:pPr>
              <w:rPr>
                <w:rFonts w:ascii="Calibri" w:hAnsi="Calibri" w:cs="Calibri"/>
              </w:rPr>
              <w:jc w:val="right"/>
            </w:pPr>
            <w:r>
              <w:rPr>
                <w:rFonts w:ascii="Calibri" w:hAnsi="Calibri" w:cs="Calibri"/>
              </w:rPr>
              <w:t>Comm Reference:</w:t>
            </w:r>
          </w:p>
        </w:tc>
        <w:tc>
          <w:tcPr>
            <w:tcW w:type="pct" w:w="3777"/>
            <w:vAlign w:val="center"/>
          </w:tcPr>
          <w:p>
            <w:pPr>
              <w:rPr>
                <w:rFonts w:ascii="Calibri" w:hAnsi="Calibri" w:cs="Calibri"/>
              </w:rPr>
            </w:pPr>
            <w:r>
              <w:rPr>
                <w:rFonts w:ascii="Calibri" w:hAnsi="Calibri" w:cs="Calibri"/>
              </w:rPr>
              <w:t>3373.3 - KL - PO</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Comm Title:</w:t>
            </w:r>
          </w:p>
        </w:tc>
        <w:tc>
          <w:tcPr>
            <w:tcW w:type="pct" w:w="3777"/>
            <w:vAlign w:val="center"/>
          </w:tcPr>
          <w:p>
            <w:pPr>
              <w:rPr>
                <w:rFonts w:ascii="Calibri" w:hAnsi="Calibri" w:cs="Calibri"/>
              </w:rPr>
            </w:pPr>
            <w:r>
              <w:rPr>
                <w:rFonts w:ascii="Calibri" w:hAnsi="Calibri" w:cs="Calibri"/>
              </w:rPr>
              <w:t>Change Pack for Equitability Review – Consultation to seek feedback to changes to the Cost Allocation Methodology</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Comm Date:</w:t>
            </w:r>
          </w:p>
        </w:tc>
        <w:tc>
          <w:tcPr>
            <w:tcW w:type="pct" w:w="3777"/>
            <w:vAlign w:val="center"/>
          </w:tcPr>
          <w:sdt>
            <w:sdtPr>
              <w:rPr>
                <w:rFonts w:ascii="Calibri" w:hAnsi="Calibri" w:cs="Calibri"/>
              </w:rPr>
              <w:id w:val="-1238475608"/>
              <w:date w:fullDate="2025-05-12T00:00:00Z">
                <w:dateFormat w:val="dd/MM/yyyy"/>
                <w:lid w:val="en-GB"/>
                <w:storeMappedDataAs w:val="dateTime"/>
                <w:calendar w:val="gregorian"/>
              </w:date>
            </w:sdtPr>
            <w:sdtContent>
              <w:p>
                <w:pPr/>
                <w:r>
                  <w:rPr>
                    <w:rFonts w:ascii="Calibri" w:hAnsi="Calibri" w:cs="Calibri"/>
                  </w:rPr>
                  <w:t>12/05/2025</w:t>
                </w:r>
              </w:p>
            </w:sdtContent>
          </w:sdt>
        </w:tc>
      </w:tr>
    </w:tbl>
    <w:p>
      <w:pPr>
        <w:rPr>
          <w:b w:val="1"/>
          <w:bCs w:val="1"/>
          <w:color w:val="3E5AA8"/>
          <w:rFonts w:ascii="Calibri" w:hAnsi="Calibri" w:cs="Calibri"/>
          <w:sz w:val="28"/>
          <w:szCs w:val="28"/>
        </w:rPr>
        <w:spacing w:after="0"/>
      </w:pPr>
    </w:p>
    <w:p>
      <w:pPr>
        <w:rPr>
          <w:b w:val="1"/>
          <w:bCs w:val="1"/>
          <w:color w:val="3E5AA8"/>
          <w:rFonts w:ascii="Calibri" w:hAnsi="Calibri" w:cs="Calibri"/>
          <w:sz w:val="28"/>
          <w:szCs w:val="28"/>
        </w:rPr>
        <w:spacing w:after="0"/>
      </w:pPr>
      <w:r>
        <w:rPr>
          <w:b w:val="1"/>
          <w:bCs w:val="1"/>
          <w:color w:val="3E5AA8"/>
          <w:rFonts w:ascii="Calibri" w:hAnsi="Calibri" w:cs="Calibri"/>
          <w:sz w:val="28"/>
          <w:szCs w:val="28"/>
        </w:rPr>
        <w:t>Change Representation</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W w:type="pct" w:w="1223"/>
            <w:vAlign w:val="center"/>
          </w:tcPr>
          <w:p>
            <w:pPr>
              <w:rPr>
                <w:rFonts w:ascii="Calibri" w:hAnsi="Calibri" w:cs="Calibri"/>
              </w:rPr>
              <w:jc w:val="right"/>
            </w:pPr>
            <w:r>
              <w:rPr>
                <w:rFonts w:ascii="Calibri" w:hAnsi="Calibri" w:cs="Calibri"/>
              </w:rPr>
              <w:t>Action Required:</w:t>
            </w:r>
          </w:p>
        </w:tc>
        <w:tc>
          <w:tcPr>
            <w:tcW w:type="pct" w:w="3777"/>
            <w:vAlign w:val="center"/>
          </w:tcPr>
          <w:p>
            <w:pPr>
              <w:rPr>
                <w:rFonts w:ascii="Calibri" w:hAnsi="Calibri" w:cs="Calibri"/>
              </w:rPr>
            </w:pPr>
            <w:r>
              <w:rPr>
                <w:rFonts w:ascii="Calibri" w:hAnsi="Calibri" w:cs="Calibri"/>
              </w:rPr>
              <w:t>For Representation – Notice of Amendment</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Close Out Date:</w:t>
            </w:r>
          </w:p>
        </w:tc>
        <w:tc>
          <w:tcPr>
            <w:tcW w:type="pct" w:w="3777"/>
            <w:vAlign w:val="center"/>
          </w:tcPr>
          <w:p>
            <w:pPr>
              <w:rPr>
                <w:rFonts w:ascii="Calibri" w:hAnsi="Calibri" w:cs="Calibri"/>
              </w:rPr>
            </w:pPr>
            <w:r>
              <w:rPr>
                <w:rFonts w:ascii="Calibri" w:hAnsi="Calibri" w:cs="Calibri"/>
              </w:rPr>
              <w:t>05/08/2025</w:t>
            </w:r>
          </w:p>
        </w:tc>
      </w:tr>
    </w:tbl>
    <w:p>
      <w:pPr>
        <w:rPr>
          <w:rFonts w:ascii="Calibri" w:hAnsi="Calibri" w:cs="Calibri"/>
        </w:rPr>
        <w:pStyle w:val="heading 1"/>
      </w:pPr>
      <w:r>
        <w:rPr>
          <w:rFonts w:ascii="Calibri" w:hAnsi="Calibri" w:cs="Calibri"/>
        </w:rPr>
        <w:t>Change Detail</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403"/>
        </w:trPr>
        <w:tc>
          <w:tcPr>
            <w:shd w:val="clear" w:fill="B3EDFB"/>
            <w:tcW w:type="pct" w:w="1223"/>
            <w:vAlign w:val="center"/>
          </w:tcPr>
          <w:p>
            <w:pPr>
              <w:rPr>
                <w:rFonts w:ascii="Calibri" w:hAnsi="Calibri" w:cs="Calibri"/>
              </w:rPr>
              <w:jc w:val="right"/>
            </w:pPr>
            <w:r>
              <w:rPr>
                <w:rFonts w:ascii="Calibri" w:hAnsi="Calibri" w:cs="Calibri"/>
              </w:rPr>
              <w:t xml:space="preserve">Xoserve Reference Number: </w:t>
            </w:r>
          </w:p>
        </w:tc>
        <w:tc>
          <w:tcPr>
            <w:tcW w:type="pct" w:w="3777"/>
            <w:vAlign w:val="center"/>
          </w:tcPr>
          <w:p>
            <w:pPr>
              <w:rPr>
                <w:rFonts w:ascii="Calibri" w:hAnsi="Calibri" w:cs="Calibri"/>
              </w:rPr>
            </w:pPr>
            <w:r>
              <w:rPr>
                <w:rFonts w:ascii="Calibri" w:hAnsi="Calibri" w:cs="Calibri"/>
              </w:rPr>
              <w:t>N/A</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 ChMC Constituency Impacted:</w:t>
            </w:r>
          </w:p>
        </w:tc>
        <w:tc>
          <w:tcPr>
            <w:tcW w:type="pct" w:w="3777"/>
            <w:vAlign w:val="center"/>
          </w:tcPr>
          <w:p>
            <w:pPr>
              <w:rPr>
                <w:rFonts w:ascii="Calibri" w:hAnsi="Calibri" w:cs="Calibri"/>
              </w:rPr>
            </w:pPr>
            <w:r>
              <w:rPr>
                <w:rFonts w:ascii="Calibri" w:hAnsi="Calibri" w:cs="Calibri"/>
              </w:rPr>
              <w:t xml:space="preserve">All DSC Contract Managers </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 xml:space="preserve">Change Owner: </w:t>
            </w:r>
          </w:p>
        </w:tc>
        <w:tc>
          <w:tcPr>
            <w:tcW w:type="pct" w:w="3777"/>
            <w:vAlign w:val="center"/>
          </w:tcPr>
          <w:p>
            <w:pPr>
              <w:rPr>
                <w:rFonts w:ascii="Calibri" w:hAnsi="Calibri" w:cs="Calibri"/>
              </w:rPr>
            </w:pPr>
            <w:r>
              <w:rPr>
                <w:color w:val="000000"/>
                <w:rFonts w:ascii="Calibri" w:hAnsi="Calibri" w:cs="Calibri"/>
              </w:rPr>
              <w:t>Peter Dwyer</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Background and Context:</w:t>
            </w:r>
          </w:p>
        </w:tc>
        <w:tc>
          <w:tcPr>
            <w:tcW w:type="pct" w:w="3777"/>
            <w:vAlign w:val="center"/>
          </w:tcPr>
          <w:p>
            <w:pPr>
              <w:rPr>
                <w:rFonts w:ascii="Calibri" w:hAnsi="Calibri" w:cs="Calibri"/>
              </w:rPr>
            </w:pPr>
            <w:r>
              <w:rPr>
                <w:rFonts w:ascii="Calibri" w:hAnsi="Calibri" w:cs="Calibri"/>
              </w:rPr>
              <w:t>In July 2024 Xoserve launched a review of the Cost Allocation Methodology and engaged with CoMC to actively seek guidance and consult with them to agree a more transparent and equitable model that better served DSC Customers</w:t>
            </w:r>
          </w:p>
          <w:p>
            <w:pPr>
              <w:rPr>
                <w:b w:val="1"/>
                <w:bCs w:val="1"/>
                <w:rFonts w:ascii="Calibri" w:hAnsi="Calibri" w:cs="Calibri"/>
              </w:rPr>
            </w:pPr>
          </w:p>
          <w:p>
            <w:pPr>
              <w:rPr>
                <w:b w:val="1"/>
                <w:bCs w:val="1"/>
                <w:rFonts w:ascii="Calibri" w:hAnsi="Calibri" w:cs="Calibri"/>
              </w:rPr>
            </w:pPr>
            <w:r>
              <w:rPr>
                <w:b w:val="1"/>
                <w:bCs w:val="1"/>
                <w:rFonts w:ascii="Calibri" w:hAnsi="Calibri" w:cs="Calibri"/>
              </w:rPr>
              <w:t>July 2024 CoMC Update</w:t>
            </w:r>
          </w:p>
          <w:p>
            <w:pPr>
              <w:rPr>
                <w:rFonts w:ascii="Calibri" w:hAnsi="Calibri" w:cs="Calibri"/>
              </w:rPr>
            </w:pPr>
          </w:p>
          <w:p>
            <w:pPr>
              <w:rPr>
                <w:rFonts w:ascii="Calibri" w:hAnsi="Calibri" w:cs="Calibri"/>
              </w:rPr>
            </w:pPr>
            <w:r>
              <w:rPr>
                <w:rFonts w:ascii="Calibri" w:hAnsi="Calibri" w:cs="Calibri"/>
              </w:rPr>
              <w:t>In July 2024 Xoserve advised CoMC that they were launching a review of its Cost Allocation Methodology with the aim of providing renewed transparency and equitability to its customers. The review was outlined in a comprehensive Information Pack entitled ‘Equitability Review – DSC Service Lines that was shared with Customers, and it was explained that there were seven main objectives that the review intended to achieve as per below: -</w:t>
            </w:r>
          </w:p>
          <w:p>
            <w:pPr>
              <w:rPr>
                <w:rFonts w:ascii="Calibri" w:hAnsi="Calibri" w:cs="Calibri"/>
              </w:rPr>
            </w:pPr>
          </w:p>
          <w:p>
            <w:pPr>
              <w:rPr>
                <w:b w:val="1"/>
                <w:bCs w:val="1"/>
                <w:rFonts w:ascii="Calibri" w:hAnsi="Calibri" w:cs="Calibri"/>
                <w:lang w:val="en-US"/>
              </w:rPr>
              <w:numPr>
                <w:ilvl w:val="0"/>
                <w:numId w:val="1"/>
              </w:numPr>
              <w:pStyle w:val="List Paragraph"/>
            </w:pPr>
            <w:r>
              <w:rPr>
                <w:rFonts w:ascii="Calibri" w:hAnsi="Calibri" w:cs="Calibri"/>
                <w:lang w:val="en-US"/>
              </w:rPr>
              <w:t xml:space="preserve">A Comprehensive review ensuring customer charges are </w:t>
            </w:r>
            <w:r>
              <w:rPr>
                <w:b w:val="1"/>
                <w:bCs w:val="1"/>
                <w:rFonts w:ascii="Calibri" w:hAnsi="Calibri" w:cs="Calibri"/>
                <w:lang w:val="en-US"/>
              </w:rPr>
              <w:t>accurate</w:t>
            </w:r>
            <w:r>
              <w:rPr>
                <w:rFonts w:ascii="Calibri" w:hAnsi="Calibri" w:cs="Calibri"/>
                <w:lang w:val="en-US"/>
              </w:rPr>
              <w:t xml:space="preserve"> and </w:t>
            </w:r>
            <w:r>
              <w:rPr>
                <w:b w:val="1"/>
                <w:bCs w:val="1"/>
                <w:rFonts w:ascii="Calibri" w:hAnsi="Calibri" w:cs="Calibri"/>
                <w:lang w:val="en-US"/>
              </w:rPr>
              <w:t>equitable</w:t>
            </w:r>
          </w:p>
          <w:p>
            <w:pPr>
              <w:rPr>
                <w:rFonts w:ascii="Calibri" w:hAnsi="Calibri" w:cs="Calibri"/>
              </w:rPr>
              <w:numPr>
                <w:ilvl w:val="0"/>
                <w:numId w:val="1"/>
              </w:numPr>
              <w:pStyle w:val="List Paragraph"/>
            </w:pPr>
            <w:r>
              <w:rPr>
                <w:rFonts w:ascii="Calibri" w:hAnsi="Calibri" w:cs="Calibri"/>
                <w:lang w:val="en-US"/>
              </w:rPr>
              <w:t xml:space="preserve">Provides documented </w:t>
            </w:r>
            <w:r>
              <w:rPr>
                <w:b w:val="1"/>
                <w:bCs w:val="1"/>
                <w:rFonts w:ascii="Calibri" w:hAnsi="Calibri" w:cs="Calibri"/>
                <w:lang w:val="en-US"/>
              </w:rPr>
              <w:t>transparency</w:t>
            </w:r>
            <w:r>
              <w:rPr>
                <w:rFonts w:ascii="Calibri" w:hAnsi="Calibri" w:cs="Calibri"/>
                <w:lang w:val="en-US"/>
              </w:rPr>
              <w:t xml:space="preserve"> as to the methodology undertaken</w:t>
            </w:r>
          </w:p>
          <w:p>
            <w:pPr>
              <w:rPr>
                <w:rFonts w:ascii="Calibri" w:hAnsi="Calibri" w:cs="Calibri"/>
              </w:rPr>
              <w:numPr>
                <w:ilvl w:val="0"/>
                <w:numId w:val="1"/>
              </w:numPr>
              <w:pStyle w:val="List Paragraph"/>
            </w:pPr>
            <w:r>
              <w:rPr>
                <w:rFonts w:ascii="Calibri" w:hAnsi="Calibri" w:cs="Calibri"/>
                <w:lang w:val="en-US"/>
              </w:rPr>
              <w:t xml:space="preserve">Ensure customers’ charges are </w:t>
            </w:r>
            <w:r>
              <w:rPr>
                <w:b w:val="1"/>
                <w:bCs w:val="1"/>
                <w:rFonts w:ascii="Calibri" w:hAnsi="Calibri" w:cs="Calibri"/>
                <w:lang w:val="en-US"/>
              </w:rPr>
              <w:t xml:space="preserve">cost reflective </w:t>
            </w:r>
            <w:r>
              <w:rPr>
                <w:rFonts w:ascii="Calibri" w:hAnsi="Calibri" w:cs="Calibri"/>
                <w:lang w:val="en-US"/>
              </w:rPr>
              <w:t>of the services they receive</w:t>
            </w:r>
          </w:p>
          <w:p>
            <w:pPr>
              <w:rPr>
                <w:rFonts w:ascii="Calibri" w:hAnsi="Calibri" w:cs="Calibri"/>
              </w:rPr>
              <w:numPr>
                <w:ilvl w:val="0"/>
                <w:numId w:val="1"/>
              </w:numPr>
              <w:pStyle w:val="List Paragraph"/>
            </w:pPr>
            <w:r>
              <w:rPr>
                <w:rFonts w:ascii="Calibri" w:hAnsi="Calibri" w:cs="Calibri"/>
                <w:lang w:val="en-US"/>
              </w:rPr>
              <w:t xml:space="preserve">An </w:t>
            </w:r>
            <w:r>
              <w:rPr>
                <w:b w:val="1"/>
                <w:bCs w:val="1"/>
                <w:rFonts w:ascii="Calibri" w:hAnsi="Calibri" w:cs="Calibri"/>
                <w:lang w:val="en-US"/>
              </w:rPr>
              <w:t xml:space="preserve">Auditable </w:t>
            </w:r>
            <w:r>
              <w:rPr>
                <w:rFonts w:ascii="Calibri" w:hAnsi="Calibri" w:cs="Calibri"/>
                <w:lang w:val="en-US"/>
              </w:rPr>
              <w:t xml:space="preserve">process and system that allows third party </w:t>
            </w:r>
            <w:r>
              <w:rPr>
                <w:b w:val="1"/>
                <w:bCs w:val="1"/>
                <w:rFonts w:ascii="Calibri" w:hAnsi="Calibri" w:cs="Calibri"/>
                <w:lang w:val="en-US"/>
              </w:rPr>
              <w:t>Assurance</w:t>
            </w:r>
          </w:p>
          <w:p>
            <w:pPr>
              <w:rPr>
                <w:rFonts w:ascii="Calibri" w:hAnsi="Calibri" w:cs="Calibri"/>
              </w:rPr>
              <w:numPr>
                <w:ilvl w:val="0"/>
                <w:numId w:val="1"/>
              </w:numPr>
              <w:pStyle w:val="List Paragraph"/>
            </w:pPr>
            <w:r>
              <w:rPr>
                <w:rFonts w:ascii="Calibri" w:hAnsi="Calibri" w:cs="Calibri"/>
                <w:lang w:val="en-US"/>
              </w:rPr>
              <w:t xml:space="preserve">Provides customers with </w:t>
            </w:r>
            <w:r>
              <w:rPr>
                <w:b w:val="1"/>
                <w:bCs w:val="1"/>
                <w:rFonts w:ascii="Calibri" w:hAnsi="Calibri" w:cs="Calibri"/>
                <w:lang w:val="en-US"/>
              </w:rPr>
              <w:t>predictable</w:t>
            </w:r>
            <w:r>
              <w:rPr>
                <w:rFonts w:ascii="Calibri" w:hAnsi="Calibri" w:cs="Calibri"/>
                <w:lang w:val="en-US"/>
              </w:rPr>
              <w:t xml:space="preserve"> annual charges</w:t>
            </w:r>
          </w:p>
          <w:p>
            <w:pPr>
              <w:rPr>
                <w:rFonts w:ascii="Calibri" w:hAnsi="Calibri" w:cs="Calibri"/>
              </w:rPr>
              <w:numPr>
                <w:ilvl w:val="0"/>
                <w:numId w:val="1"/>
              </w:numPr>
              <w:pStyle w:val="List Paragraph"/>
            </w:pPr>
            <w:r>
              <w:rPr>
                <w:rFonts w:ascii="Calibri" w:hAnsi="Calibri" w:cs="Calibri"/>
                <w:lang w:val="en-US"/>
              </w:rPr>
              <w:t xml:space="preserve">Provides stability for customers through a clearly set </w:t>
            </w:r>
            <w:r>
              <w:rPr>
                <w:b w:val="1"/>
                <w:bCs w:val="1"/>
                <w:rFonts w:ascii="Calibri" w:hAnsi="Calibri" w:cs="Calibri"/>
                <w:lang w:val="en-US"/>
              </w:rPr>
              <w:t>timeframe</w:t>
            </w:r>
          </w:p>
          <w:p>
            <w:pPr>
              <w:rPr>
                <w:rFonts w:ascii="Calibri" w:hAnsi="Calibri" w:cs="Calibri"/>
              </w:rPr>
              <w:numPr>
                <w:ilvl w:val="0"/>
                <w:numId w:val="1"/>
              </w:numPr>
              <w:pStyle w:val="List Paragraph"/>
            </w:pPr>
            <w:r>
              <w:rPr>
                <w:rFonts w:ascii="Calibri" w:hAnsi="Calibri" w:cs="Calibri"/>
                <w:lang w:val="en-US"/>
              </w:rPr>
              <w:t xml:space="preserve">A process that is </w:t>
            </w:r>
            <w:r>
              <w:rPr>
                <w:b w:val="1"/>
                <w:bCs w:val="1"/>
                <w:rFonts w:ascii="Calibri" w:hAnsi="Calibri" w:cs="Calibri"/>
                <w:lang w:val="en-US"/>
              </w:rPr>
              <w:t>manageable</w:t>
            </w:r>
            <w:r>
              <w:rPr>
                <w:rFonts w:ascii="Calibri" w:hAnsi="Calibri" w:cs="Calibri"/>
                <w:lang w:val="en-US"/>
              </w:rPr>
              <w:t xml:space="preserve"> in the future as Xoserve evolves</w:t>
            </w:r>
          </w:p>
          <w:p>
            <w:pPr>
              <w:rPr>
                <w:rFonts w:ascii="Calibri" w:hAnsi="Calibri" w:cs="Calibri"/>
              </w:rPr>
            </w:pPr>
          </w:p>
          <w:p>
            <w:pPr>
              <w:rPr>
                <w:rFonts w:ascii="Calibri" w:hAnsi="Calibri" w:cs="Calibri"/>
                <w:lang w:val="en-US"/>
              </w:rPr>
            </w:pPr>
            <w:r>
              <w:rPr>
                <w:rFonts w:ascii="Calibri" w:hAnsi="Calibri" w:cs="Calibri"/>
              </w:rPr>
              <w:t xml:space="preserve">It was explained that the overall aim of the project was to ensure that </w:t>
            </w:r>
            <w:r>
              <w:rPr>
                <w:rFonts w:ascii="Calibri" w:hAnsi="Calibri" w:cs="Calibri"/>
                <w:lang w:val="en-US"/>
              </w:rPr>
              <w:t>costs are equitably allocated to our customers in a fair and transparent way and therefore it was vital for customers to be engaged at all stages and agree the position before moving to the next stage of the review</w:t>
            </w:r>
          </w:p>
          <w:p>
            <w:pPr>
              <w:rPr>
                <w:b w:val="1"/>
                <w:bCs w:val="1"/>
                <w:rFonts w:ascii="Calibri" w:hAnsi="Calibri" w:cs="Calibri"/>
              </w:rPr>
            </w:pPr>
          </w:p>
          <w:p>
            <w:pPr>
              <w:rPr>
                <w:rFonts w:ascii="Calibri" w:hAnsi="Calibri" w:cs="Calibri"/>
                <w:u w:val="single"/>
              </w:rPr>
            </w:pPr>
            <w:r>
              <w:rPr>
                <w:rFonts w:ascii="Calibri" w:hAnsi="Calibri" w:cs="Calibri"/>
                <w:u w:val="single"/>
              </w:rPr>
              <w:t>Review Stages</w:t>
            </w:r>
          </w:p>
          <w:p>
            <w:pPr>
              <w:rPr>
                <w:rFonts w:ascii="Calibri" w:hAnsi="Calibri" w:cs="Calibri"/>
              </w:rPr>
            </w:pPr>
          </w:p>
          <w:p>
            <w:pPr>
              <w:rPr>
                <w:rFonts w:ascii="Calibri" w:hAnsi="Calibri" w:cs="Calibri"/>
              </w:rPr>
            </w:pPr>
            <w:r>
              <w:rPr>
                <w:rFonts w:ascii="Calibri" w:hAnsi="Calibri" w:cs="Calibri"/>
              </w:rPr>
              <w:t>Stage 1 - Obtain industry (COMC) agreement on Service Area structure</w:t>
            </w:r>
          </w:p>
          <w:p>
            <w:pPr>
              <w:rPr>
                <w:rFonts w:ascii="Calibri" w:hAnsi="Calibri" w:cs="Calibri"/>
              </w:rPr>
            </w:pPr>
            <w:r>
              <w:rPr>
                <w:rFonts w:ascii="Calibri" w:hAnsi="Calibri" w:cs="Calibri"/>
              </w:rPr>
              <w:t>Stage 2 -Obtain industry (COMC) agreement on methodology and allocations</w:t>
            </w:r>
          </w:p>
          <w:p>
            <w:pPr>
              <w:rPr>
                <w:rFonts w:ascii="Calibri" w:hAnsi="Calibri" w:cs="Calibri"/>
              </w:rPr>
            </w:pPr>
            <w:r>
              <w:rPr>
                <w:rFonts w:ascii="Calibri" w:hAnsi="Calibri" w:cs="Calibri"/>
              </w:rPr>
              <w:t>Stage 3 -Communicate output costings to industry (COMC) based on BP25</w:t>
            </w:r>
          </w:p>
          <w:p>
            <w:pPr>
              <w:rPr>
                <w:rFonts w:ascii="Calibri" w:hAnsi="Calibri" w:cs="Calibri"/>
              </w:rPr>
            </w:pPr>
            <w:r>
              <w:rPr>
                <w:rFonts w:ascii="Calibri" w:hAnsi="Calibri" w:cs="Calibri"/>
              </w:rPr>
              <w:t>Stage 4 -Present new CAM and impact assessment to industry (COMC) based on BP25</w:t>
            </w:r>
          </w:p>
          <w:p>
            <w:pPr>
              <w:rPr>
                <w:rFonts w:ascii="Calibri" w:hAnsi="Calibri" w:cs="Calibri"/>
              </w:rPr>
            </w:pPr>
            <w:r>
              <w:rPr>
                <w:rFonts w:ascii="Calibri" w:hAnsi="Calibri" w:cs="Calibri"/>
              </w:rPr>
              <w:t>Stage 5-Include new CAM in BP26 draft 1</w:t>
            </w:r>
          </w:p>
          <w:p>
            <w:pPr>
              <w:rPr>
                <w:rFonts w:ascii="Calibri" w:hAnsi="Calibri" w:cs="Calibri"/>
              </w:rPr>
            </w:pPr>
            <w:r>
              <w:rPr>
                <w:rFonts w:ascii="Calibri" w:hAnsi="Calibri" w:cs="Calibri"/>
              </w:rPr>
              <w:t>Stage 6 -Apply to BP26 Charging Statements</w:t>
            </w:r>
          </w:p>
          <w:p>
            <w:pPr>
              <w:rPr>
                <w:rFonts w:ascii="Calibri" w:hAnsi="Calibri" w:cs="Calibri"/>
              </w:rPr>
            </w:pPr>
          </w:p>
          <w:p>
            <w:pPr>
              <w:rPr>
                <w:b w:val="1"/>
                <w:bCs w:val="1"/>
                <w:rFonts w:ascii="Calibri" w:hAnsi="Calibri" w:cs="Calibri"/>
              </w:rPr>
            </w:pPr>
            <w:r>
              <w:rPr>
                <w:b w:val="1"/>
                <w:bCs w:val="1"/>
                <w:rFonts w:ascii="Calibri" w:hAnsi="Calibri" w:cs="Calibri"/>
              </w:rPr>
              <w:t>November 2024 CoMC Update</w:t>
            </w:r>
          </w:p>
          <w:p>
            <w:pPr>
              <w:rPr>
                <w:rFonts w:ascii="Calibri" w:hAnsi="Calibri" w:cs="Calibri"/>
              </w:rPr>
            </w:pPr>
          </w:p>
          <w:p>
            <w:pPr>
              <w:rPr>
                <w:rFonts w:ascii="Calibri" w:hAnsi="Calibri" w:cs="Calibri"/>
              </w:rPr>
            </w:pPr>
            <w:r>
              <w:rPr>
                <w:rFonts w:ascii="Calibri" w:hAnsi="Calibri" w:cs="Calibri"/>
              </w:rPr>
              <w:t>At the CoMC in November 2024 Xoserve provided a further progress update in a presentation entitled ‘Equitability Review Stage 1 – Outcomes and Proposals ‘ and presented 5 options that were discussed at CoMC:-</w:t>
            </w:r>
          </w:p>
          <w:p>
            <w:pPr>
              <w:rPr>
                <w:rFonts w:ascii="Calibri" w:hAnsi="Calibri" w:cs="Calibri"/>
              </w:rPr>
            </w:pPr>
          </w:p>
          <w:p>
            <w:pPr>
              <w:rPr>
                <w:rFonts w:ascii="Calibri" w:hAnsi="Calibri" w:cs="Calibri"/>
              </w:rPr>
            </w:pPr>
            <w:r>
              <w:rPr>
                <w:rFonts w:ascii="Calibri" w:hAnsi="Calibri" w:cs="Calibri"/>
              </w:rPr>
              <w:t>Option 1 - Do nothing</w:t>
            </w:r>
          </w:p>
          <w:p>
            <w:pPr>
              <w:rPr>
                <w:rFonts w:ascii="Calibri" w:hAnsi="Calibri" w:cs="Calibri"/>
              </w:rPr>
            </w:pPr>
            <w:r>
              <w:rPr>
                <w:rFonts w:ascii="Calibri" w:hAnsi="Calibri" w:cs="Calibri"/>
              </w:rPr>
              <w:t>Option 2 - Create two new Service Areas</w:t>
            </w:r>
          </w:p>
          <w:p>
            <w:pPr>
              <w:rPr>
                <w:rFonts w:ascii="Calibri" w:hAnsi="Calibri" w:cs="Calibri"/>
              </w:rPr>
            </w:pPr>
            <w:r>
              <w:rPr>
                <w:rFonts w:ascii="Calibri" w:hAnsi="Calibri" w:cs="Calibri"/>
              </w:rPr>
              <w:t>Option 3 -Simplify down to four Service Areas</w:t>
            </w:r>
          </w:p>
          <w:p>
            <w:pPr>
              <w:rPr>
                <w:rFonts w:ascii="Calibri" w:hAnsi="Calibri" w:cs="Calibri"/>
              </w:rPr>
            </w:pPr>
            <w:r>
              <w:rPr>
                <w:rFonts w:ascii="Calibri" w:hAnsi="Calibri" w:cs="Calibri"/>
              </w:rPr>
              <w:t>Option 4-Incorporate Kearny VfM breakdown into a Hybrid Structure</w:t>
            </w:r>
          </w:p>
          <w:p>
            <w:pPr>
              <w:rPr>
                <w:rFonts w:ascii="Calibri" w:hAnsi="Calibri" w:cs="Calibri"/>
              </w:rPr>
            </w:pPr>
            <w:r>
              <w:rPr>
                <w:rFonts w:ascii="Calibri" w:hAnsi="Calibri" w:cs="Calibri"/>
              </w:rPr>
              <w:t>Option 5- Create new Structure using Kearny Vfm breakdown</w:t>
            </w:r>
          </w:p>
          <w:p>
            <w:pPr>
              <w:rPr>
                <w:rFonts w:ascii="Calibri" w:hAnsi="Calibri" w:cs="Calibri"/>
              </w:rPr>
            </w:pPr>
          </w:p>
          <w:p>
            <w:pPr>
              <w:rPr>
                <w:rFonts w:ascii="Calibri" w:hAnsi="Calibri" w:cs="Calibri"/>
              </w:rPr>
            </w:pPr>
            <w:r>
              <w:rPr>
                <w:rFonts w:ascii="Calibri" w:hAnsi="Calibri" w:cs="Calibri"/>
              </w:rPr>
              <w:t>After a discussion it emerged that there was support from CoMC for options 2, 4 and 5 and Xoserve shared their view that in terms of principles option 5 was their preferred option as it provided the most transparency. It was agreed that Xoserve would carry out some further work to refine the options and clarify the methodology and allocations for each of the three agreed options and bring them back to CoMC for review and discussion</w:t>
            </w:r>
          </w:p>
          <w:p>
            <w:pPr>
              <w:rPr>
                <w:b w:val="1"/>
                <w:bCs w:val="1"/>
                <w:rFonts w:ascii="Calibri" w:hAnsi="Calibri" w:cs="Calibri"/>
              </w:rPr>
            </w:pPr>
          </w:p>
          <w:p>
            <w:pPr>
              <w:rPr>
                <w:b w:val="1"/>
                <w:bCs w:val="1"/>
                <w:rFonts w:ascii="Calibri" w:hAnsi="Calibri" w:cs="Calibri"/>
              </w:rPr>
            </w:pPr>
            <w:r>
              <w:rPr>
                <w:b w:val="1"/>
                <w:bCs w:val="1"/>
                <w:rFonts w:ascii="Calibri" w:hAnsi="Calibri" w:cs="Calibri"/>
              </w:rPr>
              <w:t>April 2025 CoMC Update</w:t>
            </w:r>
          </w:p>
          <w:p>
            <w:pPr>
              <w:rPr>
                <w:b w:val="1"/>
                <w:bCs w:val="1"/>
                <w:rFonts w:ascii="Calibri" w:hAnsi="Calibri" w:cs="Calibri"/>
              </w:rPr>
            </w:pPr>
          </w:p>
          <w:p>
            <w:pPr>
              <w:rPr>
                <w:rFonts w:ascii="Calibri" w:hAnsi="Calibri" w:cs="Calibri"/>
              </w:rPr>
            </w:pPr>
            <w:r>
              <w:rPr>
                <w:rFonts w:ascii="Calibri" w:hAnsi="Calibri" w:cs="Calibri"/>
              </w:rPr>
              <w:t>A comprehensive slide pack was presented that began by confirming the current Service Area Structure and Customer Allocations followed by a slide for each of the three options under consideration that detailed the proposed structure and allocations for each of the constituent areas</w:t>
            </w:r>
          </w:p>
          <w:p>
            <w:pPr>
              <w:rPr>
                <w:rFonts w:ascii="Calibri" w:hAnsi="Calibri" w:cs="Calibri"/>
              </w:rPr>
            </w:pPr>
          </w:p>
          <w:p>
            <w:pPr>
              <w:rPr>
                <w:rFonts w:ascii="Calibri" w:hAnsi="Calibri" w:cs="Calibri"/>
              </w:rPr>
            </w:pPr>
          </w:p>
          <w:p>
            <w:pPr>
              <w:rPr>
                <w:rFonts w:ascii="Calibri" w:hAnsi="Calibri" w:cs="Calibri"/>
              </w:rPr>
            </w:pPr>
            <w:r>
              <w:rPr>
                <w:rFonts w:ascii="Calibri" w:hAnsi="Calibri" w:cs="Calibri"/>
              </w:rPr>
              <w:t>Suggestion 1 – Two New Service Areas</w:t>
            </w:r>
          </w:p>
          <w:p>
            <w:pPr>
              <w:rPr>
                <w:rFonts w:ascii="Calibri" w:hAnsi="Calibri" w:cs="Calibri"/>
              </w:rPr>
            </w:pPr>
            <w:r>
              <w:rPr>
                <w:rFonts w:ascii="Calibri" w:hAnsi="Calibri" w:cs="Calibri"/>
              </w:rPr>
              <w:t>Suggestion 2 -Incorporate Kearny VfM breakdown in a Hybrid Structure</w:t>
            </w:r>
          </w:p>
          <w:p>
            <w:pPr>
              <w:rPr>
                <w:color w:val="000000"/>
                <w:rFonts w:ascii="Calibri" w:hAnsi="Calibri" w:cs="Calibri"/>
              </w:rPr>
            </w:pPr>
            <w:r>
              <w:rPr>
                <w:rFonts w:ascii="Calibri" w:hAnsi="Calibri" w:cs="Calibri"/>
              </w:rPr>
              <w:t>Suggestion 3-New Structure using Kearny VfM breakdown (</w:t>
            </w:r>
            <w:r>
              <w:rPr>
                <w:color w:val="000000"/>
                <w:rFonts w:ascii="Calibri" w:hAnsi="Calibri" w:cs="Calibri"/>
              </w:rPr>
              <w:t>Xoserve recommended option)</w:t>
            </w:r>
          </w:p>
          <w:p>
            <w:pPr>
              <w:rPr>
                <w:rFonts w:ascii="Calibri" w:hAnsi="Calibri" w:cs="Calibri"/>
              </w:rPr>
            </w:pPr>
          </w:p>
          <w:p>
            <w:pPr>
              <w:rPr>
                <w:rFonts w:ascii="Calibri" w:hAnsi="Calibri" w:cs="Calibri"/>
              </w:rPr>
            </w:pPr>
            <w:r>
              <w:rPr>
                <w:rFonts w:ascii="Calibri" w:hAnsi="Calibri" w:cs="Calibri"/>
              </w:rPr>
              <w:t>It was agreed the next steps would be to issue this formal Change Pack to seek views and consult with the wider DSC Customer Managers group.</w:t>
            </w:r>
          </w:p>
          <w:p>
            <w:pPr>
              <w:rPr>
                <w:rFonts w:ascii="Calibri" w:hAnsi="Calibri" w:cs="Calibri"/>
              </w:rPr>
            </w:pPr>
          </w:p>
          <w:p>
            <w:pPr>
              <w:rPr>
                <w:b w:val="1"/>
                <w:bCs w:val="1"/>
                <w:rFonts w:ascii="Calibri" w:hAnsi="Calibri" w:cs="Calibri"/>
              </w:rPr>
            </w:pPr>
          </w:p>
          <w:p>
            <w:pPr>
              <w:rPr>
                <w:b w:val="1"/>
                <w:bCs w:val="1"/>
                <w:rFonts w:ascii="Calibri" w:hAnsi="Calibri" w:cs="Calibri"/>
              </w:rPr>
            </w:pPr>
          </w:p>
          <w:p>
            <w:pPr>
              <w:rPr>
                <w:b w:val="1"/>
                <w:bCs w:val="1"/>
                <w:rFonts w:ascii="Calibri" w:hAnsi="Calibri" w:cs="Calibri"/>
              </w:rPr>
            </w:pPr>
          </w:p>
          <w:p>
            <w:pPr>
              <w:rPr>
                <w:b w:val="1"/>
                <w:bCs w:val="1"/>
                <w:rFonts w:ascii="Calibri" w:hAnsi="Calibri" w:cs="Calibri"/>
              </w:rPr>
            </w:pPr>
          </w:p>
          <w:p>
            <w:pPr>
              <w:rPr>
                <w:b w:val="1"/>
                <w:bCs w:val="1"/>
                <w:rFonts w:ascii="Calibri" w:hAnsi="Calibri" w:cs="Calibri"/>
              </w:rPr>
            </w:pPr>
            <w:r>
              <w:rPr>
                <w:b w:val="1"/>
                <w:bCs w:val="1"/>
                <w:rFonts w:ascii="Calibri" w:hAnsi="Calibri" w:cs="Calibri"/>
              </w:rPr>
              <w:t>Summary and objective of the consultation</w:t>
            </w:r>
          </w:p>
          <w:p>
            <w:pPr>
              <w:rPr>
                <w:rFonts w:ascii="Calibri" w:hAnsi="Calibri" w:cs="Calibri"/>
              </w:rPr>
            </w:pPr>
            <w:r>
              <w:rPr>
                <w:rFonts w:ascii="Calibri" w:hAnsi="Calibri" w:cs="Calibri"/>
              </w:rPr>
              <w:t>In Summary the purpose of this Change Pack is to solicit views from Customers as to their preferred Option/suggestion from the list above. Once the consultation has closed the responses will be taken to the August CoMC where a vote will be taken to agree the preferred option</w:t>
            </w:r>
          </w:p>
          <w:p>
            <w:pPr>
              <w:rPr>
                <w:rFonts w:ascii="Calibri" w:hAnsi="Calibri" w:cs="Calibri"/>
              </w:rPr>
            </w:pPr>
          </w:p>
          <w:p>
            <w:pPr>
              <w:rPr>
                <w:rFonts w:ascii="Calibri" w:hAnsi="Calibri" w:cs="Calibri"/>
              </w:rPr>
            </w:pPr>
            <w:r>
              <w:rPr>
                <w:rFonts w:ascii="Calibri" w:hAnsi="Calibri" w:cs="Calibri"/>
              </w:rPr>
              <w:t>To support the process there are a number of amendments that will need to be made  qto CDSP Service Documents to support the option chosen.  You will find draft versions of the CDSP Budget and Charging Methodology below as well as clean versions so you can see what they would if the proposed amendments are accepted (I for each of the three options)</w:t>
            </w:r>
          </w:p>
          <w:p>
            <w:pPr>
              <w:rPr>
                <w:rFonts w:ascii="Calibri" w:hAnsi="Calibri" w:cs="Calibri"/>
              </w:rPr>
            </w:pPr>
          </w:p>
          <w:p>
            <w:pPr>
              <w:rPr>
                <w:rFonts w:ascii="Calibri" w:hAnsi="Calibri" w:cs="Calibri"/>
              </w:rPr>
            </w:pPr>
            <w:r>
              <w:rPr>
                <w:rFonts w:ascii="Calibri" w:hAnsi="Calibri" w:cs="Calibri"/>
              </w:rPr>
              <w:t>Once the Changes to the Budget and Charging Methodology have been agreed it will be necessary to carry out a ‘Housekeeping exercise’ to update the CDSP Service Description Document and the CDSP Service Description Table to reflect the changes that have been approved, and this will follow the normal governance process</w:t>
            </w:r>
          </w:p>
          <w:p>
            <w:pPr>
              <w:rPr>
                <w:rFonts w:ascii="Calibri" w:hAnsi="Calibri" w:cs="Calibri"/>
              </w:rPr>
            </w:pPr>
          </w:p>
          <w:p>
            <w:pPr>
              <w:rPr>
                <w:color w:val="FF0000"/>
                <w:rFonts w:ascii="Calibri" w:hAnsi="Calibri" w:cs="Calibri"/>
              </w:rPr>
            </w:pPr>
          </w:p>
          <w:p>
            <w:pPr>
              <w:rPr>
                <w:b w:val="1"/>
                <w:bCs w:val="1"/>
                <w:color w:val="000000"/>
                <w:rFonts w:eastAsia="Arial"/>
                <w:spacing w:val="-1"/>
              </w:rPr>
            </w:pPr>
            <w:r>
              <w:rPr>
                <w:b w:val="1"/>
                <w:bCs w:val="1"/>
                <w:color w:val="000000"/>
                <w:rFonts w:eastAsia="Arial"/>
                <w:spacing w:val="-1"/>
              </w:rPr>
              <w:t xml:space="preserve">Documents for review </w:t>
            </w:r>
          </w:p>
          <w:p>
            <w:pPr>
              <w:rPr>
                <w:rFonts w:ascii="Calibri" w:hAnsi="Calibri" w:cs="Calibri"/>
              </w:rPr>
            </w:pPr>
            <w:r>
              <w:rPr>
                <w:rFonts w:ascii="Calibri" w:hAnsi="Calibri" w:cs="Calibri"/>
                <w:sz w:val="20"/>
                <w:szCs w:val="20"/>
              </w:rPr>
              <w:t xml:space="preserve">1a CDSP Budget and Charging Methodology v9.1 Option 1 draft       </w:t>
            </w:r>
            <w:r>
              <w:rPr>
                <w:rFonts w:ascii="Calibri" w:hAnsi="Calibri" w:cs="Calibri"/>
              </w:rPr>
              <w:t xml:space="preserve">  </w:t>
            </w:r>
            <w:r>
              <w:rPr>
                <w:rFonts w:ascii="Calibri" w:hAnsi="Calibri" w:cs="Calibri"/>
              </w:rPr>
              <w:object w:dxaOrig="1530" w:dyaOrig="991" w14:anchorId="7F753C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1266ccdf98ca40c9" o:title=""/>
                </v:shape>
                <o:OLEObject Type="Embed" ProgID="Acrobat.Document.DC" ShapeID="_x0000_i1025" DrawAspect="Icon" ObjectID="_1815996370" r:id="R896f97702832486f"/>
              </w:object>
            </w:r>
          </w:p>
          <w:p>
            <w:pPr>
              <w:rPr>
                <w:rFonts w:ascii="Calibri" w:hAnsi="Calibri" w:cs="Calibri"/>
              </w:rPr>
            </w:pPr>
          </w:p>
          <w:p>
            <w:pPr>
              <w:rPr>
                <w:rFonts w:ascii="Calibri" w:hAnsi="Calibri" w:cs="Calibri"/>
                <w:sz w:val="20"/>
                <w:szCs w:val="20"/>
              </w:rPr>
            </w:pPr>
            <w:r>
              <w:rPr>
                <w:rFonts w:ascii="Calibri" w:hAnsi="Calibri" w:cs="Calibri"/>
                <w:sz w:val="20"/>
                <w:szCs w:val="20"/>
              </w:rPr>
              <w:t xml:space="preserve">1b CDSP Budget and Charging Methodology v9.1 Option 1 clean         </w:t>
            </w:r>
            <w:r>
              <w:rPr>
                <w:rFonts w:ascii="Calibri" w:hAnsi="Calibri" w:cs="Calibri"/>
                <w:sz w:val="20"/>
                <w:szCs w:val="20"/>
              </w:rPr>
              <w:object w:dxaOrig="1530" w:dyaOrig="991" w14:anchorId="7F753CAA">
                <v:shape id="_x0000_i1026" type="#_x0000_t75" style="width:76.5pt;height:49.5pt" o:ole="">
                  <v:imagedata r:id="Ra4beaf07470e4deb" o:title=""/>
                </v:shape>
                <o:OLEObject Type="Embed" ProgID="Acrobat.Document.DC" ShapeID="_x0000_i1026" DrawAspect="Icon" ObjectID="_1815996371" r:id="Raac06ab063974ee6"/>
              </w:object>
            </w:r>
          </w:p>
          <w:p>
            <w:pPr>
              <w:rPr>
                <w:rFonts w:ascii="Calibri" w:hAnsi="Calibri" w:cs="Calibri"/>
                <w:sz w:val="20"/>
                <w:szCs w:val="20"/>
              </w:rPr>
            </w:pPr>
          </w:p>
          <w:p>
            <w:pPr>
              <w:rPr>
                <w:rFonts w:ascii="Calibri" w:hAnsi="Calibri" w:cs="Calibri"/>
                <w:sz w:val="20"/>
                <w:szCs w:val="20"/>
              </w:rPr>
            </w:pPr>
            <w:r>
              <w:rPr>
                <w:rFonts w:ascii="Calibri" w:hAnsi="Calibri" w:cs="Calibri"/>
                <w:sz w:val="20"/>
                <w:szCs w:val="20"/>
              </w:rPr>
              <w:t xml:space="preserve">2a CDSP Budget and Charging Methodology v9.1 Option 2 draft          </w:t>
            </w:r>
            <w:r>
              <w:rPr>
                <w:rFonts w:ascii="Calibri" w:hAnsi="Calibri" w:cs="Calibri"/>
                <w:sz w:val="20"/>
                <w:szCs w:val="20"/>
              </w:rPr>
              <w:object w:dxaOrig="1530" w:dyaOrig="991" w14:anchorId="7F753CAB">
                <v:shape id="_x0000_i1027" type="#_x0000_t75" style="width:76.5pt;height:49.5pt" o:ole="">
                  <v:imagedata r:id="R6d8ab28e4bf943dd" o:title=""/>
                </v:shape>
                <o:OLEObject Type="Embed" ProgID="Acrobat.Document.DC" ShapeID="_x0000_i1027" DrawAspect="Icon" ObjectID="_1815996372" r:id="Rb16995ae37c24d9b"/>
              </w:object>
            </w:r>
          </w:p>
          <w:p>
            <w:pPr>
              <w:rPr>
                <w:rFonts w:ascii="Calibri" w:hAnsi="Calibri" w:cs="Calibri"/>
                <w:sz w:val="20"/>
                <w:szCs w:val="20"/>
              </w:rPr>
            </w:pPr>
          </w:p>
          <w:p>
            <w:pPr>
              <w:rPr>
                <w:rFonts w:ascii="Calibri" w:hAnsi="Calibri" w:cs="Calibri"/>
                <w:sz w:val="20"/>
                <w:szCs w:val="20"/>
              </w:rPr>
            </w:pPr>
            <w:r>
              <w:rPr>
                <w:rFonts w:ascii="Calibri" w:hAnsi="Calibri" w:cs="Calibri"/>
                <w:sz w:val="20"/>
                <w:szCs w:val="20"/>
              </w:rPr>
              <w:t xml:space="preserve">2b CDSP Budget and Charging Methodology v9.1 Option 2 clean         </w:t>
            </w:r>
            <w:r>
              <w:rPr>
                <w:rFonts w:ascii="Calibri" w:hAnsi="Calibri" w:cs="Calibri"/>
                <w:sz w:val="20"/>
                <w:szCs w:val="20"/>
              </w:rPr>
              <w:object w:dxaOrig="1530" w:dyaOrig="991" w14:anchorId="7F753CAC">
                <v:shape id="_x0000_i1028" type="#_x0000_t75" style="width:76.5pt;height:49.5pt" o:ole="">
                  <v:imagedata r:id="R4b0b5086aa8e4b9a" o:title=""/>
                </v:shape>
                <o:OLEObject Type="Embed" ProgID="Acrobat.Document.DC" ShapeID="_x0000_i1028" DrawAspect="Icon" ObjectID="_1815996373" r:id="Rec0ee6211bf04eae"/>
              </w:object>
            </w:r>
          </w:p>
          <w:p>
            <w:pPr>
              <w:rPr>
                <w:rFonts w:ascii="Calibri" w:hAnsi="Calibri" w:cs="Calibri"/>
                <w:sz w:val="20"/>
                <w:szCs w:val="20"/>
              </w:rPr>
            </w:pPr>
          </w:p>
          <w:p>
            <w:pPr>
              <w:rPr>
                <w:rFonts w:ascii="Calibri" w:hAnsi="Calibri" w:cs="Calibri"/>
                <w:sz w:val="20"/>
                <w:szCs w:val="20"/>
              </w:rPr>
            </w:pPr>
            <w:r>
              <w:rPr>
                <w:rFonts w:ascii="Calibri" w:hAnsi="Calibri" w:cs="Calibri"/>
                <w:sz w:val="20"/>
                <w:szCs w:val="20"/>
              </w:rPr>
              <w:t xml:space="preserve">3a CDSP Budget and Charging Methodology v9.1 Option 3 draft          </w:t>
            </w:r>
            <w:r>
              <w:rPr>
                <w:rFonts w:ascii="Calibri" w:hAnsi="Calibri" w:cs="Calibri"/>
                <w:sz w:val="20"/>
                <w:szCs w:val="20"/>
              </w:rPr>
              <w:object w:dxaOrig="1530" w:dyaOrig="991" w14:anchorId="7F753CAD">
                <v:shape id="_x0000_i1029" type="#_x0000_t75" style="width:76.5pt;height:49.5pt" o:ole="">
                  <v:imagedata r:id="R518969d3087f4091" o:title=""/>
                </v:shape>
                <o:OLEObject Type="Embed" ProgID="Acrobat.Document.DC" ShapeID="_x0000_i1029" DrawAspect="Icon" ObjectID="_1815996374" r:id="R28f9345d0a6c4df3"/>
              </w:object>
            </w:r>
          </w:p>
          <w:p>
            <w:pPr>
              <w:rPr>
                <w:b w:val="1"/>
                <w:bCs w:val="1"/>
                <w:color w:val="000000"/>
                <w:rFonts w:eastAsia="Arial"/>
                <w:sz w:val="20"/>
                <w:szCs w:val="20"/>
                <w:spacing w:val="-1"/>
              </w:rPr>
            </w:pPr>
          </w:p>
          <w:p>
            <w:pPr>
              <w:rPr>
                <w:rFonts w:ascii="Calibri" w:hAnsi="Calibri" w:cs="Calibri"/>
                <w:sz w:val="20"/>
                <w:szCs w:val="20"/>
              </w:rPr>
            </w:pPr>
            <w:r>
              <w:rPr>
                <w:rFonts w:ascii="Calibri" w:hAnsi="Calibri" w:cs="Calibri"/>
                <w:sz w:val="20"/>
                <w:szCs w:val="20"/>
              </w:rPr>
              <w:t xml:space="preserve">3b CDSP Budget and Charging Methodology v9.1 Option 3 clean         </w:t>
            </w:r>
            <w:r>
              <w:rPr>
                <w:rFonts w:ascii="Calibri" w:hAnsi="Calibri" w:cs="Calibri"/>
                <w:sz w:val="20"/>
                <w:szCs w:val="20"/>
              </w:rPr>
              <w:object w:dxaOrig="1530" w:dyaOrig="991" w14:anchorId="7F753CAE">
                <v:shape id="_x0000_i1030" type="#_x0000_t75" style="width:76.5pt;height:49.5pt" o:ole="">
                  <v:imagedata r:id="R9f21916c1aa74b3d" o:title=""/>
                </v:shape>
                <o:OLEObject Type="Embed" ProgID="Acrobat.Document.DC" ShapeID="_x0000_i1030" DrawAspect="Icon" ObjectID="_1815996375" r:id="R9c510a6852c4432e"/>
              </w:object>
            </w:r>
          </w:p>
          <w:p>
            <w:pPr>
              <w:rPr>
                <w:b w:val="1"/>
                <w:bCs w:val="1"/>
                <w:color w:val="000000"/>
                <w:rFonts w:eastAsia="Arial"/>
                <w:spacing w:val="-1"/>
              </w:rPr>
            </w:pPr>
          </w:p>
          <w:p>
            <w:pPr>
              <w:rPr>
                <w:b w:val="1"/>
                <w:bCs w:val="1"/>
                <w:color w:val="FF0000"/>
                <w:rFonts w:eastAsia="Arial"/>
                <w:spacing w:val="-1"/>
              </w:rPr>
            </w:pPr>
          </w:p>
          <w:p>
            <w:pPr>
              <w:rPr>
                <w:b w:val="1"/>
                <w:bCs w:val="1"/>
                <w:color w:val="000000"/>
                <w:rFonts w:eastAsia="Arial"/>
                <w:spacing w:val="-1"/>
              </w:rPr>
            </w:pPr>
          </w:p>
          <w:p>
            <w:pPr>
              <w:rPr>
                <w:b w:val="1"/>
                <w:bCs w:val="1"/>
                <w:color w:val="000000"/>
                <w:rFonts w:eastAsia="Arial"/>
                <w:spacing w:val="-1"/>
              </w:rPr>
            </w:pPr>
          </w:p>
          <w:p>
            <w:pPr>
              <w:rPr>
                <w:b w:val="1"/>
                <w:bCs w:val="1"/>
                <w:color w:val="000000"/>
                <w:rFonts w:eastAsia="Arial"/>
                <w:spacing w:val="-1"/>
              </w:rPr>
            </w:pPr>
            <w:r>
              <w:rPr>
                <w:b w:val="1"/>
                <w:bCs w:val="1"/>
                <w:color w:val="000000"/>
                <w:rFonts w:eastAsia="Arial"/>
                <w:spacing w:val="-1"/>
              </w:rPr>
              <w:t>Documents for information to support review</w:t>
            </w:r>
          </w:p>
          <w:p>
            <w:pPr>
              <w:rPr>
                <w:b w:val="1"/>
                <w:bCs w:val="1"/>
                <w:color w:val="000000"/>
                <w:rFonts w:eastAsia="Arial"/>
                <w:spacing w:val="-1"/>
              </w:rPr>
            </w:pPr>
          </w:p>
          <w:p>
            <w:pPr>
              <w:rPr>
                <w:color w:val="000000"/>
                <w:rFonts w:ascii="Calibri" w:hAnsi="Calibri" w:cs="Calibri" w:eastAsia="Arial"/>
                <w:spacing w:val="-1"/>
              </w:rPr>
              <w:numPr>
                <w:ilvl w:val="0"/>
                <w:numId w:val="2"/>
              </w:numPr>
              <w:pStyle w:val="List Paragraph"/>
            </w:pPr>
            <w:r>
              <w:rPr>
                <w:color w:val="000000"/>
                <w:rFonts w:ascii="Calibri" w:hAnsi="Calibri" w:cs="Calibri" w:eastAsia="Arial"/>
                <w:spacing w:val="-1"/>
              </w:rPr>
              <w:t xml:space="preserve">Equitability Review Stage 2(This is the full pack that was presented at the April CoMC)      </w:t>
            </w:r>
          </w:p>
          <w:p>
            <w:pPr>
              <w:rPr>
                <w:color w:val="000000"/>
                <w:rFonts w:ascii="Calibri" w:hAnsi="Calibri" w:cs="Calibri" w:eastAsia="Arial"/>
                <w:spacing w:val="-1"/>
              </w:rPr>
              <w:pStyle w:val="List Paragraph"/>
            </w:pPr>
          </w:p>
          <w:p>
            <w:pPr>
              <w:rPr>
                <w:color w:val="000000"/>
                <w:rFonts w:ascii="Calibri" w:hAnsi="Calibri" w:cs="Calibri" w:eastAsia="Arial"/>
                <w:spacing w:val="-1"/>
              </w:rPr>
              <w:pStyle w:val="List Paragraph"/>
            </w:pPr>
            <w:r>
              <w:rPr>
                <w:rFonts w:ascii="Calibri" w:eastAsia="Arial" w:hAnsi="Calibri" w:cs="Calibri"/>
                <w:color w:val="000000"/>
                <w:spacing w:val="-1"/>
              </w:rPr>
              <w:object w:dxaOrig="1530" w:dyaOrig="991" w14:anchorId="7F753CAF">
                <v:shape id="_x0000_i1031" type="#_x0000_t75" style="width:76.5pt;height:49.5pt" o:ole="">
                  <v:imagedata r:id="Rca3816bf4e6b4e32" o:title=""/>
                </v:shape>
                <o:OLEObject Type="Embed" ProgID="Acrobat.Document.DC" ShapeID="_x0000_i1031" DrawAspect="Icon" ObjectID="_1815996376" r:id="R3755426756234c1a"/>
              </w:object>
            </w:r>
          </w:p>
          <w:p>
            <w:pPr>
              <w:rPr>
                <w:b w:val="1"/>
                <w:bCs w:val="1"/>
                <w:color w:val="000000"/>
                <w:rFonts w:ascii="Calibri" w:hAnsi="Calibri" w:cs="Calibri" w:eastAsia="Arial"/>
                <w:spacing w:val="-1"/>
              </w:rPr>
            </w:pPr>
          </w:p>
          <w:p>
            <w:pPr>
              <w:rPr>
                <w:color w:val="000000"/>
                <w:rFonts w:ascii="Calibri" w:hAnsi="Calibri" w:cs="Calibri" w:eastAsia="Arial"/>
                <w:spacing w:val="-1"/>
              </w:rPr>
              <w:numPr>
                <w:ilvl w:val="0"/>
                <w:numId w:val="2"/>
              </w:numPr>
              <w:pStyle w:val="List Paragraph"/>
            </w:pPr>
            <w:r>
              <w:rPr>
                <w:color w:val="000000"/>
                <w:rFonts w:ascii="Calibri" w:hAnsi="Calibri" w:cs="Calibri" w:eastAsia="Arial"/>
                <w:spacing w:val="-1"/>
              </w:rPr>
              <w:t>Equitability Review Stage 2 Options (Abridged version of the April CoMC Pack with options slides)</w:t>
            </w:r>
          </w:p>
          <w:p>
            <w:pPr>
              <w:rPr>
                <w:color w:val="000000"/>
                <w:rFonts w:ascii="Calibri" w:hAnsi="Calibri" w:cs="Calibri" w:eastAsia="Arial"/>
                <w:spacing w:val="-1"/>
              </w:rPr>
              <w:pStyle w:val="List Paragraph"/>
            </w:pPr>
          </w:p>
          <w:p>
            <w:pPr>
              <w:rPr>
                <w:color w:val="000000"/>
                <w:rFonts w:ascii="Calibri" w:hAnsi="Calibri" w:cs="Calibri" w:eastAsia="Arial"/>
                <w:spacing w:val="-1"/>
              </w:rPr>
              <w:pStyle w:val="List Paragraph"/>
            </w:pPr>
            <w:r>
              <w:rPr>
                <w:rFonts w:ascii="Calibri" w:eastAsia="Arial" w:hAnsi="Calibri" w:cs="Calibri"/>
                <w:color w:val="000000"/>
                <w:spacing w:val="-1"/>
              </w:rPr>
              <w:object w:dxaOrig="1530" w:dyaOrig="991" w14:anchorId="7F753CB0">
                <v:shape id="_x0000_i1032" type="#_x0000_t75" style="width:76.5pt;height:49.5pt" o:ole="">
                  <v:imagedata r:id="R382a0948a6434588" o:title=""/>
                </v:shape>
                <o:OLEObject Type="Embed" ProgID="Acrobat.Document.DC" ShapeID="_x0000_i1032" DrawAspect="Icon" ObjectID="_1815996377" r:id="R5c8bcbc4713945e0"/>
              </w:object>
            </w:r>
          </w:p>
          <w:p>
            <w:pPr>
              <w:rPr>
                <w:b w:val="1"/>
                <w:bCs w:val="1"/>
                <w:color w:val="000000"/>
                <w:rFonts w:eastAsia="Arial"/>
                <w:spacing w:val="-1"/>
              </w:rPr>
            </w:pPr>
          </w:p>
          <w:p>
            <w:pPr>
              <w:rPr>
                <w:b w:val="1"/>
                <w:bCs w:val="1"/>
                <w:color w:val="000000"/>
                <w:rFonts w:eastAsia="Arial"/>
                <w:spacing w:val="-1"/>
              </w:rPr>
            </w:pPr>
          </w:p>
          <w:p>
            <w:pPr>
              <w:rPr>
                <w:b w:val="1"/>
                <w:bCs w:val="1"/>
                <w:color w:val="000000"/>
                <w:rFonts w:eastAsia="Arial"/>
                <w:spacing w:val="-1"/>
              </w:rPr>
            </w:pPr>
          </w:p>
          <w:p>
            <w:pPr>
              <w:rPr>
                <w:rFonts w:ascii="Calibri" w:hAnsi="Calibri" w:cs="Calibri"/>
              </w:rPr>
            </w:pPr>
          </w:p>
        </w:tc>
      </w:tr>
    </w:tbl>
    <w:p>
      <w:pPr>
        <w:rPr>
          <w:b w:val="1"/>
          <w:bCs w:val="1"/>
          <w:color w:val="3E5AA8"/>
          <w:rFonts w:ascii="Calibri" w:hAnsi="Calibri" w:cs="Calibri"/>
          <w:sz w:val="28"/>
          <w:szCs w:val="28"/>
        </w:rPr>
        <w:spacing w:after="0"/>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Style w:val="Title"/>
      </w:pPr>
      <w:r>
        <w:rPr>
          <w:rFonts w:ascii="Calibri" w:hAnsi="Calibri" w:cs="Calibri"/>
        </w:rPr>
        <w:t>Industry Response Review</w:t>
      </w:r>
    </w:p>
    <w:p>
      <w:pPr/>
    </w:p>
    <w:p>
      <w:pPr>
        <w:rPr>
          <w:rFonts w:ascii="Calibri" w:hAnsi="Calibri" w:cs="Calibri"/>
        </w:rPr>
      </w:pPr>
      <w:r>
        <w:br w:type="textWrapping"/>
      </w:r>
      <w:r>
        <w:br w:type="textWrapping"/>
      </w:r>
      <w:r>
        <w:rPr>
          <w:rStyle w:val="Heading 1 Char"/>
          <w:rFonts w:ascii="Calibri" w:hAnsi="Calibri" w:cs="Calibri"/>
        </w:rPr>
        <w:t>Change Representation</w:t>
      </w:r>
      <w:r>
        <w:rPr>
          <w:rFonts w:ascii="Calibri" w:hAnsi="Calibri" w:cs="Calibri"/>
        </w:rPr>
        <w:t xml:space="preserve"> </w:t>
      </w:r>
    </w:p>
    <w:p>
      <w:pPr>
        <w:rPr>
          <w:rFonts w:ascii="Calibri" w:hAnsi="Calibri" w:cs="Calibri"/>
        </w:rPr>
      </w:pPr>
      <w:r>
        <w:rPr>
          <w:rFonts w:ascii="Calibri" w:hAnsi="Calibri" w:cs="Calibri"/>
        </w:rPr>
        <w:t>(To be completed by User and returned for response)</w:t>
      </w:r>
    </w:p>
    <w:p>
      <w:pPr>
        <w:rPr>
          <w:color w:val="auto"/>
          <w:rFonts w:ascii="Calibri" w:hAnsi="Calibri" w:cs="Calibri"/>
          <w:i w:val="1"/>
          <w:iCs w:val="1"/>
          <w:sz w:val="22"/>
          <w:szCs w:val="22"/>
        </w:rPr>
        <w:pStyle w:val="heading 1"/>
      </w:pPr>
      <w:r>
        <w:rPr>
          <w:color w:val="auto"/>
          <w:rFonts w:ascii="Calibri" w:hAnsi="Calibri" w:cs="Calibri"/>
          <w:i w:val="1"/>
          <w:iCs w:val="1"/>
          <w:sz w:val="22"/>
          <w:szCs w:val="22"/>
        </w:rPr>
        <w:t>Please consider any commercial impacts to your organisation that Xoserve need to be aware of when formulating your response</w:t>
      </w:r>
    </w:p>
    <w:p>
      <w:pPr>
        <w:rPr>
          <w:rFonts w:ascii="Calibri" w:hAnsi="Calibri" w:cs="Calibri"/>
        </w:rPr>
      </w:pPr>
    </w:p>
    <w:tbl>
      <w:tblPr>
        <w:tblStyle w:val="Table Grid"/>
        <w:tblLayout w:type="fixed"/>
        <w:tblInd w:type="dxa" w:w="-34"/>
        <w:tblW w:type="pct" w:w="5018"/>
        <w:tblLook w:firstColumn="1" w:firstRow="1" w:lastColumn="0" w:lastRow="0" w:noHBand="0" w:noVBand="1"/>
      </w:tblPr>
      <w:tblGrid>
        <w:gridCol w:w="2566"/>
        <w:gridCol w:w="1925"/>
        <w:gridCol w:w="6003"/>
      </w:tblGrid>
      <w:tr>
        <w:trPr>
          <w:trHeight w:hRule="atLeast" w:val="403"/>
        </w:trPr>
        <w:tc>
          <w:tcPr>
            <w:shd w:val="clear" w:fill="B3EDFB"/>
            <w:tcW w:type="pct" w:w="1223"/>
            <w:vAlign w:val="center"/>
            <w:vMerge w:val="restart"/>
          </w:tcPr>
          <w:p>
            <w:pPr>
              <w:rPr>
                <w:rFonts w:ascii="Calibri" w:hAnsi="Calibri" w:cs="Calibri"/>
              </w:rPr>
              <w:jc w:val="right"/>
            </w:pPr>
            <w:r>
              <w:rPr>
                <w:rFonts w:ascii="Calibri" w:hAnsi="Calibri" w:cs="Calibri"/>
              </w:rPr>
              <w:t>User Contact Details:</w:t>
            </w:r>
          </w:p>
        </w:tc>
        <w:tc>
          <w:tcPr>
            <w:shd w:val="clear" w:fill="B3EDFB"/>
            <w:tcW w:type="pct" w:w="917"/>
            <w:vAlign w:val="center"/>
          </w:tcPr>
          <w:p>
            <w:pPr>
              <w:rPr>
                <w:rFonts w:ascii="Calibri" w:hAnsi="Calibri" w:cs="Calibri"/>
              </w:rPr>
              <w:jc w:val="right"/>
            </w:pPr>
            <w:r>
              <w:rPr>
                <w:rFonts w:ascii="Calibri" w:hAnsi="Calibri" w:cs="Calibri"/>
              </w:rPr>
              <w:t>Organisation:</w:t>
            </w:r>
          </w:p>
        </w:tc>
        <w:tc>
          <w:tcPr>
            <w:tcW w:type="pct" w:w="2860"/>
            <w:vAlign w:val="center"/>
          </w:tcPr>
          <w:p>
            <w:pPr>
              <w:rPr>
                <w:rFonts w:cs="Arial"/>
              </w:rPr>
            </w:pPr>
            <w:r>
              <w:rPr>
                <w:rFonts w:cs="Arial"/>
              </w:rPr>
              <w:t>Centrica</w:t>
            </w:r>
          </w:p>
        </w:tc>
      </w:tr>
      <w:tr>
        <w:trPr>
          <w:trHeight w:hRule="atLeast" w:val="403"/>
        </w:trPr>
        <w:tc>
          <w:tcPr>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Name:</w:t>
            </w:r>
          </w:p>
        </w:tc>
        <w:tc>
          <w:tcPr>
            <w:tcW w:type="pct" w:w="2860"/>
            <w:vAlign w:val="center"/>
          </w:tcPr>
          <w:p>
            <w:pPr>
              <w:rPr>
                <w:rFonts w:cs="Arial"/>
              </w:rPr>
            </w:pPr>
            <w:r>
              <w:rPr>
                <w:rFonts w:cs="Arial"/>
              </w:rPr>
              <w:t>Lee Greenwood</w:t>
            </w:r>
          </w:p>
        </w:tc>
      </w:tr>
      <w:tr>
        <w:trPr>
          <w:trHeight w:hRule="atLeast" w:val="403"/>
        </w:trPr>
        <w:tc>
          <w:tcPr>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Email:</w:t>
            </w:r>
          </w:p>
        </w:tc>
        <w:tc>
          <w:tcPr>
            <w:tcW w:type="pct" w:w="2860"/>
            <w:vAlign w:val="center"/>
          </w:tcPr>
          <w:p>
            <w:pPr>
              <w:rPr>
                <w:rFonts w:cs="Arial"/>
              </w:rPr>
            </w:pPr>
            <w:r>
              <w:rPr>
                <w:rFonts w:cs="Arial"/>
              </w:rPr>
              <w:t>lee.greenwood@centrica.com</w:t>
            </w:r>
          </w:p>
        </w:tc>
      </w:tr>
      <w:tr>
        <w:trPr>
          <w:trHeight w:hRule="atLeast" w:val="403"/>
        </w:trPr>
        <w:tc>
          <w:tcPr>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Telephone:</w:t>
            </w:r>
          </w:p>
        </w:tc>
        <w:tc>
          <w:tcPr>
            <w:tcW w:type="pct" w:w="2860"/>
            <w:vAlign w:val="center"/>
          </w:tcPr>
          <w:p>
            <w:pPr>
              <w:rPr>
                <w:rFonts w:cs="Arial"/>
              </w:rPr>
            </w:pPr>
            <w:r>
              <w:rPr>
                <w:rFonts w:cs="Arial"/>
              </w:rPr>
              <w:t>07557612456</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Customer decision on Change Pack:</w:t>
            </w:r>
          </w:p>
        </w:tc>
        <w:tc>
          <w:tcPr>
            <w:tcW w:type="pct" w:w="3777"/>
            <w:vAlign w:val="center"/>
            <w:gridSpan w:val="2"/>
          </w:tcPr>
          <w:p>
            <w:pPr>
              <w:rPr>
                <w:rFonts w:cs="Arial"/>
              </w:rPr>
            </w:pPr>
            <w:r>
              <w:rPr>
                <w:rFonts w:cs="Arial"/>
              </w:rPr>
              <w:t xml:space="preserve">Not </w:t>
            </w:r>
            <w:r>
              <w:rPr>
                <w:rFonts w:cs="Arial"/>
              </w:rPr>
              <w:t>approved</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Representation Publication:</w:t>
            </w:r>
          </w:p>
        </w:tc>
        <w:tc>
          <w:tcPr>
            <w:tcW w:type="pct" w:w="3777"/>
            <w:vAlign w:val="center"/>
            <w:gridSpan w:val="2"/>
          </w:tcPr>
          <w:p>
            <w:pPr>
              <w:rPr>
                <w:rFonts w:cs="Arial"/>
              </w:rPr>
            </w:pPr>
            <w:r>
              <w:rPr>
                <w:rFonts w:cs="Arial"/>
              </w:rPr>
              <w:t>Publish</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Representation Comments:</w:t>
            </w:r>
          </w:p>
        </w:tc>
        <w:tc>
          <w:tcPr>
            <w:tcW w:type="pct" w:w="3777"/>
            <w:vAlign w:val="center"/>
            <w:gridSpan w:val="2"/>
          </w:tcPr>
          <w:p>
            <w:pPr>
              <w:spacing w:after="200" w:lineRule="auto" w:line="276"/>
            </w:pPr>
            <w:r>
              <w:rPr>
                <w:rFonts w:cs="Arial" w:eastAsia="Arial"/>
              </w:rPr>
              <w:t xml:space="preserve">We do not support the implementation of any of the options being consulted on because there is insufficient and incomplete information in this Change Pack to allow us to assess the proposals. </w:t>
            </w:r>
            <w:r>
              <w:rPr>
                <w:b w:val="1"/>
                <w:bCs w:val="1"/>
                <w:rFonts w:cs="Arial" w:eastAsia="Arial"/>
              </w:rPr>
              <w:t>The proposals are untransparent and have not been sufficiently explained or justified</w:t>
            </w:r>
            <w:r>
              <w:rPr>
                <w:rFonts w:cs="Arial" w:eastAsia="Arial"/>
              </w:rPr>
              <w:t>.</w:t>
            </w:r>
          </w:p>
          <w:p>
            <w:pPr>
              <w:spacing w:after="200" w:lineRule="auto" w:line="276"/>
            </w:pPr>
            <w:r>
              <w:rPr>
                <w:rFonts w:cs="Arial" w:eastAsia="Arial"/>
              </w:rPr>
              <w:t>It is inappropriate to seek feedback from Customers, especially on charging matters, without sufficiently explaining, robustly justifying or presenting any evidence to support the proposed changes. The consultation material requires substantial improvement to be fit-for-purpose. We therefore recommend that the consultation material is improved accordingly, and the proposals are re-consulted on. We discuss the main weaknesses of the current consultation below.</w:t>
            </w:r>
          </w:p>
          <w:p>
            <w:pPr>
              <w:spacing w:after="200" w:lineRule="auto" w:line="276"/>
            </w:pPr>
            <w:r>
              <w:rPr>
                <w:b w:val="1"/>
                <w:bCs w:val="1"/>
                <w:rFonts w:cs="Arial" w:eastAsia="Arial"/>
              </w:rPr>
              <w:t>The consultation does not include proposed changes to the Cost Allocation Methodology:</w:t>
            </w:r>
          </w:p>
          <w:p>
            <w:pPr>
              <w:spacing w:after="200" w:lineRule="auto" w:line="276"/>
            </w:pPr>
            <w:r>
              <w:rPr>
                <w:rFonts w:cs="Arial" w:eastAsia="Arial"/>
              </w:rPr>
              <w:t xml:space="preserve">The consultation is intended to seek feedback on changes to the Cost Allocation Methodology (CAM). </w:t>
            </w:r>
            <w:r>
              <w:rPr>
                <w:rFonts w:cs="Arial" w:eastAsia="Arial"/>
                <w:u w:val="single"/>
              </w:rPr>
              <w:t>However, the consultation does not include the proposed changes to the CAM, or an explanation and justification for the proposed changes.</w:t>
            </w:r>
            <w:r>
              <w:rPr>
                <w:rFonts w:cs="Arial" w:eastAsia="Arial"/>
              </w:rPr>
              <w:t xml:space="preserve"> Rather, the consultation seeks feedback on changes to the Budget and Charging Methodology (BCM) only. </w:t>
            </w:r>
          </w:p>
          <w:p>
            <w:pPr>
              <w:spacing w:after="200" w:lineRule="auto" w:line="276"/>
            </w:pPr>
            <w:r>
              <w:rPr>
                <w:rFonts w:cs="Arial" w:eastAsia="Arial"/>
              </w:rPr>
              <w:t>Paragraph 3.2.1 of version 9 of the Budget and Charging Methodology states that the methodology “</w:t>
            </w:r>
            <w:r>
              <w:rPr>
                <w:rFonts w:cs="Arial" w:eastAsia="Arial"/>
                <w:i w:val="1"/>
                <w:iCs w:val="1"/>
              </w:rPr>
              <w:t>…allocates (by attributing or otherwise allocating) Costs or a resulting Charge Base to activities of the CDSP…</w:t>
            </w:r>
            <w:r>
              <w:rPr>
                <w:rFonts w:cs="Arial" w:eastAsia="Arial"/>
              </w:rPr>
              <w:t xml:space="preserve">”. The consultation does not include a proposal on how Costs should be allocated to each Service Area (which is different to how the proportions of Costs allocated to each individual Service Area that are to be recovered from the relevant Customer Class(es)). </w:t>
            </w:r>
          </w:p>
          <w:p>
            <w:pPr>
              <w:spacing w:after="200" w:lineRule="auto" w:line="276"/>
            </w:pPr>
            <w:r>
              <w:rPr>
                <w:rFonts w:cs="Arial" w:eastAsia="Arial"/>
              </w:rPr>
              <w:t xml:space="preserve"> </w:t>
            </w:r>
          </w:p>
          <w:p>
            <w:pPr>
              <w:spacing w:after="200" w:lineRule="auto" w:line="276"/>
            </w:pPr>
            <w:r>
              <w:rPr>
                <w:rFonts w:cs="Arial" w:eastAsia="Arial"/>
              </w:rPr>
              <w:t>The absence of a proposal on how Costs should be allocated to each Service Area is a critical omission but the preferred package of changes to the BCM involves the addition of new Service Areas. This is especially relevant as the BCM states that “</w:t>
            </w:r>
            <w:r>
              <w:rPr>
                <w:rFonts w:cs="Arial" w:eastAsia="Arial"/>
                <w:i w:val="1"/>
                <w:iCs w:val="1"/>
              </w:rPr>
              <w:t>…Service Changes are not expected of themselves to require amendment of the Charge Base Apportionment Table, unless the Service Change adds or removes a Service Area or adds a new Customer Class</w:t>
            </w:r>
            <w:r>
              <w:rPr>
                <w:rFonts w:cs="Arial" w:eastAsia="Arial"/>
              </w:rPr>
              <w:t>.”</w:t>
            </w:r>
            <w:hyperlink r:id="Rce2338775a5646e7">
              <w:r>
                <w:rPr>
                  <w:rStyle w:val="Hyperlink"/>
                  <w:rFonts w:cs="Arial" w:eastAsia="Arial"/>
                  <w:vertAlign w:val="superscript"/>
                </w:rPr>
                <w:t>[1]</w:t>
              </w:r>
            </w:hyperlink>
            <w:r>
              <w:rPr>
                <w:rFonts w:cs="Arial" w:eastAsia="Arial"/>
              </w:rPr>
              <w:t xml:space="preserve"> This implies that, as a minimum, the changes to the CAM (had they been included in the consultation) would need to include a proposal on how Costs should be allocated to each Service Area. </w:t>
            </w:r>
          </w:p>
          <w:p>
            <w:pPr>
              <w:spacing w:after="200" w:lineRule="auto" w:line="276"/>
            </w:pPr>
            <w:r>
              <w:rPr>
                <w:b w:val="1"/>
                <w:bCs w:val="1"/>
                <w:rFonts w:cs="Arial" w:eastAsia="Arial"/>
              </w:rPr>
              <w:t>The proposed changes to the Budget and Charging Methodology have not been sufficiently explained or robustly justified:</w:t>
            </w:r>
          </w:p>
          <w:p>
            <w:pPr>
              <w:spacing w:after="200" w:lineRule="auto" w:line="276"/>
            </w:pPr>
            <w:r>
              <w:rPr>
                <w:rFonts w:cs="Arial" w:eastAsia="Arial"/>
              </w:rPr>
              <w:t xml:space="preserve">Instead of seeking feedback on changes to the CAM, the consultation seeks feedback on changes to the Charge Base Apportionment Table in the BCM. The Table sets out the proportions of Costs allocated to each individual Service Area that are to be recovered from the relevant Customer Class(es). </w:t>
            </w:r>
          </w:p>
          <w:p>
            <w:pPr>
              <w:spacing w:after="200" w:lineRule="auto" w:line="276"/>
            </w:pPr>
            <w:r>
              <w:rPr>
                <w:rFonts w:cs="Arial" w:eastAsia="Arial"/>
              </w:rPr>
              <w:t>The proportions should be derived according to the CAM. However, the proposed proportions for each Service Area have not been robustly justified. In several instances, it is proposed to retain the existing proportions because e.g. “c</w:t>
            </w:r>
            <w:r>
              <w:rPr>
                <w:rFonts w:cs="Arial" w:eastAsia="Arial"/>
                <w:i w:val="1"/>
                <w:iCs w:val="1"/>
              </w:rPr>
              <w:t>urrent split still reflective of volume of updates</w:t>
            </w:r>
            <w:r>
              <w:rPr>
                <w:rFonts w:cs="Arial" w:eastAsia="Arial"/>
              </w:rPr>
              <w:t>” or “c</w:t>
            </w:r>
            <w:r>
              <w:rPr>
                <w:rFonts w:cs="Arial" w:eastAsia="Arial"/>
                <w:i w:val="1"/>
                <w:iCs w:val="1"/>
              </w:rPr>
              <w:t>urrent split still reflective of stakeholder workload</w:t>
            </w:r>
            <w:r>
              <w:rPr>
                <w:rFonts w:cs="Arial" w:eastAsia="Arial"/>
              </w:rPr>
              <w:t>”. The consultation does not include any evidence to support the proposals. This is unhelpful given that, of the 18 existing Service Areas:</w:t>
            </w:r>
          </w:p>
          <w:p>
            <w:pPr>
              <w:rPr>
                <w:rFonts w:cs="Arial" w:eastAsia="Arial"/>
              </w:rPr>
              <w:numPr>
                <w:ilvl w:val="0"/>
                <w:numId w:val="3"/>
              </w:numPr>
              <w:pStyle w:val="List Paragraph"/>
            </w:pPr>
            <w:r>
              <w:rPr>
                <w:rFonts w:cs="Arial" w:eastAsia="Arial"/>
              </w:rPr>
              <w:t>proportions for eight Service Areas were derived in 2017 or earlier;</w:t>
            </w:r>
          </w:p>
          <w:p>
            <w:pPr>
              <w:rPr>
                <w:rFonts w:cs="Arial" w:eastAsia="Arial"/>
              </w:rPr>
              <w:numPr>
                <w:ilvl w:val="0"/>
                <w:numId w:val="3"/>
              </w:numPr>
              <w:pStyle w:val="List Paragraph"/>
            </w:pPr>
            <w:r>
              <w:rPr>
                <w:rFonts w:cs="Arial" w:eastAsia="Arial"/>
              </w:rPr>
              <w:t xml:space="preserve">proportions for seven Service Areas were derived for the 2020-21 Budget; and the </w:t>
            </w:r>
          </w:p>
          <w:p>
            <w:pPr>
              <w:rPr>
                <w:rFonts w:cs="Arial" w:eastAsia="Arial"/>
              </w:rPr>
              <w:numPr>
                <w:ilvl w:val="0"/>
                <w:numId w:val="3"/>
              </w:numPr>
              <w:pStyle w:val="List Paragraph"/>
            </w:pPr>
            <w:r>
              <w:rPr>
                <w:rFonts w:cs="Arial" w:eastAsia="Arial"/>
              </w:rPr>
              <w:t xml:space="preserve">remaining proportions derived more recently were never robustly justified. </w:t>
            </w:r>
          </w:p>
          <w:p>
            <w:pPr>
              <w:spacing w:after="200" w:lineRule="auto" w:line="276"/>
            </w:pPr>
            <w:r>
              <w:rPr>
                <w:rFonts w:cs="Arial" w:eastAsia="Arial"/>
              </w:rPr>
              <w:t xml:space="preserve"> </w:t>
            </w:r>
          </w:p>
          <w:p>
            <w:pPr>
              <w:spacing w:lineRule="auto" w:line="276"/>
            </w:pPr>
            <w:r>
              <w:rPr>
                <w:rFonts w:cs="Arial" w:eastAsia="Arial"/>
              </w:rPr>
              <w:t xml:space="preserve">Additionally, no evidence has been presented to support the recommended proportions that have been proposed for the new Service Areas. </w:t>
            </w:r>
          </w:p>
          <w:p>
            <w:pPr/>
          </w:p>
          <w:p>
            <w:pPr>
              <w:rPr>
                <w:rFonts w:cs="Arial"/>
              </w:rPr>
            </w:pPr>
          </w:p>
        </w:tc>
      </w:tr>
    </w:tbl>
    <w:p>
      <w:pPr/>
    </w:p>
    <w:p>
      <w:pPr>
        <w:rPr>
          <w:rFonts w:ascii="Calibri" w:hAnsi="Calibri" w:cs="Calibri"/>
        </w:rPr>
        <w:pStyle w:val="heading 1"/>
      </w:pPr>
      <w:r>
        <w:rPr>
          <w:rFonts w:ascii="Calibri" w:hAnsi="Calibri" w:cs="Calibri"/>
        </w:rPr>
        <w:t xml:space="preserve">Xoserve’ s Response </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663"/>
        </w:trPr>
        <w:tc>
          <w:tcPr>
            <w:shd w:val="clear" w:fill="B3EDFB"/>
            <w:tcW w:type="pct" w:w="1223"/>
            <w:vAlign w:val="center"/>
          </w:tcPr>
          <w:p>
            <w:pPr>
              <w:rPr>
                <w:rFonts w:ascii="Calibri" w:hAnsi="Calibri" w:cs="Calibri"/>
              </w:rPr>
              <w:jc w:val="right"/>
            </w:pPr>
            <w:r>
              <w:rPr>
                <w:rFonts w:ascii="Calibri" w:hAnsi="Calibri" w:cs="Calibri"/>
              </w:rPr>
              <w:t>Xoserve Response to Organisations Comments:</w:t>
            </w:r>
          </w:p>
        </w:tc>
        <w:tc>
          <w:tcPr>
            <w:tcW w:type="pct" w:w="3777"/>
            <w:vAlign w:val="center"/>
          </w:tcPr>
          <w:p>
            <w:pPr>
              <w:rPr>
                <w:rFonts w:cs="Arial"/>
              </w:rPr>
            </w:pPr>
            <w:r>
              <w:rPr>
                <w:rFonts w:cs="Arial"/>
              </w:rPr>
              <w:t>Thank you for your response, this will be discussed at CoMC in August.</w:t>
            </w:r>
          </w:p>
        </w:tc>
      </w:tr>
    </w:tbl>
    <w:p>
      <w:pPr/>
    </w:p>
    <w:p>
      <w:pPr>
        <w:rPr>
          <w:rFonts w:ascii="Calibri" w:hAnsi="Calibri" w:cs="Calibri"/>
        </w:rPr>
      </w:pPr>
      <w:r>
        <w:rPr>
          <w:rFonts w:ascii="Calibri" w:hAnsi="Calibri" w:cs="Calibri"/>
        </w:rPr>
        <w:t xml:space="preserve">Please send the completed representation response to </w:t>
      </w:r>
      <w:hyperlink r:id="R525a4cfb55804b14">
        <w:r>
          <w:rPr>
            <w:rStyle w:val="Hyperlink"/>
            <w:rFonts w:ascii="Calibri" w:hAnsi="Calibri" w:cs="Calibri"/>
          </w:rPr>
          <w:t>uklink@xoserve.com</w:t>
        </w:r>
      </w:hyperlink>
      <w:r>
        <w:rPr>
          <w:rFonts w:ascii="Calibri" w:hAnsi="Calibri" w:cs="Calibri"/>
        </w:rPr>
        <w:t xml:space="preserve"> </w:t>
      </w:r>
    </w:p>
    <w:p>
      <w:pPr/>
    </w:p>
    <w:p>
      <w:pPr>
        <w:rPr>
          <w:rFonts w:ascii="Calibri" w:hAnsi="Calibri" w:cs="Calibri"/>
        </w:rPr>
      </w:pPr>
      <w:r>
        <w:br w:type="textWrapping"/>
      </w:r>
      <w:r>
        <w:br w:type="textWrapping"/>
      </w:r>
      <w:r>
        <w:rPr>
          <w:rStyle w:val="Heading 1 Char"/>
          <w:rFonts w:ascii="Calibri" w:hAnsi="Calibri" w:cs="Calibri"/>
        </w:rPr>
        <w:t>Change Representation</w:t>
      </w:r>
      <w:r>
        <w:rPr>
          <w:rFonts w:ascii="Calibri" w:hAnsi="Calibri" w:cs="Calibri"/>
        </w:rPr>
        <w:t xml:space="preserve"> </w:t>
      </w:r>
    </w:p>
    <w:p>
      <w:pPr>
        <w:rPr>
          <w:rFonts w:ascii="Calibri" w:hAnsi="Calibri" w:cs="Calibri"/>
        </w:rPr>
      </w:pPr>
      <w:r>
        <w:rPr>
          <w:rFonts w:ascii="Calibri" w:hAnsi="Calibri" w:cs="Calibri"/>
        </w:rPr>
        <w:t>(To be completed by User and returned for response)</w:t>
      </w:r>
    </w:p>
    <w:p>
      <w:pPr>
        <w:rPr>
          <w:color w:val="auto"/>
          <w:rFonts w:ascii="Calibri" w:hAnsi="Calibri" w:cs="Calibri"/>
          <w:i w:val="1"/>
          <w:iCs w:val="1"/>
          <w:sz w:val="22"/>
          <w:szCs w:val="22"/>
        </w:rPr>
        <w:pStyle w:val="heading 1"/>
      </w:pPr>
      <w:r>
        <w:rPr>
          <w:color w:val="auto"/>
          <w:rFonts w:ascii="Calibri" w:hAnsi="Calibri" w:cs="Calibri"/>
          <w:i w:val="1"/>
          <w:iCs w:val="1"/>
          <w:sz w:val="22"/>
          <w:szCs w:val="22"/>
        </w:rPr>
        <w:t>Please consider any commercial impacts to your organisation that Xoserve need to be aware of when formulating your response</w:t>
      </w:r>
    </w:p>
    <w:p>
      <w:pPr>
        <w:rPr>
          <w:rFonts w:ascii="Calibri" w:hAnsi="Calibri" w:cs="Calibri"/>
        </w:rPr>
      </w:pPr>
    </w:p>
    <w:tbl>
      <w:tblPr>
        <w:tblStyle w:val="Table Grid"/>
        <w:tblLayout w:type="fixed"/>
        <w:tblInd w:type="dxa" w:w="-34"/>
        <w:tblW w:type="pct" w:w="5018"/>
        <w:tblLook w:firstColumn="1" w:firstRow="1" w:lastColumn="0" w:lastRow="0" w:noHBand="0" w:noVBand="1"/>
      </w:tblPr>
      <w:tblGrid>
        <w:gridCol w:w="2566"/>
        <w:gridCol w:w="1925"/>
        <w:gridCol w:w="6003"/>
      </w:tblGrid>
      <w:tr>
        <w:trPr>
          <w:trHeight w:hRule="atLeast" w:val="403"/>
        </w:trPr>
        <w:tc>
          <w:tcPr>
            <w:shd w:val="clear" w:fill="B3EDFB"/>
            <w:tcW w:type="pct" w:w="1223"/>
            <w:vAlign w:val="center"/>
            <w:vMerge w:val="restart"/>
          </w:tcPr>
          <w:p>
            <w:pPr>
              <w:rPr>
                <w:rFonts w:ascii="Calibri" w:hAnsi="Calibri" w:cs="Calibri"/>
              </w:rPr>
              <w:jc w:val="right"/>
            </w:pPr>
            <w:r>
              <w:rPr>
                <w:rFonts w:ascii="Calibri" w:hAnsi="Calibri" w:cs="Calibri"/>
              </w:rPr>
              <w:t>User Contact Details:</w:t>
            </w:r>
          </w:p>
        </w:tc>
        <w:tc>
          <w:tcPr>
            <w:shd w:val="clear" w:fill="B3EDFB"/>
            <w:tcW w:type="pct" w:w="917"/>
            <w:vAlign w:val="center"/>
          </w:tcPr>
          <w:p>
            <w:pPr>
              <w:rPr>
                <w:rFonts w:ascii="Calibri" w:hAnsi="Calibri" w:cs="Calibri"/>
              </w:rPr>
              <w:jc w:val="right"/>
            </w:pPr>
            <w:r>
              <w:rPr>
                <w:rFonts w:ascii="Calibri" w:hAnsi="Calibri" w:cs="Calibri"/>
              </w:rPr>
              <w:t>Organisation:</w:t>
            </w:r>
          </w:p>
        </w:tc>
        <w:tc>
          <w:tcPr>
            <w:tcW w:type="pct" w:w="2860"/>
            <w:vAlign w:val="center"/>
          </w:tcPr>
          <w:p>
            <w:pPr>
              <w:rPr>
                <w:rFonts w:cs="Arial"/>
              </w:rPr>
            </w:pPr>
            <w:r>
              <w:rPr>
                <w:rFonts w:cs="Arial"/>
              </w:rPr>
              <w:t>BUUK</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Name:</w:t>
            </w:r>
          </w:p>
        </w:tc>
        <w:tc>
          <w:tcPr>
            <w:tcW w:type="pct" w:w="2860"/>
            <w:vAlign w:val="center"/>
          </w:tcPr>
          <w:p>
            <w:pPr>
              <w:rPr>
                <w:rFonts w:cs="Arial"/>
              </w:rPr>
            </w:pPr>
            <w:r>
              <w:rPr>
                <w:rFonts w:cs="Arial"/>
              </w:rPr>
              <w:t>Aleksis</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Email:</w:t>
            </w:r>
          </w:p>
        </w:tc>
        <w:tc>
          <w:tcPr>
            <w:tcW w:type="pct" w:w="2860"/>
            <w:vAlign w:val="center"/>
          </w:tcPr>
          <w:p>
            <w:pPr>
              <w:rPr>
                <w:rFonts w:cs="Arial"/>
              </w:rPr>
            </w:pPr>
            <w:r>
              <w:rPr>
                <w:rFonts w:cs="Arial"/>
              </w:rPr>
              <w:t>aleksis.butler@bu-uk.co.uk</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Telephone:</w:t>
            </w:r>
          </w:p>
        </w:tc>
        <w:tc>
          <w:tcPr>
            <w:tcW w:type="pct" w:w="2860"/>
            <w:vAlign w:val="center"/>
          </w:tcPr>
          <w:p>
            <w:pPr>
              <w:rPr>
                <w:rFonts w:cs="Arial"/>
              </w:rPr>
            </w:pPr>
            <w:r>
              <w:rPr>
                <w:rFonts w:cs="Arial"/>
              </w:rPr>
              <w:t>07483471788</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Customer decision on Change Pack:</w:t>
            </w:r>
          </w:p>
        </w:tc>
        <w:tc>
          <w:tcPr>
            <w:tcW w:type="pct" w:w="3777"/>
            <w:vAlign w:val="center"/>
            <w:gridSpan w:val="2"/>
          </w:tcPr>
          <w:p>
            <w:pPr>
              <w:rPr>
                <w:rFonts w:cs="Arial"/>
              </w:rPr>
            </w:pPr>
            <w:r>
              <w:rPr>
                <w:rFonts w:cs="Arial"/>
              </w:rPr>
              <w:t>approved</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Commercial impacts:</w:t>
            </w:r>
          </w:p>
        </w:tc>
        <w:tc>
          <w:tcPr>
            <w:tcW w:type="pct" w:w="3777"/>
            <w:vAlign w:val="center"/>
            <w:gridSpan w:val="2"/>
          </w:tcPr>
          <w:p>
            <w:pPr>
              <w:rPr>
                <w:rFonts w:cs="Arial"/>
              </w:rPr>
            </w:pPr>
            <w:r>
              <w:rPr>
                <w:rFonts w:cs="Arial"/>
              </w:rPr>
              <w:t>Expected increase in costs due to re-allocation of service costs.</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Representation Publication:</w:t>
            </w:r>
          </w:p>
        </w:tc>
        <w:tc>
          <w:tcPr>
            <w:tcW w:type="pct" w:w="3777"/>
            <w:vAlign w:val="center"/>
            <w:gridSpan w:val="2"/>
          </w:tcPr>
          <w:p>
            <w:pPr>
              <w:rPr>
                <w:rFonts w:cs="Arial"/>
              </w:rPr>
            </w:pPr>
            <w:r>
              <w:rPr>
                <w:rFonts w:cs="Arial"/>
              </w:rPr>
              <w:t>Publish</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Representation Comments:</w:t>
            </w:r>
          </w:p>
        </w:tc>
        <w:tc>
          <w:tcPr>
            <w:tcW w:type="pct" w:w="3777"/>
            <w:vAlign w:val="center"/>
            <w:gridSpan w:val="2"/>
          </w:tcPr>
          <w:p>
            <w:pPr>
              <w:rPr>
                <w:rFonts w:cs="Arial"/>
              </w:rPr>
            </w:pPr>
            <w:r>
              <w:rPr>
                <w:rFonts w:cs="Arial"/>
              </w:rPr>
              <w:t xml:space="preserve">We are in conditional support of suggestion 3 – ‘New Structure using Kearny VfM breakdown’. We support separating out elements of the services, but do not support the introduction of PAC costs being allocated to IGTs. </w:t>
            </w:r>
            <w:r>
              <w:rPr>
                <w:rFonts w:cs="Arial"/>
              </w:rPr>
              <w:br w:type="textWrapping"/>
            </w:r>
            <w:r>
              <w:rPr>
                <w:rFonts w:cs="Arial"/>
              </w:rPr>
              <w:br w:type="textWrapping"/>
            </w:r>
            <w:r>
              <w:rPr>
                <w:rFonts w:cs="Arial"/>
              </w:rPr>
              <w:t>Whilst we recognise that PAC activity includes IGT networks, the beneficiaries of PAC activity are Shippers. Therefore, we would expect costs to be borne by those benefitting parties.</w:t>
            </w:r>
            <w:r>
              <w:rPr>
                <w:rFonts w:cs="Arial"/>
              </w:rPr>
              <w:br w:type="textWrapping"/>
            </w:r>
            <w:r>
              <w:rPr>
                <w:rFonts w:cs="Arial"/>
              </w:rPr>
              <w:br w:type="textWrapping"/>
            </w:r>
            <w:r>
              <w:rPr>
                <w:rFonts w:cs="Arial"/>
              </w:rPr>
              <w:t xml:space="preserve">We support the splitting out of the ‘Managing Change’ service line into two separate lines – these being ‘Proactive Management of Technology, Licensing, Application, and Infra Support’ and the ‘IT Change Management’ Line. This will help provide more transparency to the service areas, and clarity as to what they entail. </w:t>
            </w:r>
            <w:r>
              <w:rPr>
                <w:rFonts w:cs="Arial"/>
              </w:rPr>
              <w:br w:type="textWrapping"/>
            </w:r>
            <w:r>
              <w:rPr>
                <w:rFonts w:cs="Arial"/>
              </w:rPr>
              <w:br w:type="textWrapping"/>
            </w:r>
            <w:r>
              <w:rPr>
                <w:rFonts w:cs="Arial"/>
              </w:rPr>
              <w:t xml:space="preserve">At present, ‘Managing Change’ is defined as the “development, governance, delivery, and assurance of change outside major change programmes”.  We acknowledge the increase in costs for ‘Managing Change’ service line, and we recognise that we need to better understand the change process and will endeavour to do so. </w:t>
            </w:r>
          </w:p>
        </w:tc>
      </w:tr>
    </w:tbl>
    <w:p>
      <w:pPr/>
    </w:p>
    <w:p>
      <w:pPr>
        <w:rPr>
          <w:rFonts w:ascii="Calibri" w:hAnsi="Calibri" w:cs="Calibri"/>
        </w:rPr>
        <w:pStyle w:val="heading 1"/>
      </w:pPr>
      <w:r>
        <w:rPr>
          <w:rFonts w:ascii="Calibri" w:hAnsi="Calibri" w:cs="Calibri"/>
        </w:rPr>
        <w:t xml:space="preserve">Xoserve’ s Response </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663"/>
        </w:trPr>
        <w:tc>
          <w:tcPr>
            <w:shd w:val="clear" w:fill="B3EDFB"/>
            <w:tcW w:type="pct" w:w="1223"/>
            <w:vAlign w:val="center"/>
          </w:tcPr>
          <w:p>
            <w:pPr>
              <w:rPr>
                <w:rFonts w:ascii="Calibri" w:hAnsi="Calibri" w:cs="Calibri"/>
              </w:rPr>
              <w:jc w:val="right"/>
            </w:pPr>
            <w:r>
              <w:rPr>
                <w:rFonts w:ascii="Calibri" w:hAnsi="Calibri" w:cs="Calibri"/>
              </w:rPr>
              <w:t>Xoserve Response to Organisations Comments:</w:t>
            </w:r>
          </w:p>
        </w:tc>
        <w:tc>
          <w:tcPr>
            <w:tcW w:type="pct" w:w="3777"/>
            <w:vAlign w:val="center"/>
          </w:tcPr>
          <w:p>
            <w:pPr>
              <w:rPr>
                <w:rFonts w:cs="Arial"/>
              </w:rPr>
            </w:pPr>
            <w:r>
              <w:rPr>
                <w:rFonts w:cs="Arial"/>
              </w:rPr>
              <w:t>Thank you for your response, this will be discussed at CoMC in August.</w:t>
            </w:r>
          </w:p>
        </w:tc>
      </w:tr>
    </w:tbl>
    <w:p>
      <w:pPr/>
    </w:p>
    <w:p>
      <w:pPr>
        <w:rPr>
          <w:rFonts w:ascii="Calibri" w:hAnsi="Calibri" w:cs="Calibri"/>
        </w:rPr>
      </w:pPr>
      <w:r>
        <w:rPr>
          <w:rFonts w:ascii="Calibri" w:hAnsi="Calibri" w:cs="Calibri"/>
        </w:rPr>
        <w:t xml:space="preserve">Please send the completed representation response to </w:t>
      </w:r>
      <w:hyperlink r:id="R1fb3601a03504e99">
        <w:r>
          <w:rPr>
            <w:rStyle w:val="Hyperlink"/>
            <w:rFonts w:ascii="Calibri" w:hAnsi="Calibri" w:cs="Calibri"/>
          </w:rPr>
          <w:t>uklink@xoserve.com</w:t>
        </w:r>
      </w:hyperlink>
      <w:r>
        <w:rPr>
          <w:rFonts w:ascii="Calibri" w:hAnsi="Calibri" w:cs="Calibri"/>
        </w:rPr>
        <w:t xml:space="preserve"> </w:t>
      </w:r>
    </w:p>
    <w:p>
      <w:pPr/>
    </w:p>
    <w:p>
      <w:pPr>
        <w:rPr>
          <w:rFonts w:ascii="Calibri" w:hAnsi="Calibri" w:cs="Calibri"/>
        </w:rPr>
      </w:pPr>
      <w:r>
        <w:br w:type="textWrapping"/>
      </w:r>
      <w:r>
        <w:br w:type="textWrapping"/>
      </w:r>
      <w:r>
        <w:rPr>
          <w:rStyle w:val="Heading 1 Char"/>
          <w:rFonts w:ascii="Calibri" w:hAnsi="Calibri" w:cs="Calibri"/>
        </w:rPr>
        <w:t>Change Representation</w:t>
      </w:r>
      <w:r>
        <w:rPr>
          <w:rFonts w:ascii="Calibri" w:hAnsi="Calibri" w:cs="Calibri"/>
        </w:rPr>
        <w:t xml:space="preserve"> </w:t>
      </w:r>
    </w:p>
    <w:p>
      <w:pPr>
        <w:rPr>
          <w:rFonts w:ascii="Calibri" w:hAnsi="Calibri" w:cs="Calibri"/>
        </w:rPr>
      </w:pPr>
      <w:r>
        <w:rPr>
          <w:rFonts w:ascii="Calibri" w:hAnsi="Calibri" w:cs="Calibri"/>
        </w:rPr>
        <w:t>(To be completed by User and returned for response)</w:t>
      </w:r>
    </w:p>
    <w:p>
      <w:pPr>
        <w:rPr>
          <w:color w:val="auto"/>
          <w:rFonts w:ascii="Calibri" w:hAnsi="Calibri" w:cs="Calibri"/>
          <w:i w:val="1"/>
          <w:iCs w:val="1"/>
          <w:sz w:val="22"/>
          <w:szCs w:val="22"/>
        </w:rPr>
        <w:pStyle w:val="heading 1"/>
      </w:pPr>
      <w:r>
        <w:rPr>
          <w:color w:val="auto"/>
          <w:rFonts w:ascii="Calibri" w:hAnsi="Calibri" w:cs="Calibri"/>
          <w:i w:val="1"/>
          <w:iCs w:val="1"/>
          <w:sz w:val="22"/>
          <w:szCs w:val="22"/>
        </w:rPr>
        <w:t>Please consider any commercial impacts to your organisation that Xoserve need to be aware of when formulating your response</w:t>
      </w:r>
    </w:p>
    <w:p>
      <w:pPr>
        <w:rPr>
          <w:rFonts w:ascii="Calibri" w:hAnsi="Calibri" w:cs="Calibri"/>
        </w:rPr>
      </w:pPr>
    </w:p>
    <w:tbl>
      <w:tblPr>
        <w:tblStyle w:val="Table Grid"/>
        <w:tblLayout w:type="fixed"/>
        <w:tblInd w:type="dxa" w:w="-34"/>
        <w:tblW w:type="pct" w:w="5018"/>
        <w:tblLook w:firstColumn="1" w:firstRow="1" w:lastColumn="0" w:lastRow="0" w:noHBand="0" w:noVBand="1"/>
      </w:tblPr>
      <w:tblGrid>
        <w:gridCol w:w="2566"/>
        <w:gridCol w:w="1925"/>
        <w:gridCol w:w="6003"/>
      </w:tblGrid>
      <w:tr>
        <w:trPr>
          <w:trHeight w:hRule="atLeast" w:val="403"/>
        </w:trPr>
        <w:tc>
          <w:tcPr>
            <w:shd w:val="clear" w:fill="B3EDFB"/>
            <w:tcW w:type="pct" w:w="1223"/>
            <w:vAlign w:val="center"/>
            <w:vMerge w:val="restart"/>
          </w:tcPr>
          <w:p>
            <w:pPr>
              <w:rPr>
                <w:rFonts w:ascii="Calibri" w:hAnsi="Calibri" w:cs="Calibri"/>
              </w:rPr>
              <w:jc w:val="right"/>
            </w:pPr>
            <w:r>
              <w:rPr>
                <w:rFonts w:ascii="Calibri" w:hAnsi="Calibri" w:cs="Calibri"/>
              </w:rPr>
              <w:t>User Contact Details:</w:t>
            </w:r>
          </w:p>
        </w:tc>
        <w:tc>
          <w:tcPr>
            <w:shd w:val="clear" w:fill="B3EDFB"/>
            <w:tcW w:type="pct" w:w="917"/>
            <w:vAlign w:val="center"/>
          </w:tcPr>
          <w:p>
            <w:pPr>
              <w:rPr>
                <w:rFonts w:ascii="Calibri" w:hAnsi="Calibri" w:cs="Calibri"/>
              </w:rPr>
              <w:jc w:val="right"/>
            </w:pPr>
            <w:r>
              <w:rPr>
                <w:rFonts w:ascii="Calibri" w:hAnsi="Calibri" w:cs="Calibri"/>
              </w:rPr>
              <w:t>Organisation:</w:t>
            </w:r>
          </w:p>
        </w:tc>
        <w:tc>
          <w:tcPr>
            <w:tcW w:type="pct" w:w="2860"/>
            <w:vAlign w:val="center"/>
          </w:tcPr>
          <w:p>
            <w:pPr>
              <w:rPr>
                <w:rFonts w:cs="Arial"/>
              </w:rPr>
            </w:pPr>
            <w:r>
              <w:rPr>
                <w:rFonts w:cs="Arial"/>
              </w:rPr>
              <w:t>Wales &amp; West Utilities Ltd</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Name:</w:t>
            </w:r>
          </w:p>
        </w:tc>
        <w:tc>
          <w:tcPr>
            <w:tcW w:type="pct" w:w="2860"/>
            <w:vAlign w:val="center"/>
          </w:tcPr>
          <w:p>
            <w:pPr>
              <w:rPr>
                <w:rFonts w:cs="Arial"/>
              </w:rPr>
            </w:pPr>
            <w:r>
              <w:rPr>
                <w:rFonts w:cs="Arial"/>
              </w:rPr>
              <w:t>Marina Papathoma</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Email:</w:t>
            </w:r>
          </w:p>
        </w:tc>
        <w:tc>
          <w:tcPr>
            <w:tcW w:type="pct" w:w="2860"/>
            <w:vAlign w:val="center"/>
          </w:tcPr>
          <w:p>
            <w:pPr>
              <w:rPr>
                <w:rFonts w:cs="Arial"/>
              </w:rPr>
            </w:pPr>
            <w:r>
              <w:rPr>
                <w:rFonts w:cs="Arial"/>
              </w:rPr>
              <w:t>Marina.Papathoma@wwutilities.co.uk</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Telephone:</w:t>
            </w:r>
          </w:p>
        </w:tc>
        <w:tc>
          <w:tcPr>
            <w:tcW w:type="pct" w:w="2860"/>
            <w:vAlign w:val="center"/>
          </w:tcPr>
          <w:p>
            <w:pPr>
              <w:rPr>
                <w:rFonts w:cs="Arial"/>
              </w:rPr>
            </w:pPr>
            <w:r>
              <w:rPr>
                <w:rFonts w:cs="Arial"/>
              </w:rPr>
              <w:t>07977569318</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Customer decision on Change Pack:</w:t>
            </w:r>
          </w:p>
        </w:tc>
        <w:tc>
          <w:tcPr>
            <w:tcW w:type="pct" w:w="3777"/>
            <w:vAlign w:val="center"/>
            <w:gridSpan w:val="2"/>
          </w:tcPr>
          <w:p>
            <w:pPr>
              <w:rPr>
                <w:rFonts w:cs="Arial"/>
              </w:rPr>
            </w:pPr>
            <w:r>
              <w:rPr>
                <w:rFonts w:cs="Arial"/>
              </w:rPr>
              <w:t>defer</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Commercial impacts:</w:t>
            </w:r>
          </w:p>
        </w:tc>
        <w:tc>
          <w:tcPr>
            <w:tcW w:type="pct" w:w="3777"/>
            <w:vAlign w:val="center"/>
            <w:gridSpan w:val="2"/>
          </w:tcPr>
          <w:p>
            <w:pPr>
              <w:rPr>
                <w:rFonts w:cs="Arial"/>
              </w:rPr>
            </w:pPr>
            <w:r>
              <w:rPr>
                <w:rFonts w:cs="Arial"/>
              </w:rPr>
              <w:t>N/A</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Representation Publication:</w:t>
            </w:r>
          </w:p>
        </w:tc>
        <w:tc>
          <w:tcPr>
            <w:tcW w:type="pct" w:w="3777"/>
            <w:vAlign w:val="center"/>
            <w:gridSpan w:val="2"/>
          </w:tcPr>
          <w:p>
            <w:pPr>
              <w:rPr>
                <w:rFonts w:cs="Arial"/>
              </w:rPr>
            </w:pPr>
            <w:r>
              <w:rPr>
                <w:rFonts w:cs="Arial"/>
              </w:rPr>
              <w:t>Publish</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Representation Comments:</w:t>
            </w:r>
          </w:p>
        </w:tc>
        <w:tc>
          <w:tcPr>
            <w:tcW w:type="pct" w:w="3777"/>
            <w:vAlign w:val="center"/>
            <w:gridSpan w:val="2"/>
          </w:tcPr>
          <w:p>
            <w:pPr>
              <w:rPr>
                <w:rFonts w:cs="Arial"/>
              </w:rPr>
            </w:pPr>
            <w:r>
              <w:rPr>
                <w:rFonts w:cs="Arial"/>
              </w:rPr>
              <w:t>After internal review we are unable to support any of the three proposed suggestions as part of the Equitability Review. While we acknowledge the intent behind the review, we believe the proposed suggestions do not reflect the realities of service usage or the structural differences among customer groups. Specifically, we disagree with the New Service Area PAFA/PAC/AUGE added in all three suggestions and our suggestion is that Xoserve keeps the current service area structure and customer allocations.</w:t>
            </w:r>
            <w:r>
              <w:rPr>
                <w:rFonts w:cs="Arial"/>
              </w:rPr>
              <w:br w:type="textWrapping"/>
            </w:r>
            <w:r>
              <w:rPr>
                <w:rFonts w:cs="Arial"/>
              </w:rPr>
              <w:t>Below we outline the key reasons for our decision:</w:t>
            </w:r>
            <w:r>
              <w:rPr>
                <w:rFonts w:cs="Arial"/>
              </w:rPr>
              <w:br w:type="textWrapping"/>
            </w:r>
            <w:r>
              <w:rPr>
                <w:rFonts w:cs="Arial"/>
              </w:rPr>
              <w:br w:type="textWrapping"/>
            </w:r>
            <w:r>
              <w:rPr>
                <w:rFonts w:cs="Arial"/>
              </w:rPr>
              <w:t>1.</w:t>
            </w:r>
            <w:r>
              <w:rPr>
                <w:rFonts w:cs="Arial"/>
              </w:rPr>
              <w:tab/>
            </w:r>
            <w:r>
              <w:rPr>
                <w:rFonts w:cs="Arial"/>
              </w:rPr>
              <w:t>Disproportionate Cost Allocation: The new service area for PAFA/PAC/AUGE added in all three suggestions proposes a split which does not accurately reflect actual usage or benefit derived amongst customer constituencies. DN Operators do not utilise AUGE at all as UIG is strictly for the customer group of shippers (DNOs may cause some UIG but it is different). Also, PAFA/PAC are focused in settlement accuracy services which mostly concerns the customer group of shippers too. Yet the current proposal requires DNOs to bear a significant proportion of 44% of the cost for the service area covering PAFA/PAC/AUGE. This is neither equitable nor reflective of service consumption.</w:t>
            </w:r>
            <w:r>
              <w:rPr>
                <w:rFonts w:cs="Arial"/>
              </w:rPr>
              <w:br w:type="textWrapping"/>
            </w:r>
            <w:r>
              <w:rPr>
                <w:rFonts w:cs="Arial"/>
              </w:rPr>
              <w:br w:type="textWrapping"/>
            </w:r>
            <w:r>
              <w:rPr>
                <w:rFonts w:cs="Arial"/>
              </w:rPr>
              <w:t>2.</w:t>
            </w:r>
            <w:r>
              <w:rPr>
                <w:rFonts w:cs="Arial"/>
              </w:rPr>
              <w:tab/>
            </w:r>
            <w:r>
              <w:rPr>
                <w:rFonts w:cs="Arial"/>
              </w:rPr>
              <w:t>Misalignment with Voting and Representation: Following from the point above, the Performance Assurance Committee has 3 transporter members of which two are DN operator members in the governance structure, whereas shippers have significantly more influence with nine votes. The current cost allocation does not account for this disparity, effectively placing a disproportionate financial burden on a constituency with less say in outcomes and use of service.   The reduction in transporter representation and the separation into constituencies was introduced in recognition that Shippers were primarily involved with PAC.  Changing the cost allocation to 50/50 is contrary to the logic of changing the PAC voting arrangements.  PAFA cost allocation should be aligned with PAC cost allocation.</w:t>
            </w:r>
            <w:r>
              <w:rPr>
                <w:rFonts w:cs="Arial"/>
              </w:rPr>
              <w:br w:type="textWrapping"/>
            </w:r>
            <w:r>
              <w:rPr>
                <w:rFonts w:cs="Arial"/>
              </w:rPr>
              <w:br w:type="textWrapping"/>
            </w:r>
            <w:r>
              <w:rPr>
                <w:rFonts w:cs="Arial"/>
              </w:rPr>
              <w:t>Our suggestion for this service area is for a split of cost that represents  the service consumption and/or the governance for decision making.</w:t>
            </w:r>
            <w:r>
              <w:rPr>
                <w:rFonts w:cs="Arial"/>
              </w:rPr>
              <w:br w:type="textWrapping"/>
            </w:r>
            <w:r>
              <w:rPr>
                <w:rFonts w:cs="Arial"/>
              </w:rPr>
              <w:br w:type="textWrapping"/>
            </w:r>
            <w:r>
              <w:rPr>
                <w:rFonts w:cs="Arial"/>
              </w:rPr>
              <w:t xml:space="preserve">An equitable cost sharing model should be based on actual usage or proportional benefit. Since we derive no value from AUGE and only partial use from PAC and PAFA, a usage-based model would be more appropriate. The existing proposal lacks any such differentiation. </w:t>
            </w:r>
            <w:r>
              <w:rPr>
                <w:rFonts w:cs="Arial"/>
              </w:rPr>
              <w:br w:type="textWrapping"/>
            </w:r>
            <w:r>
              <w:rPr>
                <w:rFonts w:cs="Arial"/>
              </w:rPr>
              <w:br w:type="textWrapping"/>
            </w:r>
            <w:r>
              <w:rPr>
                <w:rFonts w:cs="Arial"/>
              </w:rPr>
              <w:t>The proposal treats all constituencies as homogenous where in fact their size, influence and service utilisation differ significantly. A split where we bear 44% of this new service area costs does not reflect the intended achievements for this review:</w:t>
            </w:r>
            <w:r>
              <w:rPr>
                <w:rFonts w:cs="Arial"/>
              </w:rPr>
              <w:br w:type="textWrapping"/>
            </w:r>
            <w:r>
              <w:rPr>
                <w:rFonts w:cs="Arial"/>
              </w:rPr>
              <w:t xml:space="preserve">2) to ensure that customer charges are accurate and equitable and </w:t>
            </w:r>
            <w:r>
              <w:rPr>
                <w:rFonts w:cs="Arial"/>
              </w:rPr>
              <w:br w:type="textWrapping"/>
            </w:r>
            <w:r>
              <w:rPr>
                <w:rFonts w:cs="Arial"/>
              </w:rPr>
              <w:t>3) cost reflective of the services they receive.</w:t>
            </w:r>
            <w:r>
              <w:rPr>
                <w:rFonts w:cs="Arial"/>
              </w:rPr>
              <w:br w:type="textWrapping"/>
            </w:r>
            <w:r>
              <w:rPr>
                <w:rFonts w:cs="Arial"/>
              </w:rPr>
              <w:t>While the stated objective of the review was to enhance transparency and equity, the proposed suggestions fall short of these goals.</w:t>
            </w:r>
            <w:r>
              <w:rPr>
                <w:rFonts w:cs="Arial"/>
              </w:rPr>
              <w:br w:type="textWrapping"/>
            </w:r>
            <w:r>
              <w:rPr>
                <w:rFonts w:cs="Arial"/>
              </w:rPr>
              <w:br w:type="textWrapping"/>
            </w:r>
            <w:r>
              <w:rPr>
                <w:rFonts w:cs="Arial"/>
              </w:rPr>
              <w:t xml:space="preserve">We remain committed to engaging constructively in future discussions and welcome the opportunity to work collaboratively on a revised model. As we cannot support any of the proposals our view is that we should retain the current model of cost allocation. </w:t>
            </w:r>
            <w:r>
              <w:rPr>
                <w:rFonts w:cs="Arial"/>
              </w:rPr>
              <w:br w:type="textWrapping"/>
            </w:r>
          </w:p>
        </w:tc>
      </w:tr>
    </w:tbl>
    <w:p>
      <w:pPr/>
    </w:p>
    <w:p>
      <w:pPr>
        <w:rPr>
          <w:rFonts w:ascii="Calibri" w:hAnsi="Calibri" w:cs="Calibri"/>
        </w:rPr>
        <w:pStyle w:val="heading 1"/>
      </w:pPr>
      <w:r>
        <w:rPr>
          <w:rFonts w:ascii="Calibri" w:hAnsi="Calibri" w:cs="Calibri"/>
        </w:rPr>
        <w:t xml:space="preserve">Xoserve’ s Response </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663"/>
        </w:trPr>
        <w:tc>
          <w:tcPr>
            <w:shd w:val="clear" w:fill="B3EDFB"/>
            <w:tcW w:type="pct" w:w="1223"/>
            <w:vAlign w:val="center"/>
          </w:tcPr>
          <w:p>
            <w:pPr>
              <w:rPr>
                <w:rFonts w:ascii="Calibri" w:hAnsi="Calibri" w:cs="Calibri"/>
              </w:rPr>
              <w:jc w:val="right"/>
            </w:pPr>
            <w:r>
              <w:rPr>
                <w:rFonts w:ascii="Calibri" w:hAnsi="Calibri" w:cs="Calibri"/>
              </w:rPr>
              <w:t>Xoserve Response to Organisations Comments:</w:t>
            </w:r>
          </w:p>
        </w:tc>
        <w:tc>
          <w:tcPr>
            <w:tcW w:type="pct" w:w="3777"/>
            <w:vAlign w:val="center"/>
          </w:tcPr>
          <w:p>
            <w:pPr>
              <w:rPr>
                <w:rFonts w:cs="Arial"/>
              </w:rPr>
            </w:pPr>
            <w:r>
              <w:rPr>
                <w:rFonts w:cs="Arial"/>
              </w:rPr>
              <w:t>Thank you for your feedback which we have noted and I can confirm that this will be fed into the Equitability Review agenda item for discussion at CoMC on 20th August.</w:t>
            </w:r>
          </w:p>
        </w:tc>
      </w:tr>
    </w:tbl>
    <w:p>
      <w:pPr/>
    </w:p>
    <w:p>
      <w:pPr>
        <w:rPr>
          <w:rFonts w:ascii="Calibri" w:hAnsi="Calibri" w:cs="Calibri"/>
        </w:rPr>
      </w:pPr>
      <w:r>
        <w:rPr>
          <w:rFonts w:ascii="Calibri" w:hAnsi="Calibri" w:cs="Calibri"/>
        </w:rPr>
        <w:t xml:space="preserve">Please send the completed representation response to </w:t>
      </w:r>
      <w:hyperlink r:id="Rdd8a8d80e63440a3">
        <w:r>
          <w:rPr>
            <w:rStyle w:val="Hyperlink"/>
            <w:rFonts w:ascii="Calibri" w:hAnsi="Calibri" w:cs="Calibri"/>
          </w:rPr>
          <w:t>uklink@xoserve.com</w:t>
        </w:r>
      </w:hyperlink>
      <w:r>
        <w:rPr>
          <w:rFonts w:ascii="Calibri" w:hAnsi="Calibri" w:cs="Calibri"/>
        </w:rPr>
        <w:t xml:space="preserve"> </w:t>
      </w:r>
    </w:p>
    <w:p>
      <w:pPr/>
    </w:p>
    <w:p>
      <w:pPr>
        <w:rPr>
          <w:rFonts w:ascii="Calibri" w:hAnsi="Calibri" w:cs="Calibri"/>
        </w:rPr>
      </w:pPr>
      <w:r>
        <w:br w:type="textWrapping"/>
      </w:r>
      <w:r>
        <w:br w:type="textWrapping"/>
      </w:r>
      <w:r>
        <w:rPr>
          <w:rStyle w:val="Heading 1 Char"/>
          <w:rFonts w:ascii="Calibri" w:hAnsi="Calibri" w:cs="Calibri"/>
        </w:rPr>
        <w:t>Change Representation</w:t>
      </w:r>
      <w:r>
        <w:rPr>
          <w:rFonts w:ascii="Calibri" w:hAnsi="Calibri" w:cs="Calibri"/>
        </w:rPr>
        <w:t xml:space="preserve"> </w:t>
      </w:r>
    </w:p>
    <w:p>
      <w:pPr>
        <w:rPr>
          <w:rFonts w:ascii="Calibri" w:hAnsi="Calibri" w:cs="Calibri"/>
        </w:rPr>
      </w:pPr>
      <w:r>
        <w:rPr>
          <w:rFonts w:ascii="Calibri" w:hAnsi="Calibri" w:cs="Calibri"/>
        </w:rPr>
        <w:t>(To be completed by User and returned for response)</w:t>
      </w:r>
    </w:p>
    <w:p>
      <w:pPr>
        <w:rPr>
          <w:color w:val="auto"/>
          <w:rFonts w:ascii="Calibri" w:hAnsi="Calibri" w:cs="Calibri"/>
          <w:i w:val="1"/>
          <w:iCs w:val="1"/>
          <w:sz w:val="22"/>
          <w:szCs w:val="22"/>
        </w:rPr>
        <w:pStyle w:val="heading 1"/>
      </w:pPr>
      <w:r>
        <w:rPr>
          <w:color w:val="auto"/>
          <w:rFonts w:ascii="Calibri" w:hAnsi="Calibri" w:cs="Calibri"/>
          <w:i w:val="1"/>
          <w:iCs w:val="1"/>
          <w:sz w:val="22"/>
          <w:szCs w:val="22"/>
        </w:rPr>
        <w:t>Please consider any commercial impacts to your organisation that Xoserve need to be aware of when formulating your response</w:t>
      </w:r>
    </w:p>
    <w:p>
      <w:pPr>
        <w:rPr>
          <w:rFonts w:ascii="Calibri" w:hAnsi="Calibri" w:cs="Calibri"/>
        </w:rPr>
      </w:pPr>
    </w:p>
    <w:tbl>
      <w:tblPr>
        <w:tblStyle w:val="Table Grid"/>
        <w:tblLayout w:type="fixed"/>
        <w:tblInd w:type="dxa" w:w="-34"/>
        <w:tblW w:type="pct" w:w="5018"/>
        <w:tblLook w:firstColumn="1" w:firstRow="1" w:lastColumn="0" w:lastRow="0" w:noHBand="0" w:noVBand="1"/>
      </w:tblPr>
      <w:tblGrid>
        <w:gridCol w:w="2566"/>
        <w:gridCol w:w="1925"/>
        <w:gridCol w:w="6003"/>
      </w:tblGrid>
      <w:tr>
        <w:trPr>
          <w:trHeight w:hRule="atLeast" w:val="403"/>
        </w:trPr>
        <w:tc>
          <w:tcPr>
            <w:shd w:val="clear" w:fill="B3EDFB"/>
            <w:tcW w:type="pct" w:w="1223"/>
            <w:vAlign w:val="center"/>
            <w:vMerge w:val="restart"/>
          </w:tcPr>
          <w:p>
            <w:pPr>
              <w:rPr>
                <w:rFonts w:ascii="Calibri" w:hAnsi="Calibri" w:cs="Calibri"/>
              </w:rPr>
              <w:jc w:val="right"/>
            </w:pPr>
            <w:r>
              <w:rPr>
                <w:rFonts w:ascii="Calibri" w:hAnsi="Calibri" w:cs="Calibri"/>
              </w:rPr>
              <w:t>User Contact Details:</w:t>
            </w:r>
          </w:p>
        </w:tc>
        <w:tc>
          <w:tcPr>
            <w:shd w:val="clear" w:fill="B3EDFB"/>
            <w:tcW w:type="pct" w:w="917"/>
            <w:vAlign w:val="center"/>
          </w:tcPr>
          <w:p>
            <w:pPr>
              <w:rPr>
                <w:rFonts w:ascii="Calibri" w:hAnsi="Calibri" w:cs="Calibri"/>
              </w:rPr>
              <w:jc w:val="right"/>
            </w:pPr>
            <w:r>
              <w:rPr>
                <w:rFonts w:ascii="Calibri" w:hAnsi="Calibri" w:cs="Calibri"/>
              </w:rPr>
              <w:t>Organisation:</w:t>
            </w:r>
          </w:p>
        </w:tc>
        <w:tc>
          <w:tcPr>
            <w:tcW w:type="pct" w:w="2860"/>
            <w:vAlign w:val="center"/>
          </w:tcPr>
          <w:p>
            <w:pPr>
              <w:rPr>
                <w:rFonts w:cs="Arial"/>
              </w:rPr>
            </w:pPr>
            <w:r>
              <w:rPr>
                <w:rFonts w:cs="Arial"/>
              </w:rPr>
              <w:t xml:space="preserve">Northern Gas Networks </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Name:</w:t>
            </w:r>
          </w:p>
        </w:tc>
        <w:tc>
          <w:tcPr>
            <w:tcW w:type="pct" w:w="2860"/>
            <w:vAlign w:val="center"/>
          </w:tcPr>
          <w:p>
            <w:pPr>
              <w:rPr>
                <w:rFonts w:cs="Arial"/>
              </w:rPr>
            </w:pPr>
            <w:r>
              <w:rPr>
                <w:rFonts w:cs="Arial"/>
              </w:rPr>
              <w:t>Helen Chandler</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Email:</w:t>
            </w:r>
          </w:p>
        </w:tc>
        <w:tc>
          <w:tcPr>
            <w:tcW w:type="pct" w:w="2860"/>
            <w:vAlign w:val="center"/>
          </w:tcPr>
          <w:p>
            <w:pPr>
              <w:rPr>
                <w:rFonts w:cs="Arial"/>
              </w:rPr>
            </w:pPr>
            <w:r>
              <w:rPr>
                <w:rFonts w:cs="Arial"/>
              </w:rPr>
              <w:t>hchandler@northerngas.co.uk</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Telephone:</w:t>
            </w:r>
          </w:p>
        </w:tc>
        <w:tc>
          <w:tcPr>
            <w:tcW w:type="pct" w:w="2860"/>
            <w:vAlign w:val="center"/>
          </w:tcPr>
          <w:p>
            <w:pPr>
              <w:rPr>
                <w:rFonts w:cs="Arial"/>
              </w:rPr>
            </w:pPr>
            <w:r>
              <w:rPr>
                <w:rFonts w:cs="Arial"/>
              </w:rPr>
              <w:t>07580704123</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Customer decision on Change Pack:</w:t>
            </w:r>
          </w:p>
        </w:tc>
        <w:tc>
          <w:tcPr>
            <w:tcW w:type="pct" w:w="3777"/>
            <w:vAlign w:val="center"/>
            <w:gridSpan w:val="2"/>
          </w:tcPr>
          <w:p>
            <w:pPr>
              <w:rPr>
                <w:rFonts w:cs="Arial"/>
              </w:rPr>
            </w:pPr>
            <w:r>
              <w:rPr>
                <w:rFonts w:cs="Arial"/>
              </w:rPr>
              <w:t>defer</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Representation Publication:</w:t>
            </w:r>
          </w:p>
        </w:tc>
        <w:tc>
          <w:tcPr>
            <w:tcW w:type="pct" w:w="3777"/>
            <w:vAlign w:val="center"/>
            <w:gridSpan w:val="2"/>
          </w:tcPr>
          <w:p>
            <w:pPr>
              <w:rPr>
                <w:rFonts w:cs="Arial"/>
              </w:rPr>
            </w:pPr>
            <w:r>
              <w:rPr>
                <w:rFonts w:cs="Arial"/>
              </w:rPr>
              <w:t>Publish</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Representation Comments:</w:t>
            </w:r>
          </w:p>
        </w:tc>
        <w:tc>
          <w:tcPr>
            <w:tcW w:type="pct" w:w="3777"/>
            <w:vAlign w:val="center"/>
            <w:gridSpan w:val="2"/>
          </w:tcPr>
          <w:p>
            <w:pPr>
              <w:rPr>
                <w:rFonts w:cs="Arial"/>
              </w:rPr>
            </w:pPr>
            <w:r>
              <w:rPr>
                <w:rFonts w:cs="Arial"/>
              </w:rPr>
              <w:t xml:space="preserve">While we agree with the need to review the service lines and make reasonable adjustments to the funding splits to accuratley reflect industry, we dont not agree with the funding split for the new service line for PAC/PAFA/AUGE. They have not previoulsy been funded by DNs and the new proposed funding split does not reflect who uses the service. </w:t>
            </w:r>
          </w:p>
        </w:tc>
      </w:tr>
    </w:tbl>
    <w:p>
      <w:pPr/>
    </w:p>
    <w:p>
      <w:pPr>
        <w:rPr>
          <w:rFonts w:ascii="Calibri" w:hAnsi="Calibri" w:cs="Calibri"/>
        </w:rPr>
        <w:pStyle w:val="heading 1"/>
      </w:pPr>
      <w:r>
        <w:rPr>
          <w:rFonts w:ascii="Calibri" w:hAnsi="Calibri" w:cs="Calibri"/>
        </w:rPr>
        <w:t xml:space="preserve">Xoserve’ s Response </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663"/>
        </w:trPr>
        <w:tc>
          <w:tcPr>
            <w:shd w:val="clear" w:fill="B3EDFB"/>
            <w:tcW w:type="pct" w:w="1223"/>
            <w:vAlign w:val="center"/>
          </w:tcPr>
          <w:p>
            <w:pPr>
              <w:rPr>
                <w:rFonts w:ascii="Calibri" w:hAnsi="Calibri" w:cs="Calibri"/>
              </w:rPr>
              <w:jc w:val="right"/>
            </w:pPr>
            <w:r>
              <w:rPr>
                <w:rFonts w:ascii="Calibri" w:hAnsi="Calibri" w:cs="Calibri"/>
              </w:rPr>
              <w:t>Xoserve Response to Organisations Comments:</w:t>
            </w:r>
          </w:p>
        </w:tc>
        <w:tc>
          <w:tcPr>
            <w:tcW w:type="pct" w:w="3777"/>
            <w:vAlign w:val="center"/>
          </w:tcPr>
          <w:p>
            <w:pPr>
              <w:rPr>
                <w:rFonts w:cs="Arial"/>
              </w:rPr>
            </w:pPr>
            <w:r>
              <w:rPr>
                <w:rFonts w:cs="Arial"/>
              </w:rPr>
              <w:t>Thank you for your feedback which we have noted and I can confirm that this will be fed into the Equitability Review agenda item for discussion at CoMC on 20th August.</w:t>
            </w:r>
          </w:p>
        </w:tc>
      </w:tr>
    </w:tbl>
    <w:p>
      <w:pPr/>
    </w:p>
    <w:p>
      <w:pPr>
        <w:rPr>
          <w:rFonts w:ascii="Calibri" w:hAnsi="Calibri" w:cs="Calibri"/>
        </w:rPr>
      </w:pPr>
      <w:r>
        <w:rPr>
          <w:rFonts w:ascii="Calibri" w:hAnsi="Calibri" w:cs="Calibri"/>
        </w:rPr>
        <w:t xml:space="preserve">Please send the completed representation response to </w:t>
      </w:r>
      <w:hyperlink r:id="R42e2cc1565ff4b86">
        <w:r>
          <w:rPr>
            <w:rStyle w:val="Hyperlink"/>
            <w:rFonts w:ascii="Calibri" w:hAnsi="Calibri" w:cs="Calibri"/>
          </w:rPr>
          <w:t>uklink@xoserve.com</w:t>
        </w:r>
      </w:hyperlink>
      <w:r>
        <w:rPr>
          <w:rFonts w:ascii="Calibri" w:hAnsi="Calibri" w:cs="Calibri"/>
        </w:rPr>
        <w:t xml:space="preserve"> </w:t>
      </w:r>
    </w:p>
    <w:p>
      <w:pPr/>
    </w:p>
    <w:p>
      <w:pPr>
        <w:rPr>
          <w:rFonts w:ascii="Calibri" w:hAnsi="Calibri" w:cs="Calibri"/>
        </w:rPr>
      </w:pPr>
      <w:r>
        <w:br w:type="textWrapping"/>
      </w:r>
      <w:r>
        <w:br w:type="textWrapping"/>
      </w:r>
      <w:r>
        <w:rPr>
          <w:rStyle w:val="Heading 1 Char"/>
          <w:rFonts w:ascii="Calibri" w:hAnsi="Calibri" w:cs="Calibri"/>
        </w:rPr>
        <w:t>Change Representation</w:t>
      </w:r>
      <w:r>
        <w:rPr>
          <w:rFonts w:ascii="Calibri" w:hAnsi="Calibri" w:cs="Calibri"/>
        </w:rPr>
        <w:t xml:space="preserve"> </w:t>
      </w:r>
    </w:p>
    <w:p>
      <w:pPr>
        <w:rPr>
          <w:rFonts w:ascii="Calibri" w:hAnsi="Calibri" w:cs="Calibri"/>
        </w:rPr>
      </w:pPr>
      <w:r>
        <w:rPr>
          <w:rFonts w:ascii="Calibri" w:hAnsi="Calibri" w:cs="Calibri"/>
        </w:rPr>
        <w:t>(To be completed by User and returned for response)</w:t>
      </w:r>
    </w:p>
    <w:p>
      <w:pPr>
        <w:rPr>
          <w:color w:val="auto"/>
          <w:rFonts w:ascii="Calibri" w:hAnsi="Calibri" w:cs="Calibri"/>
          <w:i w:val="1"/>
          <w:iCs w:val="1"/>
          <w:sz w:val="22"/>
          <w:szCs w:val="22"/>
        </w:rPr>
        <w:pStyle w:val="heading 1"/>
      </w:pPr>
      <w:r>
        <w:rPr>
          <w:color w:val="auto"/>
          <w:rFonts w:ascii="Calibri" w:hAnsi="Calibri" w:cs="Calibri"/>
          <w:i w:val="1"/>
          <w:iCs w:val="1"/>
          <w:sz w:val="22"/>
          <w:szCs w:val="22"/>
        </w:rPr>
        <w:t>Please consider any commercial impacts to your organisation that Xoserve need to be aware of when formulating your response</w:t>
      </w:r>
    </w:p>
    <w:p>
      <w:pPr>
        <w:rPr>
          <w:rFonts w:ascii="Calibri" w:hAnsi="Calibri" w:cs="Calibri"/>
        </w:rPr>
      </w:pPr>
    </w:p>
    <w:tbl>
      <w:tblPr>
        <w:tblStyle w:val="Table Grid"/>
        <w:tblLayout w:type="fixed"/>
        <w:tblInd w:type="dxa" w:w="-34"/>
        <w:tblW w:type="pct" w:w="5018"/>
        <w:tblLook w:firstColumn="1" w:firstRow="1" w:lastColumn="0" w:lastRow="0" w:noHBand="0" w:noVBand="1"/>
      </w:tblPr>
      <w:tblGrid>
        <w:gridCol w:w="2566"/>
        <w:gridCol w:w="1925"/>
        <w:gridCol w:w="6003"/>
      </w:tblGrid>
      <w:tr>
        <w:trPr>
          <w:trHeight w:hRule="atLeast" w:val="403"/>
        </w:trPr>
        <w:tc>
          <w:tcPr>
            <w:shd w:val="clear" w:fill="B3EDFB"/>
            <w:tcW w:type="pct" w:w="1223"/>
            <w:vAlign w:val="center"/>
            <w:vMerge w:val="restart"/>
          </w:tcPr>
          <w:p>
            <w:pPr>
              <w:rPr>
                <w:rFonts w:ascii="Calibri" w:hAnsi="Calibri" w:cs="Calibri"/>
              </w:rPr>
              <w:jc w:val="right"/>
            </w:pPr>
            <w:r>
              <w:rPr>
                <w:rFonts w:ascii="Calibri" w:hAnsi="Calibri" w:cs="Calibri"/>
              </w:rPr>
              <w:t>User Contact Details:</w:t>
            </w:r>
          </w:p>
        </w:tc>
        <w:tc>
          <w:tcPr>
            <w:shd w:val="clear" w:fill="B3EDFB"/>
            <w:tcW w:type="pct" w:w="917"/>
            <w:vAlign w:val="center"/>
          </w:tcPr>
          <w:p>
            <w:pPr>
              <w:rPr>
                <w:rFonts w:ascii="Calibri" w:hAnsi="Calibri" w:cs="Calibri"/>
              </w:rPr>
              <w:jc w:val="right"/>
            </w:pPr>
            <w:r>
              <w:rPr>
                <w:rFonts w:ascii="Calibri" w:hAnsi="Calibri" w:cs="Calibri"/>
              </w:rPr>
              <w:t>Organisation:</w:t>
            </w:r>
          </w:p>
        </w:tc>
        <w:tc>
          <w:tcPr>
            <w:tcW w:type="pct" w:w="2860"/>
            <w:vAlign w:val="center"/>
          </w:tcPr>
          <w:p>
            <w:pPr>
              <w:rPr>
                <w:rFonts w:cs="Arial"/>
              </w:rPr>
            </w:pPr>
            <w:r>
              <w:rPr>
                <w:rFonts w:cs="Arial"/>
              </w:rPr>
              <w:t>SGN</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Name:</w:t>
            </w:r>
          </w:p>
        </w:tc>
        <w:tc>
          <w:tcPr>
            <w:tcW w:type="pct" w:w="2860"/>
            <w:vAlign w:val="center"/>
          </w:tcPr>
          <w:p>
            <w:pPr>
              <w:rPr>
                <w:rFonts w:cs="Arial"/>
              </w:rPr>
            </w:pPr>
            <w:r>
              <w:rPr>
                <w:rFonts w:cs="Arial"/>
              </w:rPr>
              <w:t>Sally Hardman</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Email:</w:t>
            </w:r>
          </w:p>
        </w:tc>
        <w:tc>
          <w:tcPr>
            <w:tcW w:type="pct" w:w="2860"/>
            <w:vAlign w:val="center"/>
          </w:tcPr>
          <w:p>
            <w:pPr>
              <w:rPr>
                <w:rFonts w:cs="Arial"/>
              </w:rPr>
            </w:pPr>
            <w:r>
              <w:rPr>
                <w:rFonts w:cs="Arial"/>
              </w:rPr>
              <w:t>sally.hardman@sgn.co.uk</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Telephone:</w:t>
            </w:r>
          </w:p>
        </w:tc>
        <w:tc>
          <w:tcPr>
            <w:tcW w:type="pct" w:w="2860"/>
            <w:vAlign w:val="center"/>
          </w:tcPr>
          <w:p>
            <w:pPr>
              <w:rPr>
                <w:rFonts w:cs="Arial"/>
              </w:rPr>
            </w:pPr>
            <w:r>
              <w:rPr>
                <w:rFonts w:cs="Arial"/>
              </w:rPr>
              <w:t>07970019027</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Customer decision on Change Pack:</w:t>
            </w:r>
          </w:p>
        </w:tc>
        <w:tc>
          <w:tcPr>
            <w:tcW w:type="pct" w:w="3777"/>
            <w:vAlign w:val="center"/>
            <w:gridSpan w:val="2"/>
          </w:tcPr>
          <w:p>
            <w:pPr>
              <w:rPr>
                <w:rFonts w:cs="Arial"/>
              </w:rPr>
            </w:pPr>
            <w:r>
              <w:rPr>
                <w:rFonts w:cs="Arial"/>
              </w:rPr>
              <w:t>reject</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Commercial impacts:</w:t>
            </w:r>
          </w:p>
        </w:tc>
        <w:tc>
          <w:tcPr>
            <w:tcW w:type="pct" w:w="3777"/>
            <w:vAlign w:val="center"/>
            <w:gridSpan w:val="2"/>
          </w:tcPr>
          <w:p>
            <w:pPr>
              <w:rPr>
                <w:rFonts w:cs="Arial"/>
              </w:rPr>
            </w:pPr>
            <w:r>
              <w:rPr>
                <w:rFonts w:cs="Arial"/>
              </w:rPr>
              <w:t>Limited due to Gas Transporters Data Services Contract (DSC) Funding allocation by Ofgem as pass-through.</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Representation Publication:</w:t>
            </w:r>
          </w:p>
        </w:tc>
        <w:tc>
          <w:tcPr>
            <w:tcW w:type="pct" w:w="3777"/>
            <w:vAlign w:val="center"/>
            <w:gridSpan w:val="2"/>
          </w:tcPr>
          <w:p>
            <w:pPr>
              <w:rPr>
                <w:rFonts w:cs="Arial"/>
              </w:rPr>
            </w:pPr>
            <w:r>
              <w:rPr>
                <w:rFonts w:cs="Arial"/>
              </w:rPr>
              <w:t>Publish</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Representation Comments:</w:t>
            </w:r>
          </w:p>
        </w:tc>
        <w:tc>
          <w:tcPr>
            <w:tcW w:type="pct" w:w="3777"/>
            <w:vAlign w:val="center"/>
            <w:gridSpan w:val="2"/>
          </w:tcPr>
          <w:p>
            <w:pPr>
              <w:rPr>
                <w:rFonts w:cs="Arial"/>
              </w:rPr>
            </w:pPr>
            <w:r>
              <w:rPr>
                <w:rFonts w:cs="Arial"/>
              </w:rPr>
              <w:t xml:space="preserve">SGN does not support any of the three options provided. We believe that all options do not provide the equitability sort by the overarching review. </w:t>
            </w:r>
            <w:r>
              <w:rPr>
                <w:rFonts w:cs="Arial"/>
              </w:rPr>
              <w:br w:type="textWrapping"/>
            </w:r>
            <w:r>
              <w:rPr>
                <w:rFonts w:cs="Arial"/>
              </w:rPr>
              <w:br w:type="textWrapping"/>
            </w:r>
            <w:r>
              <w:rPr>
                <w:rFonts w:cs="Arial"/>
              </w:rPr>
              <w:t>Based on the options provided we have set out below our concerns and comments:</w:t>
            </w:r>
            <w:r>
              <w:rPr>
                <w:rFonts w:cs="Arial"/>
              </w:rPr>
              <w:br w:type="textWrapping"/>
            </w:r>
            <w:r>
              <w:rPr>
                <w:rFonts w:cs="Arial"/>
              </w:rPr>
              <w:t xml:space="preserve">We note that there is an error in the information provided in 3a/b CDSP Budget and Charging Methodology under Service Line 8 Lifecycle Maintenance previously Joiners/Leavers (UK Gas Market) shifting 50% of the cost from National Gas to Shippers. </w:t>
            </w:r>
            <w:r>
              <w:rPr>
                <w:rFonts w:cs="Arial"/>
              </w:rPr>
              <w:br w:type="textWrapping"/>
            </w:r>
            <w:r>
              <w:rPr>
                <w:rFonts w:cs="Arial"/>
              </w:rPr>
              <w:t>In our view Options 1 to 3 provide increased levels of transparency to which we are supportive.  The only significant change we have identified is in relation to the apportionment/equitability of charging in relation to the grouping of a new service line for PAFA/PAC/AUGE which has been apportioned exclusively on meter points and not that of beneficiaries or processes to the services provided. This deviates from the current application of cost apportionment that is tried and tested for new and existing services provided under the DSC arrangements.</w:t>
            </w:r>
            <w:r>
              <w:rPr>
                <w:rFonts w:cs="Arial"/>
              </w:rPr>
              <w:br w:type="textWrapping"/>
            </w:r>
            <w:r>
              <w:rPr>
                <w:rFonts w:cs="Arial"/>
              </w:rPr>
              <w:t>We are mindful that within the previous review in 2020 and this review most of the services have seen minimal or no change to the existing equitability of cost apportionment therefore indicating that the core beneficiaries/processes remain unchanged.</w:t>
            </w:r>
            <w:r>
              <w:rPr>
                <w:rFonts w:cs="Arial"/>
              </w:rPr>
              <w:br w:type="textWrapping"/>
            </w:r>
            <w:r>
              <w:rPr>
                <w:rFonts w:cs="Arial"/>
              </w:rPr>
              <w:t>We fundamentally disagree with the grouping of PAC/PAFA and AUGE services across all the options presented as we do not perceive this as equitable in relation to the core purpose of the services they provide to DSC Customers. The process applied by grouping these services and the cost apportionments is not reflective and therefore ultimately flawed.</w:t>
            </w:r>
          </w:p>
        </w:tc>
      </w:tr>
    </w:tbl>
    <w:p>
      <w:pPr/>
    </w:p>
    <w:p>
      <w:pPr>
        <w:rPr>
          <w:rFonts w:ascii="Calibri" w:hAnsi="Calibri" w:cs="Calibri"/>
        </w:rPr>
        <w:pStyle w:val="heading 1"/>
      </w:pPr>
      <w:r>
        <w:rPr>
          <w:rFonts w:ascii="Calibri" w:hAnsi="Calibri" w:cs="Calibri"/>
        </w:rPr>
        <w:t xml:space="preserve">Xoserve’ s Response </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663"/>
        </w:trPr>
        <w:tc>
          <w:tcPr>
            <w:shd w:val="clear" w:fill="B3EDFB"/>
            <w:tcW w:type="pct" w:w="1223"/>
            <w:vAlign w:val="center"/>
          </w:tcPr>
          <w:p>
            <w:pPr>
              <w:rPr>
                <w:rFonts w:ascii="Calibri" w:hAnsi="Calibri" w:cs="Calibri"/>
              </w:rPr>
              <w:jc w:val="right"/>
            </w:pPr>
            <w:r>
              <w:rPr>
                <w:rFonts w:ascii="Calibri" w:hAnsi="Calibri" w:cs="Calibri"/>
              </w:rPr>
              <w:t>Xoserve Response to Organisations Comments:</w:t>
            </w:r>
          </w:p>
        </w:tc>
        <w:tc>
          <w:tcPr>
            <w:tcW w:type="pct" w:w="3777"/>
            <w:vAlign w:val="center"/>
          </w:tcPr>
          <w:p>
            <w:pPr>
              <w:rPr>
                <w:rFonts w:cs="Arial"/>
              </w:rPr>
            </w:pPr>
            <w:r>
              <w:rPr>
                <w:rFonts w:cs="Arial"/>
              </w:rPr>
              <w:t>Thank you for your feedback which we have noted and I can confirm that this will be fed into the Equitability Review agenda item for discussion at CoMC on 20th August.</w:t>
            </w:r>
          </w:p>
        </w:tc>
      </w:tr>
    </w:tbl>
    <w:p>
      <w:pPr/>
    </w:p>
    <w:p>
      <w:pPr>
        <w:rPr>
          <w:rFonts w:ascii="Calibri" w:hAnsi="Calibri" w:cs="Calibri"/>
        </w:rPr>
      </w:pPr>
      <w:r>
        <w:rPr>
          <w:rFonts w:ascii="Calibri" w:hAnsi="Calibri" w:cs="Calibri"/>
        </w:rPr>
        <w:t xml:space="preserve">Please send the completed representation response to </w:t>
      </w:r>
      <w:hyperlink r:id="Rbd18084a32ef4c86">
        <w:r>
          <w:rPr>
            <w:rStyle w:val="Hyperlink"/>
            <w:rFonts w:ascii="Calibri" w:hAnsi="Calibri" w:cs="Calibri"/>
          </w:rPr>
          <w:t>uklink@xoserve.com</w:t>
        </w:r>
      </w:hyperlink>
      <w:r>
        <w:rPr>
          <w:rFonts w:ascii="Calibri" w:hAnsi="Calibri" w:cs="Calibri"/>
        </w:rPr>
        <w:t xml:space="preserve"> </w:t>
      </w:r>
    </w:p>
    <w:p>
      <w:pPr/>
    </w:p>
    <w:p>
      <w:pPr>
        <w:rPr>
          <w:rFonts w:ascii="Calibri" w:hAnsi="Calibri" w:cs="Calibri"/>
        </w:rPr>
      </w:pPr>
      <w:r>
        <w:br w:type="textWrapping"/>
      </w:r>
      <w:r>
        <w:br w:type="textWrapping"/>
      </w:r>
      <w:r>
        <w:rPr>
          <w:rStyle w:val="Heading 1 Char"/>
          <w:rFonts w:ascii="Calibri" w:hAnsi="Calibri" w:cs="Calibri"/>
        </w:rPr>
        <w:t>Change Representation</w:t>
      </w:r>
      <w:r>
        <w:rPr>
          <w:rFonts w:ascii="Calibri" w:hAnsi="Calibri" w:cs="Calibri"/>
        </w:rPr>
        <w:t xml:space="preserve"> </w:t>
      </w:r>
    </w:p>
    <w:p>
      <w:pPr>
        <w:rPr>
          <w:rFonts w:ascii="Calibri" w:hAnsi="Calibri" w:cs="Calibri"/>
        </w:rPr>
      </w:pPr>
      <w:r>
        <w:rPr>
          <w:rFonts w:ascii="Calibri" w:hAnsi="Calibri" w:cs="Calibri"/>
        </w:rPr>
        <w:t>(To be completed by User and returned for response)</w:t>
      </w:r>
    </w:p>
    <w:p>
      <w:pPr>
        <w:rPr>
          <w:color w:val="auto"/>
          <w:rFonts w:ascii="Calibri" w:hAnsi="Calibri" w:cs="Calibri"/>
          <w:i w:val="1"/>
          <w:iCs w:val="1"/>
          <w:sz w:val="22"/>
          <w:szCs w:val="22"/>
        </w:rPr>
        <w:pStyle w:val="heading 1"/>
      </w:pPr>
      <w:r>
        <w:rPr>
          <w:color w:val="auto"/>
          <w:rFonts w:ascii="Calibri" w:hAnsi="Calibri" w:cs="Calibri"/>
          <w:i w:val="1"/>
          <w:iCs w:val="1"/>
          <w:sz w:val="22"/>
          <w:szCs w:val="22"/>
        </w:rPr>
        <w:t>Please consider any commercial impacts to your organisation that Xoserve need to be aware of when formulating your response</w:t>
      </w:r>
    </w:p>
    <w:p>
      <w:pPr>
        <w:rPr>
          <w:rFonts w:ascii="Calibri" w:hAnsi="Calibri" w:cs="Calibri"/>
        </w:rPr>
      </w:pPr>
    </w:p>
    <w:tbl>
      <w:tblPr>
        <w:tblStyle w:val="Table Grid"/>
        <w:tblLayout w:type="fixed"/>
        <w:tblInd w:type="dxa" w:w="-34"/>
        <w:tblW w:type="pct" w:w="5018"/>
        <w:tblLook w:firstColumn="1" w:firstRow="1" w:lastColumn="0" w:lastRow="0" w:noHBand="0" w:noVBand="1"/>
      </w:tblPr>
      <w:tblGrid>
        <w:gridCol w:w="2566"/>
        <w:gridCol w:w="1925"/>
        <w:gridCol w:w="6003"/>
      </w:tblGrid>
      <w:tr>
        <w:trPr>
          <w:trHeight w:hRule="atLeast" w:val="403"/>
        </w:trPr>
        <w:tc>
          <w:tcPr>
            <w:shd w:val="clear" w:fill="B3EDFB"/>
            <w:tcW w:type="pct" w:w="1223"/>
            <w:vAlign w:val="center"/>
            <w:vMerge w:val="restart"/>
          </w:tcPr>
          <w:p>
            <w:pPr>
              <w:rPr>
                <w:rFonts w:ascii="Calibri" w:hAnsi="Calibri" w:cs="Calibri"/>
              </w:rPr>
              <w:jc w:val="right"/>
            </w:pPr>
            <w:r>
              <w:rPr>
                <w:rFonts w:ascii="Calibri" w:hAnsi="Calibri" w:cs="Calibri"/>
              </w:rPr>
              <w:t>User Contact Details:</w:t>
            </w:r>
          </w:p>
        </w:tc>
        <w:tc>
          <w:tcPr>
            <w:shd w:val="clear" w:fill="B3EDFB"/>
            <w:tcW w:type="pct" w:w="917"/>
            <w:vAlign w:val="center"/>
          </w:tcPr>
          <w:p>
            <w:pPr>
              <w:rPr>
                <w:rFonts w:ascii="Calibri" w:hAnsi="Calibri" w:cs="Calibri"/>
              </w:rPr>
              <w:jc w:val="right"/>
            </w:pPr>
            <w:r>
              <w:rPr>
                <w:rFonts w:ascii="Calibri" w:hAnsi="Calibri" w:cs="Calibri"/>
              </w:rPr>
              <w:t>Organisation:</w:t>
            </w:r>
          </w:p>
        </w:tc>
        <w:tc>
          <w:tcPr>
            <w:tcW w:type="pct" w:w="2860"/>
            <w:vAlign w:val="center"/>
          </w:tcPr>
          <w:p>
            <w:pPr>
              <w:rPr>
                <w:rFonts w:cs="Arial"/>
              </w:rPr>
            </w:pPr>
            <w:r>
              <w:rPr>
                <w:rFonts w:cs="Arial"/>
              </w:rPr>
              <w:t>Cadent Gas Limited</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Name:</w:t>
            </w:r>
          </w:p>
        </w:tc>
        <w:tc>
          <w:tcPr>
            <w:tcW w:type="pct" w:w="2860"/>
            <w:vAlign w:val="center"/>
          </w:tcPr>
          <w:p>
            <w:pPr>
              <w:rPr>
                <w:rFonts w:cs="Arial"/>
              </w:rPr>
            </w:pPr>
            <w:r>
              <w:rPr>
                <w:rFonts w:cs="Arial"/>
              </w:rPr>
              <w:t>edward.allard</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Email:</w:t>
            </w:r>
          </w:p>
        </w:tc>
        <w:tc>
          <w:tcPr>
            <w:tcW w:type="pct" w:w="2860"/>
            <w:vAlign w:val="center"/>
          </w:tcPr>
          <w:p>
            <w:pPr>
              <w:rPr>
                <w:rFonts w:cs="Arial"/>
              </w:rPr>
            </w:pPr>
            <w:r>
              <w:rPr>
                <w:rFonts w:cs="Arial"/>
              </w:rPr>
              <w:t>edward.allard@cadentgas.com</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ascii="Calibri" w:hAnsi="Calibri" w:cs="Calibri"/>
              </w:rPr>
              <w:jc w:val="right"/>
            </w:pPr>
            <w:r>
              <w:rPr>
                <w:rFonts w:ascii="Calibri" w:hAnsi="Calibri" w:cs="Calibri"/>
              </w:rPr>
              <w:t>Telephone:</w:t>
            </w:r>
          </w:p>
        </w:tc>
        <w:tc>
          <w:tcPr>
            <w:tcW w:type="pct" w:w="2860"/>
            <w:vAlign w:val="center"/>
          </w:tcPr>
          <w:p>
            <w:pPr>
              <w:rPr>
                <w:rFonts w:cs="Arial"/>
              </w:rPr>
            </w:pPr>
            <w:r>
              <w:rPr>
                <w:rFonts w:cs="Arial"/>
              </w:rPr>
              <w:t>07891670444</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Customer decision on Change Pack:</w:t>
            </w:r>
          </w:p>
        </w:tc>
        <w:tc>
          <w:tcPr>
            <w:tcW w:type="pct" w:w="3777"/>
            <w:vAlign w:val="center"/>
            <w:gridSpan w:val="2"/>
          </w:tcPr>
          <w:p>
            <w:pPr>
              <w:rPr>
                <w:rFonts w:cs="Arial"/>
              </w:rPr>
            </w:pPr>
            <w:r>
              <w:rPr>
                <w:rFonts w:cs="Arial"/>
              </w:rPr>
              <w:t>defer</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Commercial impacts:</w:t>
            </w:r>
          </w:p>
        </w:tc>
        <w:tc>
          <w:tcPr>
            <w:tcW w:type="pct" w:w="3777"/>
            <w:vAlign w:val="center"/>
            <w:gridSpan w:val="2"/>
          </w:tcPr>
          <w:p>
            <w:pPr>
              <w:rPr>
                <w:rFonts w:cs="Arial"/>
              </w:rPr>
            </w:pPr>
            <w:r>
              <w:rPr>
                <w:rFonts w:cs="Arial"/>
              </w:rPr>
              <w:t xml:space="preserve">As a regulated monopoly with the agreement to passthrough CDSP costs under Licence, we place a greater value on accuracy and cost reflectivity over driving for the lowest overall cost. </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Representation Publication:</w:t>
            </w:r>
          </w:p>
        </w:tc>
        <w:tc>
          <w:tcPr>
            <w:tcW w:type="pct" w:w="3777"/>
            <w:vAlign w:val="center"/>
            <w:gridSpan w:val="2"/>
          </w:tcPr>
          <w:p>
            <w:pPr>
              <w:rPr>
                <w:rFonts w:cs="Arial"/>
              </w:rPr>
            </w:pPr>
            <w:r>
              <w:rPr>
                <w:rFonts w:cs="Arial"/>
              </w:rPr>
              <w:t>Publish</w:t>
            </w:r>
          </w:p>
        </w:tc>
      </w:tr>
      <w:tr>
        <w:trPr>
          <w:trHeight w:hRule="atLeast" w:val="403"/>
        </w:trPr>
        <w:tc>
          <w:tcPr>
            <w:shd w:val="clear" w:fill="B3EDFB"/>
            <w:tcW w:type="pct" w:w="1223"/>
            <w:vAlign w:val="center"/>
          </w:tcPr>
          <w:p>
            <w:pPr>
              <w:rPr>
                <w:rFonts w:ascii="Calibri" w:hAnsi="Calibri" w:cs="Calibri"/>
              </w:rPr>
              <w:jc w:val="right"/>
            </w:pPr>
            <w:r>
              <w:rPr>
                <w:rFonts w:ascii="Calibri" w:hAnsi="Calibri" w:cs="Calibri"/>
              </w:rPr>
              <w:t>Representation Comments:</w:t>
            </w:r>
          </w:p>
        </w:tc>
        <w:tc>
          <w:tcPr>
            <w:tcW w:type="pct" w:w="3777"/>
            <w:vAlign w:val="center"/>
            <w:gridSpan w:val="2"/>
          </w:tcPr>
          <w:p>
            <w:pPr>
              <w:rPr>
                <w:rFonts w:cs="Arial"/>
              </w:rPr>
            </w:pPr>
            <w:r>
              <w:rPr>
                <w:rFonts w:cs="Arial"/>
              </w:rPr>
              <w:t xml:space="preserve"> A general theme across the options, we feel that the consultation documents do not contain sufficient rationale as to why each cost apportionment split has been applied to the corresponding service line. We think it is important that a clear methodology is developed that can be used to consistently and objectively allocated costs between customer constituencies as inevitably more service lines are added to the DSC in the future. We feel that without this clear methodology, the Equitability Review will not achieve the stated objective of developing an auditable process and system that allows for third party assurance. As a hypothetical example, the consultation would benefit from further detail as to why Xoserve consider it more appropriate to use “Latest Count of Meter Points” over “Mirrors Committee Voting Arrangements” etc. </w:t>
            </w:r>
            <w:r>
              <w:rPr>
                <w:rFonts w:cs="Arial"/>
              </w:rPr>
              <w:br w:type="textWrapping"/>
            </w:r>
            <w:r>
              <w:rPr>
                <w:rFonts w:cs="Arial"/>
              </w:rPr>
              <w:t xml:space="preserve">Although we do not support implementation of any of the options at this stage, we agree with the approach of using independent assurance from activities such as the Kearny VfM to determine the structure of service lines. This approach promotes implementation of best practice and mitigates the risk of customer bias swaying CDSP decision making. </w:t>
            </w:r>
            <w:r>
              <w:rPr>
                <w:rFonts w:cs="Arial"/>
              </w:rPr>
              <w:br w:type="textWrapping"/>
            </w:r>
            <w:r>
              <w:rPr>
                <w:rFonts w:cs="Arial"/>
              </w:rPr>
              <w:t xml:space="preserve">The Equitability Review has an objective of achieving cost reflectivity, and we feel that one particular proposal contradicts this aim. All three options propose a 50/44/6 (Shippers, DNOs, IGTs) split for PAFA, PAC, and AUGE Services. We feel that applying logic based on factors such as committee voting arrangements is an inappropriate approach to cost apportionment. These activities largely support the operation of processes with both inputs and outputs (meter reads and UIG) driven by shippers. We do not consider a 50% GT funding allocation to be cost reflective. </w:t>
            </w:r>
            <w:r>
              <w:rPr>
                <w:rFonts w:cs="Arial"/>
              </w:rPr>
              <w:br w:type="textWrapping"/>
            </w:r>
            <w:r>
              <w:rPr>
                <w:rFonts w:cs="Arial"/>
              </w:rPr>
              <w:br w:type="textWrapping"/>
            </w:r>
            <w:r>
              <w:rPr>
                <w:rFonts w:cs="Arial"/>
              </w:rPr>
              <w:t xml:space="preserve">We agree with the intent of ensuring that apportionment of CDSP costs remains up to date and cost reflective. However, we feel unable to support any of the options as currently presented. </w:t>
            </w:r>
          </w:p>
        </w:tc>
      </w:tr>
    </w:tbl>
    <w:p>
      <w:pPr/>
    </w:p>
    <w:p>
      <w:pPr>
        <w:rPr>
          <w:rFonts w:ascii="Calibri" w:hAnsi="Calibri" w:cs="Calibri"/>
        </w:rPr>
        <w:pStyle w:val="heading 1"/>
      </w:pPr>
      <w:r>
        <w:rPr>
          <w:rFonts w:ascii="Calibri" w:hAnsi="Calibri" w:cs="Calibri"/>
        </w:rPr>
        <w:t xml:space="preserve">Xoserve’ s Response </w:t>
      </w:r>
    </w:p>
    <w:tbl>
      <w:tblPr>
        <w:tblStyle w:val="Table Grid"/>
        <w:tblLayout w:type="fixed"/>
        <w:tblInd w:type="dxa" w:w="-34"/>
        <w:tblW w:type="pct" w:w="5018"/>
        <w:tblLook w:firstColumn="1" w:firstRow="1" w:lastColumn="0" w:lastRow="0" w:noHBand="0" w:noVBand="1"/>
      </w:tblPr>
      <w:tblGrid>
        <w:gridCol w:w="2567"/>
        <w:gridCol w:w="7927"/>
      </w:tblGrid>
      <w:tr>
        <w:trPr>
          <w:trHeight w:hRule="atLeast" w:val="663"/>
        </w:trPr>
        <w:tc>
          <w:tcPr>
            <w:shd w:val="clear" w:fill="B3EDFB"/>
            <w:tcW w:type="pct" w:w="1223"/>
            <w:vAlign w:val="center"/>
          </w:tcPr>
          <w:p>
            <w:pPr>
              <w:rPr>
                <w:rFonts w:ascii="Calibri" w:hAnsi="Calibri" w:cs="Calibri"/>
              </w:rPr>
              <w:jc w:val="right"/>
            </w:pPr>
            <w:r>
              <w:rPr>
                <w:rFonts w:ascii="Calibri" w:hAnsi="Calibri" w:cs="Calibri"/>
              </w:rPr>
              <w:t>Xoserve Response to Organisations Comments:</w:t>
            </w:r>
          </w:p>
        </w:tc>
        <w:tc>
          <w:tcPr>
            <w:tcW w:type="pct" w:w="3777"/>
            <w:vAlign w:val="center"/>
          </w:tcPr>
          <w:p>
            <w:pPr>
              <w:rPr>
                <w:rFonts w:cs="Arial"/>
              </w:rPr>
            </w:pPr>
            <w:r>
              <w:rPr>
                <w:rFonts w:cs="Arial"/>
              </w:rPr>
              <w:t>Thank you for your feedback which we have noted and I can confirm that this will be fed into the Equitability Review agenda item for discussion at CoMC on 20th August.</w:t>
            </w:r>
          </w:p>
        </w:tc>
      </w:tr>
    </w:tbl>
    <w:p>
      <w:pPr/>
    </w:p>
    <w:p>
      <w:pPr>
        <w:rPr>
          <w:rFonts w:ascii="Calibri" w:hAnsi="Calibri" w:cs="Calibri"/>
        </w:rPr>
      </w:pPr>
      <w:r>
        <w:rPr>
          <w:rFonts w:ascii="Calibri" w:hAnsi="Calibri" w:cs="Calibri"/>
        </w:rPr>
        <w:t xml:space="preserve">Please send the completed representation response to </w:t>
      </w:r>
      <w:hyperlink r:id="R7bf49569cde34d72">
        <w:r>
          <w:rPr>
            <w:rStyle w:val="Hyperlink"/>
            <w:rFonts w:ascii="Calibri" w:hAnsi="Calibri" w:cs="Calibri"/>
          </w:rPr>
          <w:t>uklink@xoserve.com</w:t>
        </w:r>
      </w:hyperlink>
      <w:r>
        <w:rPr>
          <w:rFonts w:ascii="Calibri" w:hAnsi="Calibri" w:cs="Calibri"/>
        </w:rPr>
        <w:t xml:space="preserve"> </w:t>
      </w:r>
    </w:p>
    <w:p>
      <w:pPr/>
    </w:p>
    <w:p>
      <w:pPr/>
    </w:p>
    <w:sectPr>
      <w:footnotePr>
        <w:pos w:val="pageBottom"/>
        <w:numFmt w:val="decimal"/>
        <w:numRestart w:val="continuous"/>
        <w:numStart w:val="1"/>
      </w:footnotePr>
      <w:endnotePr>
        <w:pos w:val="docEnd"/>
        <w:numFmt w:val="lowerRoman"/>
        <w:numRestart w:val="continuous"/>
        <w:numStart w:val="1"/>
      </w:endnotePr>
      <w:pgSz w:h="16838" w:orient="portrait" w:w="11906"/>
      <w:pgMar w:bottom="720" w:footer="708" w:gutter="0" w:header="737" w:left="720" w:right="720" w:top="720"/>
      <w:pgNumType w:fmt="decimal"/>
      <w:cols w:equalWidth="1" w:num="1" w:space="708" w:sep="0"/>
      <w:headerReference w:type="default" r:id="R59f7b01132f143bd"/>
      <w:footerReference w:type="default" r:id="R7dbd67de60984ad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1"/>
    <w:family w:val="auto"/>
    <w:notTrueType w:val="off"/>
    <w:pitch w:val="variable"/>
    <w:sig w:usb0="E4002EFF" w:usb1="C000247B" w:usb2="00000009" w:usb3="00000000" w:csb0="200001FF" w:csb1="00000000"/>
  </w:font>
  <w:font w:name="Arial">
    <w:panose1 w:val="020B0604020202020204"/>
    <w:charset w:val="01"/>
    <w:family w:val="auto"/>
    <w:notTrueType w:val="off"/>
    <w:pitch w:val="variable"/>
    <w:sig w:usb0="E0002EFF" w:usb1="C000785B" w:usb2="00000009" w:usb3="00000000" w:csb0="400001FF" w:csb1="FFFF0000"/>
  </w:font>
  <w:font w:name="Times New Roman">
    <w:panose1 w:val="02020603050405020304"/>
    <w:charset w:val="01"/>
    <w:family w:val="auto"/>
    <w:notTrueType w:val="off"/>
    <w:pitch w:val="variable"/>
    <w:sig w:usb0="E0002EFF" w:usb1="C000785B" w:usb2="00000009" w:usb3="00000000" w:csb0="400001FF" w:csb1="FFFF0000"/>
  </w:font>
  <w:font w:name="Tahoma">
    <w:panose1 w:val="020B0604030504040204"/>
    <w:charset w:val="01"/>
    <w:family w:val="auto"/>
    <w:notTrueType w:val="off"/>
    <w:pitch w:val="variable"/>
    <w:sig w:usb0="E1002EFF" w:usb1="C000605B" w:usb2="00000029" w:usb3="00000000" w:csb0="200101FF" w:csb1="20280000"/>
  </w:font>
  <w:font w:name="PMingLiU">
    <w:panose1 w:val="02020500000000000000"/>
    <w:charset w:val="01"/>
    <w:family w:val="auto"/>
    <w:notTrueType w:val="off"/>
    <w:pitch w:val="variable"/>
    <w:sig w:usb0="A00002FF" w:usb1="28CFFCFA" w:usb2="00000016" w:usb3="00000000" w:csb0="00100001" w:csb1="00000000"/>
    <w:altName w:val="新細明體"/>
  </w:font>
</w:fonts>
</file>

<file path=word/footer1.xml><?xml version="1.0" encoding="utf-8"?>
<w:ftr xmlns:w="http://schemas.openxmlformats.org/wordprocessingml/2006/main" xmlns:mc="http://schemas.openxmlformats.org/markup-compatibility/2006" xmlns:r="http://schemas.openxmlformats.org/officeDocument/2006/relationships" xmlns:m="http://schemas.openxmlformats.org/officeDocument/2006/math" xmlns:wp="http://schemas.openxmlformats.org/drawingml/2006/wordprocessingDrawing" xmlns:wpc="http://schemas.microsoft.com/office/word/2010/wordprocessingCanvas" xmlns:wpg="http://schemas.microsoft.com/office/word/2010/wordprocessingGroup" xmlns:wps="http://schemas.microsoft.com/office/word/2010/wordprocessingShape" xmlns:wpi="http://schemas.microsoft.com/office/word/2010/wordprocessingInk" xmlns:pic="http://schemas.openxmlformats.org/drawingml/2006/picture" xmlns:a="http://schemas.openxmlformats.org/drawingml/2006/main" xmlns:c="http://schemas.openxmlformats.org/drawingml/2006/chart" xmlns:o="urn:schemas-microsoft-com:office:office" xmlns:v="urn:schemas-microsoft-com:vml" xmlns:w10="urn:schemas-microsoft-com:office:word" xmlns:w14="http://schemas.microsoft.com/office/word/2010/wordml" xmlns:w15="http://schemas.microsoft.com/office/word/2012/wordml" mc:Ignorable="w14 w15" xml:space="preserve">
  <w:p>
    <w:pPr>
      <w:pStyle w:val="footer"/>
    </w:pPr>
    <w:r>
      <w:t>v1.1</w:t>
    </w:r>
  </w:p>
  <w:p>
    <w:pPr>
      <w:pStyle w:val="footer"/>
    </w:pPr>
  </w:p>
  <w:p>
    <w:pPr>
      <w:rPr>
        <w:rFonts w:ascii="Calibri" w:hAnsi="Calibri" w:cs="Calibri"/>
      </w:rPr>
      <w:pStyle w:val="footer"/>
    </w:pPr>
    <w:r>
      <w:rPr>
        <w:rFonts w:ascii="Calibri" w:hAnsi="Calibri" w:cs="Calibri"/>
      </w:rPr>
      <w:t>*</w:t>
    </w:r>
    <w:r>
      <w:rPr>
        <w:rFonts w:ascii="Calibri" w:hAnsi="Calibri" w:cs="Calibri"/>
        <w:sz w:val="20"/>
        <w:szCs w:val="20"/>
      </w:rPr>
      <w:t>Assumed impacted parties of the proposed change, all parties are encouraged to review</w:t>
    </w:r>
    <w:r>
      <w:rPr>
        <w:rFonts w:ascii="Calibri" w:hAnsi="Calibri" w:cs="Calibri"/>
      </w:rPr>
      <mc:AlternateContent>
        <mc:Choice Requires="wps">
          <w:drawing>
            <wp:anchor allowOverlap="1" layoutInCell="1" relativeHeight="251658243" locked="0" simplePos="0" distL="114300" distT="0" distR="114300" distB="0" behindDoc="0">
              <wp:simplePos x="0" y="0"/>
              <wp:positionH relativeFrom="page">
                <wp:align>right</wp:align>
              </wp:positionH>
              <wp:positionV relativeFrom="paragraph">
                <wp:posOffset>376555</wp:posOffset>
              </wp:positionV>
              <wp:extent cx="7991475" cy="257175"/>
              <wp:effectExtent l="0" t="0" r="9525" b="9525"/>
              <wp:wrapNone/>
              <wp:docPr id="4" name="drawingObject4"/>
              <wp:cNvGraphicFramePr/>
              <a:graphic>
                <a:graphicData uri="http://schemas.microsoft.com/office/word/2010/wordprocessingShape">
                  <wps:wsp>
                    <wps:cNvSpPr/>
                    <wps:spPr>
                      <a:xfrm rot="0">
                        <a:ext cx="7991475" cy="257175"/>
                      </a:xfrm>
                      <a:prstGeom prst="rect">
                        <a:avLst/>
                      </a:prstGeom>
                      <a:solidFill>
                        <a:srgbClr val="40D1F5"/>
                      </a:solidFill>
                    </wps:spPr>
                    <wps:bodyPr anchor="ctr" horzOverflow="overflow" vertOverflow="overflow" vert="horz" lIns="91440" tIns="45720" rIns="91440" bIns="45720"/>
                  </wps:wsp>
                </a:graphicData>
              </a:graphic>
            </wp:anchor>
          </w:drawing>
        </mc:Choice>
        <mc:Fallback/>
      </mc:AlternateContent>
    </w:r>
  </w:p>
</w:ftr>
</file>

<file path=word/header1.xml><?xml version="1.0" encoding="utf-8"?>
<w:hdr xmlns:w="http://schemas.openxmlformats.org/wordprocessingml/2006/main" xmlns:mc="http://schemas.openxmlformats.org/markup-compatibility/2006" xmlns:r="http://schemas.openxmlformats.org/officeDocument/2006/relationships" xmlns:m="http://schemas.openxmlformats.org/officeDocument/2006/math" xmlns:wp="http://schemas.openxmlformats.org/drawingml/2006/wordprocessingDrawing" xmlns:wpc="http://schemas.microsoft.com/office/word/2010/wordprocessingCanvas" xmlns:wpg="http://schemas.microsoft.com/office/word/2010/wordprocessingGroup" xmlns:wps="http://schemas.microsoft.com/office/word/2010/wordprocessingShape" xmlns:wpi="http://schemas.microsoft.com/office/word/2010/wordprocessingInk" xmlns:pic="http://schemas.openxmlformats.org/drawingml/2006/picture" xmlns:a="http://schemas.openxmlformats.org/drawingml/2006/main" xmlns:c="http://schemas.openxmlformats.org/drawingml/2006/chart" xmlns:o="urn:schemas-microsoft-com:office:office" xmlns:v="urn:schemas-microsoft-com:vml" xmlns:w10="urn:schemas-microsoft-com:office:word" xmlns:w14="http://schemas.microsoft.com/office/word/2010/wordml" xmlns:w15="http://schemas.microsoft.com/office/word/2012/wordml" mc:Ignorable="w14 w15" xml:space="preserve">
  <w:p>
    <w:pPr>
      <w:pStyle w:val="header"/>
    </w:pPr>
    <w:r>
      <mc:AlternateContent>
        <mc:Choice Requires="wps">
          <w:drawing>
            <wp:anchor allowOverlap="1" layoutInCell="1" relativeHeight="251658244" locked="0" simplePos="0" distL="114300" distT="0" distR="114300" distB="0" behindDoc="0">
              <wp:simplePos x="0" y="0"/>
              <wp:positionH relativeFrom="margin">
                <wp:align>right</wp:align>
              </wp:positionH>
              <wp:positionV relativeFrom="paragraph">
                <wp:posOffset>-76200</wp:posOffset>
              </wp:positionV>
              <wp:extent cx="2066926" cy="325750"/>
              <wp:effectExtent l="0" t="0" r="0" b="0"/>
              <wp:wrapNone/>
              <wp:docPr id="1" name="drawingObject1"/>
              <wp:cNvGraphicFramePr>
                <a:graphicFrameLocks noChangeAspect="1"/>
              </wp:cNvGraphicFramePr>
              <a:graphic>
                <a:graphicData uri="http://schemas.openxmlformats.org/drawingml/2006/picture">
                  <pic:pic>
                    <pic:nvPicPr>
                      <pic:cNvPr id="2" name="Picture 2"/>
                      <pic:cNvPicPr/>
                    </pic:nvPicPr>
                    <pic:blipFill>
                      <a:blip r:embed="R422632564c8b41d6"/>
                      <a:stretch/>
                    </pic:blipFill>
                    <pic:spPr>
                      <a:xfrm rot="0">
                        <a:ext cx="2066926" cy="325750"/>
                      </a:xfrm>
                      <a:prstGeom prst="rect">
                        <a:avLst/>
                      </a:prstGeom>
                      <a:noFill/>
                    </pic:spPr>
                  </pic:pic>
                </a:graphicData>
              </a:graphic>
            </wp:anchor>
          </w:drawing>
        </mc:Choice>
        <mc:Fallback/>
      </mc:AlternateContent>
    </w:r>
    <w:r>
      <mc:AlternateContent>
        <mc:Choice Requires="wps">
          <w:drawing>
            <wp:anchor allowOverlap="1" layoutInCell="1" relativeHeight="251658242" locked="0" simplePos="0" distL="114300" distT="0" distR="114300" distB="0" behindDoc="0">
              <wp:simplePos x="0" y="0"/>
              <wp:positionH relativeFrom="page">
                <wp:posOffset>-326390</wp:posOffset>
              </wp:positionH>
              <wp:positionV relativeFrom="paragraph">
                <wp:posOffset>-470534</wp:posOffset>
              </wp:positionV>
              <wp:extent cx="7991475" cy="276225"/>
              <wp:effectExtent l="0" t="0" r="9525" b="9525"/>
              <wp:wrapNone/>
              <wp:docPr id="3" name="drawingObject3"/>
              <wp:cNvGraphicFramePr/>
              <a:graphic>
                <a:graphicData uri="http://schemas.microsoft.com/office/word/2010/wordprocessingShape">
                  <wps:wsp>
                    <wps:cNvSpPr/>
                    <wps:spPr>
                      <a:xfrm rot="0">
                        <a:ext cx="7991475" cy="276225"/>
                      </a:xfrm>
                      <a:prstGeom prst="rect">
                        <a:avLst/>
                      </a:prstGeom>
                      <a:solidFill>
                        <a:srgbClr val="3E5AA8"/>
                      </a:solidFill>
                    </wps:spPr>
                    <wps:bodyPr anchor="ctr" horzOverflow="overflow" vertOverflow="overflow" vert="horz" lIns="91440" tIns="45720" rIns="91440" bIns="45720"/>
                  </wps:wsp>
                </a:graphicData>
              </a:graphic>
            </wp:anchor>
          </w:drawing>
        </mc:Choice>
        <mc:Fallback/>
      </mc:AlternateContent>
    </w:r>
  </w:p>
  <w:p>
    <w:pPr>
      <w:pStyle w:val="header"/>
    </w:pPr>
  </w:p>
  <w:p>
    <w:pPr>
      <w:pStyle w:val="header"/>
    </w:pPr>
  </w:p>
</w:hdr>
</file>

<file path=word/numbering.xml><?xml version="1.0" encoding="utf-8"?>
<w:numbering xmlns:w="http://schemas.openxmlformats.org/wordprocessingml/2006/main" xmlns:mc="http://schemas.openxmlformats.org/markup-compatibility/2006" xmlns:r="http://schemas.openxmlformats.org/officeDocument/2006/relationships" xmlns:m="http://schemas.openxmlformats.org/officeDocument/2006/math" xmlns:wp="http://schemas.openxmlformats.org/drawingml/2006/wordprocessingDrawing" xmlns:wpc="http://schemas.microsoft.com/office/word/2010/wordprocessingCanvas" xmlns:wpg="http://schemas.microsoft.com/office/word/2010/wordprocessingGroup" xmlns:wps="http://schemas.microsoft.com/office/word/2010/wordprocessingShape" xmlns:wpi="http://schemas.microsoft.com/office/word/2010/wordprocessingInk" xmlns:a="http://schemas.openxmlformats.org/drawingml/2006/main" xmlns:c="http://schemas.openxmlformats.org/drawingml/2006/chart" xmlns:o="urn:schemas-microsoft-com:office:office" xmlns:v="urn:schemas-microsoft-com:vml" xmlns:w10="urn:schemas-microsoft-com:office:word" xmlns:w14="http://schemas.microsoft.com/office/word/2010/wordml" xmlns:w15="http://schemas.microsoft.com/office/word/2012/wordml" mc:Ignorable="w14 w15">
  <w:abstractNum w:abstractNumId="0">
    <w:styleLink w:val="ListStyle0"/>
    <w:multiLevelType w:val="hybridMultilevel"/>
    <w:name w:val="ListStyle0"/>
    <w:lvl w:ilvl="0">
      <w:numFmt w:val="decimal"/>
      <w:start w:val="1"/>
      <w:lvlText w:val="%1."/>
      <w:lvlJc w:val="left"/>
      <w:pPr>
        <w:ind w:hanging="360" w:left="720"/>
      </w:pPr>
      <w:rPr>
        <w:b w:val="0"/>
        <w:bCs w:val="0"/>
      </w:rPr>
    </w:lvl>
    <w:lvl w:ilvl="1">
      <w:numFmt w:val="lowerLetter"/>
      <w:start w:val="1"/>
      <w:lvlText w:val="%2."/>
      <w:lvlJc w:val="left"/>
      <w:pPr>
        <w:ind w:hanging="360" w:left="1440"/>
      </w:pPr>
    </w:lvl>
    <w:lvl w:ilvl="2">
      <w:numFmt w:val="lowerRoman"/>
      <w:start w:val="1"/>
      <w:lvlText w:val="%3."/>
      <w:lvlJc w:val="right"/>
      <w:pPr>
        <w:ind w:hanging="180" w:left="2160"/>
      </w:pPr>
    </w:lvl>
    <w:lvl w:ilvl="3">
      <w:numFmt w:val="decimal"/>
      <w:start w:val="1"/>
      <w:lvlText w:val="%4."/>
      <w:lvlJc w:val="left"/>
      <w:pPr>
        <w:ind w:hanging="360" w:left="2880"/>
      </w:pPr>
    </w:lvl>
    <w:lvl w:ilvl="4">
      <w:numFmt w:val="lowerLetter"/>
      <w:start w:val="1"/>
      <w:lvlText w:val="%5."/>
      <w:lvlJc w:val="left"/>
      <w:pPr>
        <w:ind w:hanging="360" w:left="3600"/>
      </w:pPr>
    </w:lvl>
    <w:lvl w:ilvl="5">
      <w:numFmt w:val="lowerRoman"/>
      <w:start w:val="1"/>
      <w:lvlText w:val="%6."/>
      <w:lvlJc w:val="right"/>
      <w:pPr>
        <w:ind w:hanging="180" w:left="4320"/>
      </w:pPr>
    </w:lvl>
    <w:lvl w:ilvl="6">
      <w:numFmt w:val="decimal"/>
      <w:start w:val="1"/>
      <w:lvlText w:val="%7."/>
      <w:lvlJc w:val="left"/>
      <w:pPr>
        <w:ind w:hanging="360" w:left="5040"/>
      </w:pPr>
    </w:lvl>
    <w:lvl w:ilvl="7">
      <w:numFmt w:val="lowerLetter"/>
      <w:start w:val="1"/>
      <w:lvlText w:val="%8."/>
      <w:lvlJc w:val="left"/>
      <w:pPr>
        <w:ind w:hanging="360" w:left="5760"/>
      </w:pPr>
    </w:lvl>
    <w:lvl w:ilvl="8">
      <w:numFmt w:val="lowerRoman"/>
      <w:start w:val="1"/>
      <w:lvlText w:val="%9."/>
      <w:lvlJc w:val="right"/>
      <w:pPr>
        <w:ind w:hanging="180" w:left="6480"/>
      </w:pPr>
    </w:lvl>
  </w:abstractNum>
  <w:abstractNum w:abstractNumId="1">
    <w:styleLink w:val="ListStyle3"/>
    <w:multiLevelType w:val="hybridMultilevel"/>
    <w:name w:val="ListStyle3"/>
    <w:lvl w:ilvl="0">
      <w:numFmt w:val="upperLetter"/>
      <w:start w:val="1"/>
      <w:lvlText w:val="%1)"/>
      <w:lvlJc w:val="left"/>
      <w:pPr>
        <w:ind w:hanging="360" w:left="720"/>
      </w:pPr>
    </w:lvl>
    <w:lvl w:ilvl="1">
      <w:numFmt w:val="lowerLetter"/>
      <w:start w:val="1"/>
      <w:lvlText w:val="%2."/>
      <w:lvlJc w:val="left"/>
      <w:pPr>
        <w:ind w:hanging="360" w:left="1440"/>
      </w:pPr>
    </w:lvl>
    <w:lvl w:ilvl="2">
      <w:numFmt w:val="lowerRoman"/>
      <w:start w:val="1"/>
      <w:lvlText w:val="%3."/>
      <w:lvlJc w:val="right"/>
      <w:pPr>
        <w:ind w:hanging="180" w:left="2160"/>
      </w:pPr>
    </w:lvl>
    <w:lvl w:ilvl="3">
      <w:numFmt w:val="decimal"/>
      <w:start w:val="1"/>
      <w:lvlText w:val="%4."/>
      <w:lvlJc w:val="left"/>
      <w:pPr>
        <w:ind w:hanging="360" w:left="2880"/>
      </w:pPr>
    </w:lvl>
    <w:lvl w:ilvl="4">
      <w:numFmt w:val="lowerLetter"/>
      <w:start w:val="1"/>
      <w:lvlText w:val="%5."/>
      <w:lvlJc w:val="left"/>
      <w:pPr>
        <w:ind w:hanging="360" w:left="3600"/>
      </w:pPr>
    </w:lvl>
    <w:lvl w:ilvl="5">
      <w:numFmt w:val="lowerRoman"/>
      <w:start w:val="1"/>
      <w:lvlText w:val="%6."/>
      <w:lvlJc w:val="right"/>
      <w:pPr>
        <w:ind w:hanging="180" w:left="4320"/>
      </w:pPr>
    </w:lvl>
    <w:lvl w:ilvl="6">
      <w:numFmt w:val="decimal"/>
      <w:start w:val="1"/>
      <w:lvlText w:val="%7."/>
      <w:lvlJc w:val="left"/>
      <w:pPr>
        <w:ind w:hanging="360" w:left="5040"/>
      </w:pPr>
    </w:lvl>
    <w:lvl w:ilvl="7">
      <w:numFmt w:val="lowerLetter"/>
      <w:start w:val="1"/>
      <w:lvlText w:val="%8."/>
      <w:lvlJc w:val="left"/>
      <w:pPr>
        <w:ind w:hanging="360" w:left="5760"/>
      </w:pPr>
    </w:lvl>
    <w:lvl w:ilvl="8">
      <w:numFmt w:val="lowerRoman"/>
      <w:start w:val="1"/>
      <w:lvlText w:val="%9."/>
      <w:lvlJc w:val="right"/>
      <w:pPr>
        <w:ind w:hanging="180" w:left="6480"/>
      </w:pPr>
    </w:lvl>
  </w:abstractNum>
  <w:abstractNum w:abstractNumId="2">
    <w:styleLink w:val="ListStyle01"/>
    <w:multiLevelType w:val="hybridMultilevel"/>
    <w:name w:val="ListStyle01"/>
    <w:lvl w:ilvl="0">
      <w:numFmt w:val="bullet"/>
      <w:start w:val="1"/>
      <w:lvlText w:val="·"/>
      <w:lvlJc w:val="left"/>
      <w:pPr>
        <w:ind w:hanging="360" w:left="720"/>
      </w:pPr>
      <w:rPr>
        <w:rFonts w:ascii="Symbol" w:hAnsi="Symbol"/>
      </w:rPr>
    </w:lvl>
    <w:lvl w:ilvl="1">
      <w:numFmt w:val="bullet"/>
      <w:start w:val="1"/>
      <w:lvlText w:val="o"/>
      <w:lvlJc w:val="left"/>
      <w:pPr>
        <w:ind w:hanging="360" w:left="1440"/>
      </w:pPr>
      <w:rPr>
        <w:rFonts w:ascii="Courier New" w:hAnsi="Courier New"/>
      </w:rPr>
    </w:lvl>
    <w:lvl w:ilvl="2">
      <w:numFmt w:val="bullet"/>
      <w:start w:val="1"/>
      <w:lvlText w:val=""/>
      <w:lvlJc w:val="left"/>
      <w:pPr>
        <w:ind w:hanging="360" w:left="2160"/>
      </w:pPr>
      <w:rPr>
        <w:rFonts w:ascii="Wingdings" w:hAnsi="Wingdings"/>
      </w:rPr>
    </w:lvl>
    <w:lvl w:ilvl="3">
      <w:numFmt w:val="bullet"/>
      <w:start w:val="1"/>
      <w:lvlText w:val=""/>
      <w:lvlJc w:val="left"/>
      <w:pPr>
        <w:ind w:hanging="360" w:left="2880"/>
      </w:pPr>
      <w:rPr>
        <w:rFonts w:ascii="Symbol" w:hAnsi="Symbol"/>
      </w:rPr>
    </w:lvl>
    <w:lvl w:ilvl="4">
      <w:numFmt w:val="bullet"/>
      <w:start w:val="1"/>
      <w:lvlText w:val="o"/>
      <w:lvlJc w:val="left"/>
      <w:pPr>
        <w:ind w:hanging="360" w:left="3600"/>
      </w:pPr>
      <w:rPr>
        <w:rFonts w:ascii="Courier New" w:hAnsi="Courier New"/>
      </w:rPr>
    </w:lvl>
    <w:lvl w:ilvl="5">
      <w:numFmt w:val="bullet"/>
      <w:start w:val="1"/>
      <w:lvlText w:val=""/>
      <w:lvlJc w:val="left"/>
      <w:pPr>
        <w:ind w:hanging="360" w:left="4320"/>
      </w:pPr>
      <w:rPr>
        <w:rFonts w:ascii="Wingdings" w:hAnsi="Wingdings"/>
      </w:rPr>
    </w:lvl>
    <w:lvl w:ilvl="6">
      <w:numFmt w:val="bullet"/>
      <w:start w:val="1"/>
      <w:lvlText w:val=""/>
      <w:lvlJc w:val="left"/>
      <w:pPr>
        <w:ind w:hanging="360" w:left="5040"/>
      </w:pPr>
      <w:rPr>
        <w:rFonts w:ascii="Symbol" w:hAnsi="Symbol"/>
      </w:rPr>
    </w:lvl>
    <w:lvl w:ilvl="7">
      <w:numFmt w:val="bullet"/>
      <w:start w:val="1"/>
      <w:lvlText w:val="o"/>
      <w:lvlJc w:val="left"/>
      <w:pPr>
        <w:ind w:hanging="360" w:left="5760"/>
      </w:pPr>
      <w:rPr>
        <w:rFonts w:ascii="Courier New" w:hAnsi="Courier New"/>
      </w:rPr>
    </w:lvl>
    <w:lvl w:ilvl="8">
      <w:numFmt w:val="bullet"/>
      <w:start w:val="1"/>
      <w:lvlText w:val=""/>
      <w:lvlJc w:val="left"/>
      <w:pPr>
        <w:ind w:hanging="360" w:left="6480"/>
      </w:pPr>
      <w:rPr>
        <w:rFonts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sl="http://schemas.openxmlformats.org/schemaLibrary/2006/main" xmlns:w10="urn:schemas-microsoft-com:office:word" xmlns:w14="http://schemas.microsoft.com/office/word/2010/wordml" xmlns:w15="http://schemas.microsoft.com/office/word/2012/wordml" mc:Ignorable="w14 w15">
  <w:zoom w:percent="100"/>
  <w:defaultTabStop w:val="720"/>
  <w:characterSpacingControl w:val="doNotCompress"/>
  <w:compat>
    <w:compatSetting w:name="compatibilityMode" w:uri="http://schemas.microsoft.com/office/word" w:val="15"/>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hAnsi="Arial" w:cs="Times New Roman" w:eastAsia="Times New Roman"/>
        <w:lang w:val="en-GB"/>
        <w:sz w:val="22"/>
        <w:szCs w:val="22"/>
      </w:rPr>
    </w:rPrDefault>
    <w:pPrDefault>
      <w:pPr>
        <w:spacing w:after="200" w:lineRule="auto" w:line="276"/>
      </w:pPr>
    </w:pPrDefault>
  </w:docDefaults>
  <w:style w:type="paragraph" w:styleId="Normal" w:default="1">
    <w:name w:val="Normal"/>
    <w:qFormat/>
  </w:style>
  <w:style w:type="paragraph" w:styleId="heading 1">
    <w:name w:val="heading 1"/>
    <w:qFormat/>
    <w:basedOn w:val="Normal"/>
    <w:pPr>
      <w:keepLines w:val="1"/>
      <w:keepNext w:val="1"/>
      <w:spacing w:before="480" w:after="0"/>
      <w:outlineLvl w:val="0"/>
    </w:pPr>
    <w:rPr>
      <w:b w:val="1"/>
      <w:bCs w:val="1"/>
      <w:color w:val="3E5AA8"/>
      <w:sz w:val="28"/>
      <w:szCs w:val="28"/>
    </w:rPr>
  </w:style>
  <w:style w:type="paragraph" w:styleId="heading 2">
    <w:name w:val="heading 2"/>
    <w:qFormat/>
    <w:basedOn w:val="Normal"/>
    <w:pPr>
      <w:keepLines w:val="1"/>
      <w:keepNext w:val="1"/>
      <w:spacing w:before="200" w:after="0"/>
      <w:outlineLvl w:val="1"/>
    </w:pPr>
    <w:rPr>
      <w:b w:val="1"/>
      <w:bCs w:val="1"/>
      <w:color w:val="6440A3"/>
      <w:sz w:val="26"/>
      <w:szCs w:val="26"/>
    </w:rPr>
  </w:style>
  <w:style w:type="paragraph" w:styleId="heading 3">
    <w:name w:val="heading 3"/>
    <w:qFormat/>
    <w:basedOn w:val="Normal"/>
    <w:pPr>
      <w:keepLines w:val="1"/>
      <w:keepNext w:val="1"/>
      <w:spacing w:before="200" w:after="0"/>
      <w:outlineLvl w:val="2"/>
    </w:pPr>
    <w:rPr>
      <w:b w:val="1"/>
      <w:bCs w:val="1"/>
      <w:color w:val="40D1F5"/>
    </w:rPr>
  </w:style>
  <w:style w:type="paragraph" w:styleId="heading 4">
    <w:name w:val="heading 4"/>
    <w:qFormat/>
    <w:basedOn w:val="Normal"/>
    <w:pPr>
      <w:keepLines w:val="1"/>
      <w:keepNext w:val="1"/>
      <w:spacing w:before="200" w:after="0"/>
      <w:outlineLvl w:val="3"/>
    </w:pPr>
    <w:rPr>
      <w:b w:val="1"/>
      <w:bCs w:val="1"/>
      <w:color w:val="3E5AA8"/>
      <w:i w:val="1"/>
      <w:iCs w:val="1"/>
    </w:rPr>
  </w:style>
  <w:style w:type="paragraph" w:styleId="heading 5">
    <w:name w:val="heading 5"/>
    <w:qFormat/>
    <w:basedOn w:val="Normal"/>
    <w:pPr>
      <w:keepLines w:val="1"/>
      <w:keepNext w:val="1"/>
      <w:spacing w:before="200" w:after="0"/>
      <w:outlineLvl w:val="4"/>
    </w:pPr>
    <w:rPr>
      <w:color w:val="1F2D54"/>
    </w:rPr>
  </w:style>
  <w:style w:type="character" w:styleId="Default Paragraph Font" w:default="1">
    <w:name w:val="Default Paragraph Font"/>
    <w:qFormat/>
  </w:style>
  <w:style w:type="table" w:styleId="Normal Table" w:default="1">
    <w:name w:val="Normal Table"/>
    <w:qFormat/>
    <w:tblPr>
      <w:tblCellMar>
        <w:left w:type="dxa" w:w="108"/>
        <w:top w:type="dxa" w:w="0"/>
        <w:right w:type="dxa" w:w="108"/>
        <w:bottom w:type="dxa" w:w="0"/>
      </w:tblCellMar>
      <w:tblInd w:type="dxa" w:w="0"/>
    </w:tblPr>
  </w:style>
  <w:style w:type="paragraph" w:styleId="No Spacing">
    <w:name w:val="No Spacing"/>
    <w:qFormat/>
    <w:pPr>
      <w:spacing w:after="0" w:lineRule="auto" w:line="240"/>
    </w:pPr>
  </w:style>
  <w:style w:type="character" w:styleId="Heading 1 Char">
    <w:name w:val="Heading 1 Char"/>
    <w:qFormat/>
    <w:basedOn w:val="Default Paragraph Font"/>
    <w:rPr>
      <w:b w:val="1"/>
      <w:bCs w:val="1"/>
      <w:color w:val="3E5AA8"/>
      <w:rFonts w:ascii="Arial" w:hAnsi="Arial"/>
      <w:sz w:val="28"/>
      <w:szCs w:val="28"/>
    </w:rPr>
  </w:style>
  <w:style w:type="character" w:styleId="Heading 2 Char">
    <w:name w:val="Heading 2 Char"/>
    <w:qFormat/>
    <w:basedOn w:val="Default Paragraph Font"/>
    <w:rPr>
      <w:b w:val="1"/>
      <w:bCs w:val="1"/>
      <w:color w:val="6440A3"/>
      <w:rFonts w:ascii="Arial" w:hAnsi="Arial"/>
      <w:sz w:val="26"/>
      <w:szCs w:val="26"/>
    </w:rPr>
  </w:style>
  <w:style w:type="paragraph" w:styleId="Title">
    <w:name w:val="Title"/>
    <w:qFormat/>
    <w:basedOn w:val="Normal"/>
    <w:pPr>
      <w:pBdr>
        <w:bottom w:val="single" w:sz="8" w:space="4" w:color="3E5AA8"/>
      </w:pBdr>
      <w:spacing w:after="300" w:lineRule="auto" w:line="240"/>
      <w:contextualSpacing w:val="1"/>
    </w:pPr>
    <w:rPr>
      <w:b w:val="1"/>
      <w:bCs w:val="1"/>
      <w:color w:val="1D3E61"/>
      <w:kern w:val="28"/>
      <w:sz w:val="52"/>
      <w:szCs w:val="52"/>
      <w:spacing w:val="5"/>
    </w:rPr>
  </w:style>
  <w:style w:type="character" w:styleId="Title Char">
    <w:name w:val="Title Char"/>
    <w:qFormat/>
    <w:basedOn w:val="Default Paragraph Font"/>
    <w:rPr>
      <w:b w:val="1"/>
      <w:bCs w:val="1"/>
      <w:color w:val="1D3E61"/>
      <w:rFonts w:ascii="Arial" w:hAnsi="Arial"/>
      <w:kern w:val="28"/>
      <w:sz w:val="52"/>
      <w:szCs w:val="52"/>
      <w:spacing w:val="5"/>
    </w:rPr>
  </w:style>
  <w:style w:type="paragraph" w:styleId="Subtitle">
    <w:name w:val="Subtitle"/>
    <w:qFormat/>
    <w:basedOn w:val="Normal"/>
    <w:rPr>
      <w:color w:val="56CF9E"/>
      <w:i w:val="1"/>
      <w:iCs w:val="1"/>
      <w:sz w:val="24"/>
      <w:szCs w:val="24"/>
      <w:spacing w:val="15"/>
    </w:rPr>
  </w:style>
  <w:style w:type="character" w:styleId="Subtitle Char">
    <w:name w:val="Subtitle Char"/>
    <w:qFormat/>
    <w:basedOn w:val="Default Paragraph Font"/>
    <w:rPr>
      <w:color w:val="56CF9E"/>
      <w:rFonts w:ascii="Arial" w:hAnsi="Arial"/>
      <w:i w:val="1"/>
      <w:iCs w:val="1"/>
      <w:sz w:val="24"/>
      <w:szCs w:val="24"/>
      <w:spacing w:val="15"/>
    </w:rPr>
  </w:style>
  <w:style w:type="character" w:styleId="Subtle Emphasis">
    <w:name w:val="Subtle Emphasis"/>
    <w:qFormat/>
    <w:basedOn w:val="Default Paragraph Font"/>
    <w:rPr>
      <w:color w:val="808080"/>
      <w:rFonts w:ascii="Arial" w:hAnsi="Arial"/>
      <w:i w:val="1"/>
      <w:iCs w:val="1"/>
    </w:rPr>
  </w:style>
  <w:style w:type="paragraph" w:styleId="header">
    <w:name w:val="header"/>
    <w:qFormat/>
    <w:basedOn w:val="Normal"/>
    <w:pPr>
      <w:tabs>
        <w:tab w:val="center" w:leader="none" w:pos="4513"/>
        <w:tab w:val="right" w:leader="none" w:pos="9026"/>
      </w:tabs>
      <w:spacing w:after="0" w:lineRule="auto" w:line="240"/>
    </w:pPr>
  </w:style>
  <w:style w:type="character" w:styleId="Header Char">
    <w:name w:val="Header Char"/>
    <w:qFormat/>
    <w:basedOn w:val="Default Paragraph Font"/>
    <w:rPr>
      <w:rFonts w:ascii="Arial" w:hAnsi="Arial"/>
    </w:rPr>
  </w:style>
  <w:style w:type="paragraph" w:styleId="footer">
    <w:name w:val="footer"/>
    <w:qFormat/>
    <w:basedOn w:val="Normal"/>
    <w:pPr>
      <w:tabs>
        <w:tab w:val="center" w:leader="none" w:pos="4513"/>
        <w:tab w:val="right" w:leader="none" w:pos="9026"/>
      </w:tabs>
      <w:spacing w:after="0" w:lineRule="auto" w:line="240"/>
    </w:pPr>
  </w:style>
  <w:style w:type="character" w:styleId="Footer Char">
    <w:name w:val="Footer Char"/>
    <w:qFormat/>
    <w:basedOn w:val="Default Paragraph Font"/>
    <w:rPr>
      <w:rFonts w:ascii="Arial" w:hAnsi="Arial"/>
    </w:rPr>
  </w:style>
  <w:style w:type="character" w:styleId="Heading 3 Char">
    <w:name w:val="Heading 3 Char"/>
    <w:qFormat/>
    <w:basedOn w:val="Default Paragraph Font"/>
    <w:rPr>
      <w:b w:val="1"/>
      <w:bCs w:val="1"/>
      <w:color w:val="40D1F5"/>
      <w:rFonts w:ascii="Arial" w:hAnsi="Arial"/>
    </w:rPr>
  </w:style>
  <w:style w:type="paragraph" w:styleId="Balloon Text">
    <w:name w:val="Balloon Text"/>
    <w:qFormat/>
    <w:basedOn w:val="Normal"/>
    <w:pPr>
      <w:spacing w:after="0" w:lineRule="auto" w:line="240"/>
    </w:pPr>
    <w:rPr>
      <w:rFonts w:ascii="Tahoma" w:hAnsi="Tahoma" w:cs="Tahoma"/>
      <w:sz w:val="16"/>
      <w:szCs w:val="16"/>
    </w:rPr>
  </w:style>
  <w:style w:type="character" w:styleId="Balloon Text Char">
    <w:name w:val="Balloon Text Char"/>
    <w:qFormat/>
    <w:basedOn w:val="Default Paragraph Font"/>
    <w:rPr>
      <w:rFonts w:ascii="Tahoma" w:hAnsi="Tahoma" w:cs="Tahoma"/>
      <w:sz w:val="16"/>
      <w:szCs w:val="16"/>
    </w:rPr>
  </w:style>
  <w:style w:type="character" w:styleId="Hyperlink">
    <w:name w:val="Hyperlink"/>
    <w:qFormat/>
    <w:basedOn w:val="Default Paragraph Font"/>
    <w:rPr>
      <w:color w:val="6440A3"/>
      <w:u w:val="single"/>
    </w:rPr>
  </w:style>
  <w:style w:type="character" w:styleId="Heading 4 Char">
    <w:name w:val="Heading 4 Char"/>
    <w:qFormat/>
    <w:basedOn w:val="Default Paragraph Font"/>
    <w:rPr>
      <w:b w:val="1"/>
      <w:bCs w:val="1"/>
      <w:color w:val="3E5AA8"/>
      <w:rFonts w:ascii="Arial" w:hAnsi="Arial"/>
      <w:i w:val="1"/>
      <w:iCs w:val="1"/>
    </w:rPr>
  </w:style>
  <w:style w:type="character" w:styleId="Heading 5 Char">
    <w:name w:val="Heading 5 Char"/>
    <w:qFormat/>
    <w:basedOn w:val="Default Paragraph Font"/>
    <w:rPr>
      <w:color w:val="1F2D54"/>
      <w:rFonts w:ascii="Arial" w:hAnsi="Arial"/>
    </w:rPr>
  </w:style>
  <w:style w:type="character" w:styleId="Intense Emphasis">
    <w:name w:val="Intense Emphasis"/>
    <w:qFormat/>
    <w:basedOn w:val="Default Paragraph Font"/>
    <w:rPr>
      <w:b w:val="1"/>
      <w:bCs w:val="1"/>
      <w:color w:val="3E5AA8"/>
      <w:i w:val="1"/>
      <w:iCs w:val="1"/>
    </w:rPr>
  </w:style>
  <w:style w:type="character" w:styleId="Strong">
    <w:name w:val="Strong"/>
    <w:qFormat/>
    <w:basedOn w:val="Default Paragraph Font"/>
    <w:rPr>
      <w:b w:val="1"/>
      <w:bCs w:val="1"/>
    </w:rPr>
  </w:style>
  <w:style w:type="paragraph" w:styleId="Quote">
    <w:name w:val="Quote"/>
    <w:qFormat/>
    <w:basedOn w:val="Normal"/>
    <w:rPr>
      <w:color w:val="000000"/>
      <w:i w:val="1"/>
      <w:iCs w:val="1"/>
    </w:rPr>
  </w:style>
  <w:style w:type="character" w:styleId="Quote Char">
    <w:name w:val="Quote Char"/>
    <w:qFormat/>
    <w:basedOn w:val="Default Paragraph Font"/>
    <w:rPr>
      <w:color w:val="000000"/>
      <w:rFonts w:ascii="Arial" w:hAnsi="Arial"/>
      <w:i w:val="1"/>
      <w:iCs w:val="1"/>
    </w:rPr>
  </w:style>
  <w:style w:type="paragraph" w:styleId="Normal (Web)">
    <w:name w:val="Normal (Web)"/>
    <w:qFormat/>
    <w:basedOn w:val="Normal"/>
    <w:pPr>
      <w:spacing w:before="100" w:beforeAutospacing="1" w:after="100" w:afterAutospacing="1" w:lineRule="auto" w:line="240"/>
    </w:pPr>
    <w:rPr>
      <w:rFonts w:ascii="Times New Roman" w:hAnsi="Times New Roman"/>
      <w:sz w:val="24"/>
      <w:szCs w:val="24"/>
    </w:rPr>
  </w:style>
  <w:style w:type="table" w:styleId="Table Grid">
    <w:name w:val="Table Grid"/>
    <w:qFormat/>
    <w:basedOn w:val="Normal Table"/>
    <w:tblPr>
      <w:tblBorders>
        <w:left w:val="single" w:sz="4" w:space="0" w:color="auto"/>
        <w:top w:val="single" w:sz="4" w:space="0" w:color="auto"/>
        <w:right w:val="single" w:sz="4" w:space="0" w:color="auto"/>
        <w:bottom w:val="single" w:sz="4" w:space="0" w:color="auto"/>
        <w:insideH w:val="single" w:sz="4" w:space="0" w:color="auto"/>
        <w:insideV w:val="single" w:sz="4" w:space="0" w:color="auto"/>
      </w:tblBorders>
    </w:tblPr>
    <w:pPr>
      <w:spacing w:after="0" w:lineRule="auto" w:line="240"/>
    </w:pPr>
  </w:style>
  <w:style w:type="character" w:styleId="Placeholder Text">
    <w:name w:val="Placeholder Text"/>
    <w:qFormat/>
    <w:basedOn w:val="Default Paragraph Font"/>
    <w:rPr>
      <w:color w:val="808080"/>
    </w:rPr>
  </w:style>
  <w:style w:type="table" w:styleId="Table Grid3">
    <w:name w:val="Table Grid3"/>
    <w:qFormat/>
    <w:basedOn w:val="Normal Table"/>
    <w:tblPr>
      <w:tblBorders>
        <w:left w:val="single" w:sz="4" w:space="0" w:color="auto"/>
        <w:top w:val="single" w:sz="4" w:space="0" w:color="auto"/>
        <w:right w:val="single" w:sz="4" w:space="0" w:color="auto"/>
        <w:bottom w:val="single" w:sz="4" w:space="0" w:color="auto"/>
        <w:insideH w:val="single" w:sz="4" w:space="0" w:color="auto"/>
        <w:insideV w:val="single" w:sz="4" w:space="0" w:color="auto"/>
      </w:tblBorders>
    </w:tblPr>
    <w:pPr>
      <w:spacing w:after="0" w:lineRule="auto" w:line="240"/>
    </w:pPr>
  </w:style>
  <w:style w:type="paragraph" w:styleId="List Paragraph">
    <w:name w:val="List Paragraph"/>
    <w:qFormat/>
    <w:basedOn w:val="Normal"/>
    <w:pPr>
      <w:ind w:left="720"/>
      <w:contextualSpacing w:val="1"/>
    </w:pPr>
  </w:style>
  <w:style w:type="character" w:styleId="annotation reference">
    <w:name w:val="annotation reference"/>
    <w:qFormat/>
    <w:basedOn w:val="Default Paragraph Font"/>
    <w:rPr>
      <w:sz w:val="16"/>
      <w:szCs w:val="16"/>
    </w:rPr>
  </w:style>
  <w:style w:type="paragraph" w:styleId="annotation text">
    <w:name w:val="annotation text"/>
    <w:qFormat/>
    <w:basedOn w:val="Normal"/>
    <w:pPr>
      <w:spacing w:after="0" w:lineRule="auto" w:line="240"/>
    </w:pPr>
    <w:rPr>
      <w:rFonts w:ascii="Times New Roman" w:hAnsi="Times New Roman" w:eastAsia="PMingLiU"/>
      <w:lang w:val="en-US"/>
      <w:sz w:val="20"/>
      <w:szCs w:val="20"/>
    </w:rPr>
  </w:style>
  <w:style w:type="character" w:styleId="Comment Text Char">
    <w:name w:val="Comment Text Char"/>
    <w:qFormat/>
    <w:basedOn w:val="Default Paragraph Font"/>
    <w:rPr>
      <w:rFonts w:ascii="Times New Roman" w:hAnsi="Times New Roman" w:cs="Times New Roman" w:eastAsia="PMingLiU"/>
      <w:lang w:val="en-US"/>
      <w:sz w:val="20"/>
      <w:szCs w:val="20"/>
    </w:rPr>
  </w:style>
  <w:style w:type="character" w:styleId="Unresolved Mention">
    <w:name w:val="Unresolved Mention"/>
    <w:qFormat/>
    <w:basedOn w:val="Default Paragraph Font"/>
    <w:rPr>
      <w:shd w:val="clear" w:fill="E1DFDD"/>
      <w:color w:val="605E5C"/>
    </w:rPr>
  </w:style>
  <w:style w:type="paragraph" w:styleId="paragraph">
    <w:name w:val="paragraph"/>
    <w:qFormat/>
    <w:basedOn w:val="Normal"/>
    <w:pPr>
      <w:spacing w:before="100" w:beforeAutospacing="1" w:after="100" w:afterAutospacing="1" w:lineRule="auto" w:line="240"/>
    </w:pPr>
    <w:rPr>
      <w:rFonts w:ascii="Times New Roman" w:hAnsi="Times New Roman"/>
      <w:sz w:val="24"/>
      <w:szCs w:val="24"/>
    </w:rPr>
  </w:style>
  <w:style w:type="character" w:styleId="normaltextrun">
    <w:name w:val="normaltextrun"/>
    <w:qFormat/>
    <w:basedOn w:val="Default Paragraph Font"/>
  </w:style>
  <w:style w:type="character" w:styleId="eop">
    <w:name w:val="eop"/>
    <w:qFormat/>
    <w:basedOn w:val="Default Paragraph Font"/>
  </w:style>
  <w:style w:type="paragraph" w:styleId="Revision">
    <w:name w:val="Revision"/>
    <w:qFormat/>
    <w:pPr>
      <w:spacing w:after="0" w:lineRule="auto" w:line="240"/>
    </w:pPr>
  </w:style>
  <w:style w:type="numbering" w:styleId="ListStyle0">
    <w:name w:val="ListStyle0"/>
    <w:qFormat/>
  </w:style>
  <w:style w:type="numbering" w:styleId="ListStyle3">
    <w:name w:val="ListStyle3"/>
    <w:qFormat/>
  </w:style>
  <w:style w:type="numbering" w:styleId="ListStyle01">
    <w:name w:val="ListStyle0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oleObject" Target="embeddings/oleObject2.bin" Id="rId13" /><Relationship Type="http://schemas.openxmlformats.org/officeDocument/2006/relationships/image" Target="media/image5.emf" Id="rId18" /><Relationship Type="http://schemas.openxmlformats.org/officeDocument/2006/relationships/oleObject" Target="embeddings/oleObject6.bin" Id="rId21" /><Relationship Type="http://schemas.openxmlformats.org/officeDocument/2006/relationships/image" Target="media/image2.emf" Id="rId12" /><Relationship Type="http://schemas.openxmlformats.org/officeDocument/2006/relationships/oleObject" Target="embeddings/oleObject4.bin" Id="rId17" /><Relationship Type="http://schemas.openxmlformats.org/officeDocument/2006/relationships/oleObject" Target="embeddings/oleObject8.bin" Id="rId25" /><Relationship Type="http://schemas.openxmlformats.org/officeDocument/2006/relationships/image" Target="media/image4.emf" Id="rId16" /><Relationship Type="http://schemas.openxmlformats.org/officeDocument/2006/relationships/image" Target="media/image6.emf" Id="rId20" /><Relationship Type="http://schemas.openxmlformats.org/officeDocument/2006/relationships/oleObject" Target="embeddings/oleObject1.bin" Id="rId11" /><Relationship Type="http://schemas.openxmlformats.org/officeDocument/2006/relationships/image" Target="media/image8.emf" Id="rId24" /><Relationship Type="http://schemas.openxmlformats.org/officeDocument/2006/relationships/oleObject" Target="embeddings/oleObject3.bin" Id="rId15" /><Relationship Type="http://schemas.openxmlformats.org/officeDocument/2006/relationships/oleObject" Target="embeddings/oleObject7.bin" Id="rId23" /><Relationship Type="http://schemas.openxmlformats.org/officeDocument/2006/relationships/theme" Target="theme/theme1.xml" Id="rId36" /><Relationship Type="http://schemas.openxmlformats.org/officeDocument/2006/relationships/image" Target="media/image1.emf" Id="rId10" /><Relationship Type="http://schemas.openxmlformats.org/officeDocument/2006/relationships/oleObject" Target="embeddings/oleObject5.bin" Id="rId19" /><Relationship Type="http://schemas.openxmlformats.org/officeDocument/2006/relationships/image" Target="media/image3.emf" Id="rId14" /><Relationship Type="http://schemas.openxmlformats.org/officeDocument/2006/relationships/image" Target="media/image7.emf" Id="rId22" /><Relationship Type="http://schemas.openxmlformats.org/officeDocument/2006/relationships/image" Target="/word/media/image1.emf" Id="R1266ccdf98ca40c9" /><Relationship Type="http://schemas.openxmlformats.org/officeDocument/2006/relationships/oleObject" Target="/word/embeddings/oleObject1.bin" Id="R896f97702832486f" /><Relationship Type="http://schemas.openxmlformats.org/officeDocument/2006/relationships/image" Target="/word/media/image2.emf" Id="Ra4beaf07470e4deb" /><Relationship Type="http://schemas.openxmlformats.org/officeDocument/2006/relationships/oleObject" Target="/word/embeddings/oleObject2.bin" Id="Raac06ab063974ee6" /><Relationship Type="http://schemas.openxmlformats.org/officeDocument/2006/relationships/image" Target="/word/media/image3.emf" Id="R6d8ab28e4bf943dd" /><Relationship Type="http://schemas.openxmlformats.org/officeDocument/2006/relationships/oleObject" Target="/word/embeddings/oleObject3.bin" Id="Rb16995ae37c24d9b" /><Relationship Type="http://schemas.openxmlformats.org/officeDocument/2006/relationships/image" Target="/word/media/image4.emf" Id="R4b0b5086aa8e4b9a" /><Relationship Type="http://schemas.openxmlformats.org/officeDocument/2006/relationships/oleObject" Target="/word/embeddings/oleObject4.bin" Id="Rec0ee6211bf04eae" /><Relationship Type="http://schemas.openxmlformats.org/officeDocument/2006/relationships/image" Target="/word/media/image5.emf" Id="R518969d3087f4091" /><Relationship Type="http://schemas.openxmlformats.org/officeDocument/2006/relationships/oleObject" Target="/word/embeddings/oleObject5.bin" Id="R28f9345d0a6c4df3" /><Relationship Type="http://schemas.openxmlformats.org/officeDocument/2006/relationships/image" Target="/word/media/image6.emf" Id="R9f21916c1aa74b3d" /><Relationship Type="http://schemas.openxmlformats.org/officeDocument/2006/relationships/oleObject" Target="/word/embeddings/oleObject6.bin" Id="R9c510a6852c4432e" /><Relationship Type="http://schemas.openxmlformats.org/officeDocument/2006/relationships/image" Target="/word/media/image7.emf" Id="Rca3816bf4e6b4e32" /><Relationship Type="http://schemas.openxmlformats.org/officeDocument/2006/relationships/oleObject" Target="/word/embeddings/oleObject7.bin" Id="R3755426756234c1a" /><Relationship Type="http://schemas.openxmlformats.org/officeDocument/2006/relationships/image" Target="/word/media/image8.emf" Id="R382a0948a6434588" /><Relationship Type="http://schemas.openxmlformats.org/officeDocument/2006/relationships/oleObject" Target="/word/embeddings/oleObject8.bin" Id="R5c8bcbc4713945e0" /><Relationship Type="http://schemas.openxmlformats.org/officeDocument/2006/relationships/hyperlink" Target="https://ukc-word-edit.officeapps.live.com/we/wordeditorframe.aspx?ui=en-US&amp;rs=en-US&amp;wopisrc=https%3A%2F%2Fxoserve.sharepoint.com%2Fsites%2FDSCIndustryPaper%2F_vti_bin%2Fwopi.ashx%2Ffiles%2F0af3d625a23e47c191a0b549e55bf956&amp;wdenableroaming=1&amp;mscc=1&amp;hid=5F1CB9A1-4059-D000-B855-C90950175E4B.0&amp;uih=sharepointcom&amp;wdlcid=en-US&amp;jsapi=1&amp;jsapiver=v2&amp;corrid=702557d3-1ef0-cbf4-06d5-473de7c2c5aa&amp;usid=702557d3-1ef0-cbf4-06d5-473de7c2c5aa&amp;newsession=1&amp;sftc=1&amp;uihit=docaspx&amp;muv=1&amp;ats=PairwiseBroker&amp;cac=1&amp;sams=1&amp;mtf=1&amp;sfp=1&amp;sdp=1&amp;hch=1&amp;hwfh=1&amp;dchat=1&amp;sc=%7B%22pmo%22%3A%22https%3A%2F%2Fxoserve.sharepoint.com%22%2C%22pmshare%22%3Atrue%7D&amp;ctp=LeastProtected&amp;rct=Normal&amp;wdorigin=ItemsView&amp;wdhostclicktime=1754487397745&amp;afdflight=98&amp;csiro=1&amp;instantedit=1&amp;wopicomplete=1&amp;wdredirectionreason=Unified_SingleFlush" TargetMode="External" Id="Rce2338775a5646e7" /><Relationship Type="http://schemas.openxmlformats.org/officeDocument/2006/relationships/hyperlink" Target="mailto:uklink@xoserve.com" TargetMode="External" Id="R525a4cfb55804b14" /><Relationship Type="http://schemas.openxmlformats.org/officeDocument/2006/relationships/hyperlink" Target="mailto:uklink@xoserve.com" TargetMode="External" Id="R1fb3601a03504e99" /><Relationship Type="http://schemas.openxmlformats.org/officeDocument/2006/relationships/hyperlink" Target="mailto:uklink@xoserve.com" TargetMode="External" Id="Rdd8a8d80e63440a3" /><Relationship Type="http://schemas.openxmlformats.org/officeDocument/2006/relationships/hyperlink" Target="mailto:uklink@xoserve.com" TargetMode="External" Id="R42e2cc1565ff4b86" /><Relationship Type="http://schemas.openxmlformats.org/officeDocument/2006/relationships/hyperlink" Target="mailto:uklink@xoserve.com" TargetMode="External" Id="Rbd18084a32ef4c86" /><Relationship Type="http://schemas.openxmlformats.org/officeDocument/2006/relationships/hyperlink" Target="mailto:uklink@xoserve.com" TargetMode="External" Id="R7bf49569cde34d72" /><Relationship Type="http://schemas.openxmlformats.org/officeDocument/2006/relationships/header" Target="header1.xml" Id="R59f7b01132f143bd" /><Relationship Type="http://schemas.openxmlformats.org/officeDocument/2006/relationships/footer" Target="footer1.xml" Id="R7dbd67de60984ad4" /><Relationship Type="http://schemas.openxmlformats.org/officeDocument/2006/relationships/customXml" Target="/customXml/item1.xml" Id="R5a97c902d0314a6f" /><Relationship Type="http://schemas.openxmlformats.org/officeDocument/2006/relationships/customXml" Target="/customXml/item2.xml" Id="Raedaedce9f0d478a" /><Relationship Type="http://schemas.openxmlformats.org/officeDocument/2006/relationships/customXml" Target="/customXml/item3.xml" Id="R22593c5ea8524af2" /><Relationship Type="http://schemas.openxmlformats.org/officeDocument/2006/relationships/styles" Target="styles.xml" Id="Rfd9ea944c3504d68" /><Relationship Type="http://schemas.openxmlformats.org/officeDocument/2006/relationships/fontTable" Target="fontTable.xml" Id="R280a3ae7b7f3494c" /><Relationship Type="http://schemas.openxmlformats.org/officeDocument/2006/relationships/numbering" Target="numbering.xml" Id="Rb0d6bfbd10384bb2" /><Relationship Type="http://schemas.openxmlformats.org/officeDocument/2006/relationships/settings" Target="settings.xml" Id="R0ea3c944529142ed" /><Relationship Type="http://schemas.openxmlformats.org/officeDocument/2006/relationships/webSettings" Target="webSettings.xml" Id="R8a8858d6f16443ce" /></Relationships>
</file>

<file path=word/_rels/header1.xml.rels>&#65279;<?xml version="1.0" encoding="utf-8"?><Relationships xmlns="http://schemas.openxmlformats.org/package/2006/relationships"><Relationship Type="http://schemas.openxmlformats.org/officeDocument/2006/relationships/image" Target="media/asz2jtbz.png" Id="R422632564c8b41d6" /></Relationship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Type="http://schemas.openxmlformats.org/officeDocument/2006/relationships/customXmlProps" Target="itemProps1.xml" Id="Rd598e3cb4de347ad" /></Relationships>
</file>

<file path=customXml/_rels/item2.xml.rels>&#65279;<?xml version="1.0" encoding="utf-8"?><Relationships xmlns="http://schemas.openxmlformats.org/package/2006/relationships"><Relationship Type="http://schemas.openxmlformats.org/officeDocument/2006/relationships/customXmlProps" Target="itemProps2.xml" Id="Rd3205acf0ed34122" /></Relationships>
</file>

<file path=customXml/_rels/item3.xml.rels>&#65279;<?xml version="1.0" encoding="utf-8"?><Relationships xmlns="http://schemas.openxmlformats.org/package/2006/relationships"><Relationship Type="http://schemas.openxmlformats.org/officeDocument/2006/relationships/customXmlProps" Target="itemProps3.xml" Id="R86367f23da484ba3"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9" ma:contentTypeDescription="Create a new document." ma:contentTypeScope="" ma:versionID="f0b7d57ef7209a77ee40aff37bb95d76">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18f129e198fdc70392cb2045533f5cc8"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47B0F2-87D9-4BE5-AB85-164865DA6B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f0b2b-8185-4f6e-b1da-6ba5995e69fd"/>
    <ds:schemaRef ds:uri="103fba77-31dd-4780-83f9-c54f26c3a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5FD1E4-E801-45E3-8622-5705A3614C6C}">
  <ds:schemaRefs>
    <ds:schemaRef ds:uri="http://purl.org/dc/dcmitype/"/>
    <ds:schemaRef ds:uri="http://purl.org/dc/elements/1.1/"/>
    <ds:schemaRef ds:uri="5844fa40-a696-4ac9-bd38-c0330d295109"/>
    <ds:schemaRef ds:uri="http://schemas.microsoft.com/office/2006/documentManagement/types"/>
    <ds:schemaRef ds:uri="http://purl.org/dc/terms/"/>
    <ds:schemaRef ds:uri="c78a4dae-5fc0-4ed3-ad80-da51122ab114"/>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10FE92D9-C373-4587-A1BF-C6A521F5EE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Application>Document .Net v.5.5.4.14</Application>
  <Company>National Grid</Company>
  <Pages>1</Pages>
  <Words>3499</Words>
  <Characters>19945</Characters>
  <CharactersWithSpaces>23398</CharactersWithSpaces>
  <Lines>166</Lines>
  <Paragraphs>46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 Grid</dc:creator>
  <cp:lastModifiedBy>Kate Lancaster</cp:lastModifiedBy>
  <dcterms:created xsi:type="dcterms:W3CDTF">2025-08-06T05:34:00Z</dcterms:created>
  <dcterms:modified xsi:type="dcterms:W3CDTF">2025-08-06T05:38:00Z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ies>
</file>