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B095A" w14:textId="77777777" w:rsidR="007D4F26" w:rsidRDefault="00310A64" w:rsidP="00324744">
      <w:pPr>
        <w:pStyle w:val="Title"/>
      </w:pPr>
      <w:r w:rsidRPr="00310A64">
        <w:t>Change Management Committee</w:t>
      </w:r>
      <w:r w:rsidR="00470388">
        <w:t xml:space="preserve"> (</w:t>
      </w:r>
      <w:proofErr w:type="spellStart"/>
      <w:r w:rsidR="00470388">
        <w:t>ChMC</w:t>
      </w:r>
      <w:proofErr w:type="spellEnd"/>
      <w:r w:rsidR="00470388">
        <w:t>)</w:t>
      </w:r>
      <w:r w:rsidRPr="00310A64">
        <w:t xml:space="preserve"> Change Pack Summary</w:t>
      </w:r>
    </w:p>
    <w:p w14:paraId="3AF93C37" w14:textId="77777777" w:rsidR="00310A64" w:rsidRDefault="00310A64" w:rsidP="00310A64">
      <w:pPr>
        <w:pStyle w:val="Heading1"/>
      </w:pPr>
      <w:r>
        <w:t>Communication Detail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80"/>
        <w:gridCol w:w="6836"/>
      </w:tblGrid>
      <w:tr w:rsidR="00310A64" w:rsidRPr="00BC3CAC" w14:paraId="4F9ED096" w14:textId="77777777" w:rsidTr="00470388">
        <w:trPr>
          <w:trHeight w:val="403"/>
        </w:trPr>
        <w:tc>
          <w:tcPr>
            <w:tcW w:w="1209" w:type="pct"/>
            <w:shd w:val="clear" w:color="auto" w:fill="B2ECFB" w:themeFill="accent5" w:themeFillTint="66"/>
            <w:vAlign w:val="center"/>
          </w:tcPr>
          <w:p w14:paraId="6AC65124" w14:textId="77777777" w:rsidR="00310A64" w:rsidRPr="00470388" w:rsidRDefault="00310A64" w:rsidP="00310A64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Comm Reference:</w:t>
            </w:r>
          </w:p>
        </w:tc>
        <w:tc>
          <w:tcPr>
            <w:tcW w:w="3791" w:type="pct"/>
            <w:vAlign w:val="center"/>
          </w:tcPr>
          <w:p w14:paraId="4FBA6E59" w14:textId="72B1AF39" w:rsidR="00310A64" w:rsidRPr="00176D37" w:rsidRDefault="00DA31F7" w:rsidP="00176D37">
            <w:pPr>
              <w:rPr>
                <w:rFonts w:cs="Arial"/>
              </w:rPr>
            </w:pPr>
            <w:r w:rsidRPr="00DA31F7">
              <w:rPr>
                <w:rFonts w:cs="Arial"/>
              </w:rPr>
              <w:t xml:space="preserve">2456.1 - RT - PO </w:t>
            </w:r>
          </w:p>
        </w:tc>
      </w:tr>
      <w:tr w:rsidR="00310A64" w:rsidRPr="00BC3CAC" w14:paraId="2B9A51B5" w14:textId="77777777" w:rsidTr="00470388">
        <w:trPr>
          <w:trHeight w:val="403"/>
        </w:trPr>
        <w:tc>
          <w:tcPr>
            <w:tcW w:w="1209" w:type="pct"/>
            <w:shd w:val="clear" w:color="auto" w:fill="B2ECFB" w:themeFill="accent5" w:themeFillTint="66"/>
            <w:vAlign w:val="center"/>
          </w:tcPr>
          <w:p w14:paraId="1163400D" w14:textId="77777777" w:rsidR="00310A64" w:rsidRPr="00470388" w:rsidRDefault="00310A64" w:rsidP="00310A64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Comm Title:</w:t>
            </w:r>
          </w:p>
        </w:tc>
        <w:tc>
          <w:tcPr>
            <w:tcW w:w="3791" w:type="pct"/>
            <w:vAlign w:val="center"/>
          </w:tcPr>
          <w:p w14:paraId="4CEB4B26" w14:textId="5674770B" w:rsidR="00176D37" w:rsidRDefault="00176D37" w:rsidP="00176D37">
            <w:pPr>
              <w:rPr>
                <w:rFonts w:cs="Arial"/>
                <w:szCs w:val="20"/>
              </w:rPr>
            </w:pPr>
          </w:p>
          <w:p w14:paraId="4D07BCDC" w14:textId="37E342C5" w:rsidR="00176D37" w:rsidRPr="00BC3CAC" w:rsidRDefault="00176D37" w:rsidP="00A4679A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Deletion of Customer Contact Details and Priority Service Register Data (PSR) at the Change of Shipper and Supplier Events</w:t>
            </w:r>
          </w:p>
          <w:p w14:paraId="28552868" w14:textId="722ECCD3" w:rsidR="00310A64" w:rsidRPr="00BC3CAC" w:rsidRDefault="00310A64" w:rsidP="00E43FF8">
            <w:pPr>
              <w:rPr>
                <w:rFonts w:cs="Arial"/>
                <w:szCs w:val="20"/>
              </w:rPr>
            </w:pPr>
          </w:p>
        </w:tc>
      </w:tr>
      <w:tr w:rsidR="00310A64" w:rsidRPr="00BC3CAC" w14:paraId="09A3B173" w14:textId="77777777" w:rsidTr="00470388">
        <w:trPr>
          <w:trHeight w:val="403"/>
        </w:trPr>
        <w:tc>
          <w:tcPr>
            <w:tcW w:w="1209" w:type="pct"/>
            <w:shd w:val="clear" w:color="auto" w:fill="B2ECFB" w:themeFill="accent5" w:themeFillTint="66"/>
            <w:vAlign w:val="center"/>
          </w:tcPr>
          <w:p w14:paraId="21B6C2F1" w14:textId="77777777" w:rsidR="00310A64" w:rsidRPr="00470388" w:rsidRDefault="00310A64" w:rsidP="00310A64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Comm Date:</w:t>
            </w:r>
          </w:p>
        </w:tc>
        <w:tc>
          <w:tcPr>
            <w:tcW w:w="3791" w:type="pct"/>
            <w:vAlign w:val="center"/>
          </w:tcPr>
          <w:p w14:paraId="17B1E6A4" w14:textId="6DCD4C80" w:rsidR="00310A64" w:rsidRPr="00176D37" w:rsidRDefault="00176D37" w:rsidP="00441FB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DA31F7">
              <w:rPr>
                <w:rFonts w:cs="Arial"/>
                <w:szCs w:val="20"/>
              </w:rPr>
              <w:t>4</w:t>
            </w:r>
            <w:r w:rsidRPr="00176D37">
              <w:rPr>
                <w:rFonts w:cs="Arial"/>
                <w:szCs w:val="20"/>
                <w:vertAlign w:val="superscript"/>
              </w:rPr>
              <w:t>th</w:t>
            </w:r>
            <w:r>
              <w:rPr>
                <w:rFonts w:cs="Arial"/>
                <w:szCs w:val="20"/>
              </w:rPr>
              <w:t xml:space="preserve"> October 2019</w:t>
            </w:r>
          </w:p>
        </w:tc>
      </w:tr>
    </w:tbl>
    <w:p w14:paraId="672A6659" w14:textId="77777777" w:rsidR="00310A64" w:rsidRDefault="00310A64" w:rsidP="00310A64"/>
    <w:p w14:paraId="4EE3132A" w14:textId="77777777" w:rsidR="00310A64" w:rsidRDefault="00310A64" w:rsidP="00310A64">
      <w:pPr>
        <w:spacing w:after="0"/>
        <w:rPr>
          <w:rFonts w:eastAsiaTheme="majorEastAsia" w:cstheme="majorBidi"/>
          <w:b/>
          <w:bCs/>
          <w:color w:val="3E5AA8"/>
          <w:sz w:val="28"/>
          <w:szCs w:val="28"/>
        </w:rPr>
      </w:pPr>
      <w:r w:rsidRPr="00310A64">
        <w:rPr>
          <w:rFonts w:eastAsiaTheme="majorEastAsia" w:cstheme="majorBidi"/>
          <w:b/>
          <w:bCs/>
          <w:color w:val="3E5AA8"/>
          <w:sz w:val="28"/>
          <w:szCs w:val="28"/>
        </w:rPr>
        <w:t>Change Representation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80"/>
        <w:gridCol w:w="6836"/>
      </w:tblGrid>
      <w:tr w:rsidR="00310A64" w:rsidRPr="00BC3CAC" w14:paraId="16D46958" w14:textId="77777777" w:rsidTr="00470388">
        <w:trPr>
          <w:trHeight w:val="403"/>
        </w:trPr>
        <w:tc>
          <w:tcPr>
            <w:tcW w:w="1209" w:type="pct"/>
            <w:shd w:val="clear" w:color="auto" w:fill="B2ECFB" w:themeFill="accent5" w:themeFillTint="66"/>
            <w:vAlign w:val="center"/>
          </w:tcPr>
          <w:p w14:paraId="1F060648" w14:textId="77777777" w:rsidR="00310A64" w:rsidRPr="00470388" w:rsidRDefault="00310A64" w:rsidP="00470388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Action Required</w:t>
            </w:r>
            <w:r w:rsidR="00470388" w:rsidRPr="00470388">
              <w:rPr>
                <w:rFonts w:cs="Arial"/>
                <w:szCs w:val="20"/>
              </w:rPr>
              <w:t>:</w:t>
            </w:r>
          </w:p>
        </w:tc>
        <w:tc>
          <w:tcPr>
            <w:tcW w:w="3791" w:type="pct"/>
            <w:vAlign w:val="center"/>
          </w:tcPr>
          <w:p w14:paraId="3EAE7224" w14:textId="42B4F91B" w:rsidR="00310A64" w:rsidRPr="00BC3CAC" w:rsidRDefault="00176D37" w:rsidP="0047038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For Representation </w:t>
            </w:r>
          </w:p>
        </w:tc>
      </w:tr>
      <w:tr w:rsidR="00310A64" w:rsidRPr="00BC3CAC" w14:paraId="5DEB6BAB" w14:textId="77777777" w:rsidTr="00470388">
        <w:trPr>
          <w:trHeight w:val="403"/>
        </w:trPr>
        <w:tc>
          <w:tcPr>
            <w:tcW w:w="1209" w:type="pct"/>
            <w:shd w:val="clear" w:color="auto" w:fill="B2ECFB" w:themeFill="accent5" w:themeFillTint="66"/>
            <w:vAlign w:val="center"/>
          </w:tcPr>
          <w:p w14:paraId="0320B0C5" w14:textId="77777777" w:rsidR="00310A64" w:rsidRPr="00470388" w:rsidRDefault="00310A64" w:rsidP="00470388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Close Out Date</w:t>
            </w:r>
            <w:r w:rsidR="00470388" w:rsidRPr="00470388">
              <w:rPr>
                <w:rFonts w:cs="Arial"/>
                <w:szCs w:val="20"/>
              </w:rPr>
              <w:t>:</w:t>
            </w:r>
          </w:p>
        </w:tc>
        <w:tc>
          <w:tcPr>
            <w:tcW w:w="3791" w:type="pct"/>
            <w:vAlign w:val="center"/>
          </w:tcPr>
          <w:p w14:paraId="6E7304CF" w14:textId="354FEBDD" w:rsidR="00310A64" w:rsidRPr="00176D37" w:rsidRDefault="00176D37" w:rsidP="00441FB3">
            <w:pPr>
              <w:rPr>
                <w:rFonts w:cs="Arial"/>
                <w:szCs w:val="20"/>
              </w:rPr>
            </w:pPr>
            <w:r>
              <w:rPr>
                <w:rFonts w:cs="Arial"/>
              </w:rPr>
              <w:t>2</w:t>
            </w:r>
            <w:r w:rsidR="00DA31F7">
              <w:rPr>
                <w:rFonts w:cs="Arial"/>
              </w:rPr>
              <w:t>8</w:t>
            </w:r>
            <w:r w:rsidRPr="00176D37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October 2019</w:t>
            </w:r>
          </w:p>
        </w:tc>
      </w:tr>
    </w:tbl>
    <w:p w14:paraId="2E92580D" w14:textId="77777777" w:rsidR="00310A64" w:rsidRDefault="00310A64" w:rsidP="00310A64">
      <w:pPr>
        <w:pStyle w:val="Heading1"/>
      </w:pPr>
      <w:r>
        <w:t>Change Detail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80"/>
        <w:gridCol w:w="6836"/>
      </w:tblGrid>
      <w:tr w:rsidR="00310A64" w:rsidRPr="00BC3CAC" w14:paraId="104C710D" w14:textId="77777777" w:rsidTr="00470388">
        <w:trPr>
          <w:trHeight w:val="403"/>
        </w:trPr>
        <w:tc>
          <w:tcPr>
            <w:tcW w:w="1209" w:type="pct"/>
            <w:shd w:val="clear" w:color="auto" w:fill="B2ECFB" w:themeFill="accent5" w:themeFillTint="66"/>
            <w:vAlign w:val="center"/>
          </w:tcPr>
          <w:p w14:paraId="52D4D8BC" w14:textId="77777777" w:rsidR="00310A64" w:rsidRPr="00470388" w:rsidRDefault="00310A64" w:rsidP="00470388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Xoserve Reference Number</w:t>
            </w:r>
            <w:r w:rsidR="00470388" w:rsidRPr="00470388">
              <w:rPr>
                <w:rFonts w:cs="Arial"/>
                <w:szCs w:val="20"/>
              </w:rPr>
              <w:t>:</w:t>
            </w:r>
            <w:r w:rsidRPr="0047038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3791" w:type="pct"/>
            <w:vAlign w:val="center"/>
          </w:tcPr>
          <w:p w14:paraId="1EDE68AA" w14:textId="118D7081" w:rsidR="00310A64" w:rsidRPr="00BC3CAC" w:rsidRDefault="00DA31F7" w:rsidP="0047038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XRN</w:t>
            </w:r>
            <w:r w:rsidR="00176D37">
              <w:rPr>
                <w:rFonts w:cs="Arial"/>
                <w:szCs w:val="20"/>
              </w:rPr>
              <w:t xml:space="preserve">4897 and </w:t>
            </w:r>
            <w:r>
              <w:rPr>
                <w:rFonts w:cs="Arial"/>
                <w:szCs w:val="20"/>
              </w:rPr>
              <w:t>XRN</w:t>
            </w:r>
            <w:r w:rsidR="00176D37">
              <w:rPr>
                <w:rFonts w:cs="Arial"/>
                <w:szCs w:val="20"/>
              </w:rPr>
              <w:t>4899</w:t>
            </w:r>
          </w:p>
        </w:tc>
      </w:tr>
      <w:tr w:rsidR="00310A64" w:rsidRPr="00BC3CAC" w14:paraId="3CF3ED69" w14:textId="77777777" w:rsidTr="00470388">
        <w:trPr>
          <w:trHeight w:val="403"/>
        </w:trPr>
        <w:tc>
          <w:tcPr>
            <w:tcW w:w="1209" w:type="pct"/>
            <w:shd w:val="clear" w:color="auto" w:fill="B2ECFB" w:themeFill="accent5" w:themeFillTint="66"/>
            <w:vAlign w:val="center"/>
          </w:tcPr>
          <w:p w14:paraId="72CA1B45" w14:textId="77777777" w:rsidR="00310A64" w:rsidRPr="00470388" w:rsidRDefault="00310A64" w:rsidP="00470388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Change Class</w:t>
            </w:r>
            <w:r w:rsidR="00470388" w:rsidRPr="00470388">
              <w:rPr>
                <w:rFonts w:cs="Arial"/>
                <w:szCs w:val="20"/>
              </w:rPr>
              <w:t>:</w:t>
            </w:r>
          </w:p>
        </w:tc>
        <w:tc>
          <w:tcPr>
            <w:tcW w:w="3791" w:type="pct"/>
            <w:vAlign w:val="center"/>
          </w:tcPr>
          <w:p w14:paraId="0C04FD9D" w14:textId="2628F2A6" w:rsidR="00310A64" w:rsidRPr="00BC3CAC" w:rsidRDefault="00176D37" w:rsidP="0047038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Functional</w:t>
            </w:r>
          </w:p>
        </w:tc>
      </w:tr>
      <w:tr w:rsidR="00310A64" w:rsidRPr="00BC3CAC" w14:paraId="609B0871" w14:textId="77777777" w:rsidTr="00470388">
        <w:trPr>
          <w:trHeight w:val="403"/>
        </w:trPr>
        <w:tc>
          <w:tcPr>
            <w:tcW w:w="1209" w:type="pct"/>
            <w:shd w:val="clear" w:color="auto" w:fill="B2ECFB" w:themeFill="accent5" w:themeFillTint="66"/>
            <w:vAlign w:val="center"/>
          </w:tcPr>
          <w:p w14:paraId="36A70970" w14:textId="77777777" w:rsidR="00310A64" w:rsidRPr="00470388" w:rsidRDefault="00310A64" w:rsidP="00470388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ChMC Constituency Impacted</w:t>
            </w:r>
            <w:r w:rsidR="00470388" w:rsidRPr="00470388">
              <w:rPr>
                <w:rFonts w:cs="Arial"/>
                <w:szCs w:val="20"/>
              </w:rPr>
              <w:t>:</w:t>
            </w:r>
          </w:p>
        </w:tc>
        <w:tc>
          <w:tcPr>
            <w:tcW w:w="3791" w:type="pct"/>
            <w:vAlign w:val="center"/>
          </w:tcPr>
          <w:p w14:paraId="235F7767" w14:textId="77777777" w:rsidR="00176D37" w:rsidRDefault="00176D37" w:rsidP="00470388">
            <w:pPr>
              <w:rPr>
                <w:rFonts w:cs="Arial"/>
                <w:i/>
                <w:sz w:val="20"/>
              </w:rPr>
            </w:pPr>
          </w:p>
          <w:p w14:paraId="0ECFDC05" w14:textId="5564038B" w:rsidR="00176D37" w:rsidRPr="00176D37" w:rsidRDefault="00E43FF8" w:rsidP="00B952F9">
            <w:pPr>
              <w:jc w:val="both"/>
              <w:rPr>
                <w:rFonts w:cs="Arial"/>
                <w:szCs w:val="20"/>
              </w:rPr>
            </w:pPr>
            <w:r w:rsidRPr="00176D37">
              <w:rPr>
                <w:rFonts w:cs="Arial"/>
                <w:szCs w:val="20"/>
              </w:rPr>
              <w:t>Shipper Class A</w:t>
            </w:r>
            <w:r w:rsidR="00146681">
              <w:rPr>
                <w:rFonts w:cs="Arial"/>
                <w:szCs w:val="20"/>
              </w:rPr>
              <w:t xml:space="preserve">; </w:t>
            </w:r>
            <w:r w:rsidRPr="00176D37">
              <w:rPr>
                <w:rFonts w:cs="Arial"/>
                <w:szCs w:val="20"/>
              </w:rPr>
              <w:t xml:space="preserve">Shipper Class </w:t>
            </w:r>
            <w:r w:rsidR="006B1889" w:rsidRPr="00176D37">
              <w:rPr>
                <w:rFonts w:cs="Arial"/>
                <w:szCs w:val="20"/>
              </w:rPr>
              <w:t>B</w:t>
            </w:r>
            <w:r w:rsidR="006B1889">
              <w:rPr>
                <w:rFonts w:cs="Arial"/>
                <w:szCs w:val="20"/>
              </w:rPr>
              <w:t xml:space="preserve">; </w:t>
            </w:r>
            <w:r w:rsidR="006B1889" w:rsidRPr="00176D37">
              <w:rPr>
                <w:rFonts w:cs="Arial"/>
                <w:szCs w:val="20"/>
              </w:rPr>
              <w:t>Shipper</w:t>
            </w:r>
            <w:r w:rsidRPr="00176D37">
              <w:rPr>
                <w:rFonts w:cs="Arial"/>
                <w:szCs w:val="20"/>
              </w:rPr>
              <w:t xml:space="preserve"> Class </w:t>
            </w:r>
            <w:r w:rsidR="002015B2" w:rsidRPr="00176D37">
              <w:rPr>
                <w:rFonts w:cs="Arial"/>
                <w:szCs w:val="20"/>
              </w:rPr>
              <w:t>C</w:t>
            </w:r>
            <w:r w:rsidR="002015B2">
              <w:rPr>
                <w:rFonts w:cs="Arial"/>
                <w:szCs w:val="20"/>
              </w:rPr>
              <w:t xml:space="preserve">; </w:t>
            </w:r>
            <w:proofErr w:type="gramStart"/>
            <w:r w:rsidR="002015B2" w:rsidRPr="00176D37">
              <w:rPr>
                <w:rFonts w:cs="Arial"/>
                <w:szCs w:val="20"/>
              </w:rPr>
              <w:t>DNs</w:t>
            </w:r>
            <w:r w:rsidR="00146681">
              <w:rPr>
                <w:rFonts w:cs="Arial"/>
                <w:szCs w:val="20"/>
              </w:rPr>
              <w:t xml:space="preserve">; </w:t>
            </w:r>
            <w:r w:rsidR="00176D37" w:rsidRPr="00176D37">
              <w:rPr>
                <w:rFonts w:cs="Arial"/>
                <w:szCs w:val="20"/>
              </w:rPr>
              <w:t xml:space="preserve"> and</w:t>
            </w:r>
            <w:proofErr w:type="gramEnd"/>
            <w:r w:rsidR="00176D37" w:rsidRPr="00176D37">
              <w:rPr>
                <w:rFonts w:cs="Arial"/>
                <w:szCs w:val="20"/>
              </w:rPr>
              <w:t xml:space="preserve"> </w:t>
            </w:r>
            <w:r w:rsidR="007C721E">
              <w:rPr>
                <w:rFonts w:cs="Arial"/>
                <w:szCs w:val="20"/>
              </w:rPr>
              <w:t>I</w:t>
            </w:r>
            <w:r w:rsidRPr="00176D37">
              <w:rPr>
                <w:rFonts w:cs="Arial"/>
                <w:szCs w:val="20"/>
              </w:rPr>
              <w:t>GTs</w:t>
            </w:r>
          </w:p>
          <w:p w14:paraId="2ADA38D5" w14:textId="77777777" w:rsidR="00176D37" w:rsidRPr="00176D37" w:rsidRDefault="00176D37" w:rsidP="00470388">
            <w:pPr>
              <w:rPr>
                <w:rFonts w:cs="Arial"/>
                <w:szCs w:val="20"/>
              </w:rPr>
            </w:pPr>
          </w:p>
          <w:p w14:paraId="71592EA3" w14:textId="4DBE2B6C" w:rsidR="00310A64" w:rsidRDefault="00E43FF8" w:rsidP="00470388">
            <w:pPr>
              <w:rPr>
                <w:rFonts w:cs="Arial"/>
                <w:szCs w:val="20"/>
              </w:rPr>
            </w:pPr>
            <w:r w:rsidRPr="00176D37">
              <w:rPr>
                <w:rFonts w:cs="Arial"/>
                <w:szCs w:val="20"/>
              </w:rPr>
              <w:t xml:space="preserve">Users </w:t>
            </w:r>
            <w:r w:rsidR="00146681">
              <w:rPr>
                <w:rFonts w:cs="Arial"/>
                <w:szCs w:val="20"/>
              </w:rPr>
              <w:t xml:space="preserve">are requested </w:t>
            </w:r>
            <w:r w:rsidRPr="00176D37">
              <w:rPr>
                <w:rFonts w:cs="Arial"/>
                <w:szCs w:val="20"/>
              </w:rPr>
              <w:t>to confirm</w:t>
            </w:r>
          </w:p>
          <w:p w14:paraId="2A64C541" w14:textId="0971E48A" w:rsidR="00176D37" w:rsidRPr="00BC3CAC" w:rsidRDefault="00176D37" w:rsidP="00470388">
            <w:pPr>
              <w:rPr>
                <w:rFonts w:cs="Arial"/>
                <w:szCs w:val="20"/>
              </w:rPr>
            </w:pPr>
          </w:p>
        </w:tc>
      </w:tr>
      <w:tr w:rsidR="00310A64" w:rsidRPr="00BC3CAC" w14:paraId="43A329FB" w14:textId="77777777" w:rsidTr="00470388">
        <w:trPr>
          <w:trHeight w:val="403"/>
        </w:trPr>
        <w:tc>
          <w:tcPr>
            <w:tcW w:w="1209" w:type="pct"/>
            <w:shd w:val="clear" w:color="auto" w:fill="B2ECFB" w:themeFill="accent5" w:themeFillTint="66"/>
            <w:vAlign w:val="center"/>
          </w:tcPr>
          <w:p w14:paraId="247C1A6B" w14:textId="77777777" w:rsidR="00310A64" w:rsidRPr="00470388" w:rsidRDefault="00310A64" w:rsidP="00470388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Change Owner</w:t>
            </w:r>
            <w:r w:rsidR="00470388" w:rsidRPr="00470388">
              <w:rPr>
                <w:rFonts w:cs="Arial"/>
                <w:szCs w:val="20"/>
              </w:rPr>
              <w:t>:</w:t>
            </w:r>
            <w:r w:rsidRPr="0047038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3791" w:type="pct"/>
            <w:vAlign w:val="center"/>
          </w:tcPr>
          <w:p w14:paraId="4804B631" w14:textId="77777777" w:rsidR="00176D37" w:rsidRDefault="00176D37" w:rsidP="00D168F4">
            <w:pPr>
              <w:rPr>
                <w:rFonts w:cs="Arial"/>
                <w:i/>
              </w:rPr>
            </w:pPr>
          </w:p>
          <w:p w14:paraId="7BBF0BE1" w14:textId="0169844A" w:rsidR="006C66CA" w:rsidRPr="00176D37" w:rsidRDefault="00176D37" w:rsidP="00D168F4">
            <w:pPr>
              <w:rPr>
                <w:rFonts w:asciiTheme="minorHAnsi" w:hAnsiTheme="minorHAnsi" w:cstheme="minorHAnsi"/>
              </w:rPr>
            </w:pPr>
            <w:r w:rsidRPr="00176D37">
              <w:rPr>
                <w:rFonts w:asciiTheme="minorHAnsi" w:hAnsiTheme="minorHAnsi" w:cstheme="minorHAnsi"/>
              </w:rPr>
              <w:t>David Addison</w:t>
            </w:r>
          </w:p>
          <w:p w14:paraId="430A7995" w14:textId="77777777" w:rsidR="00176D37" w:rsidRPr="00176D37" w:rsidRDefault="00293725" w:rsidP="00176D37">
            <w:pPr>
              <w:rPr>
                <w:rFonts w:asciiTheme="minorHAnsi" w:hAnsiTheme="minorHAnsi" w:cstheme="minorHAnsi"/>
                <w:szCs w:val="20"/>
              </w:rPr>
            </w:pPr>
            <w:hyperlink r:id="rId11" w:history="1">
              <w:r w:rsidR="00176D37" w:rsidRPr="00176D37">
                <w:rPr>
                  <w:rStyle w:val="Hyperlink"/>
                  <w:rFonts w:asciiTheme="minorHAnsi" w:hAnsiTheme="minorHAnsi" w:cstheme="minorHAnsi"/>
                  <w:szCs w:val="20"/>
                </w:rPr>
                <w:t>David.Addison@Xoserve.com</w:t>
              </w:r>
            </w:hyperlink>
            <w:r w:rsidR="00176D37" w:rsidRPr="00176D37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3949D45B" w14:textId="03E731BC" w:rsidR="00176D37" w:rsidRPr="00BC3CAC" w:rsidRDefault="00176D37" w:rsidP="00176D37">
            <w:pPr>
              <w:rPr>
                <w:rFonts w:cs="Arial"/>
                <w:szCs w:val="20"/>
              </w:rPr>
            </w:pPr>
          </w:p>
        </w:tc>
      </w:tr>
      <w:tr w:rsidR="00310A64" w:rsidRPr="00481FCE" w14:paraId="31D06CEF" w14:textId="77777777" w:rsidTr="00470388">
        <w:trPr>
          <w:trHeight w:val="403"/>
        </w:trPr>
        <w:tc>
          <w:tcPr>
            <w:tcW w:w="1209" w:type="pct"/>
            <w:shd w:val="clear" w:color="auto" w:fill="B2ECFB" w:themeFill="accent5" w:themeFillTint="66"/>
            <w:vAlign w:val="center"/>
          </w:tcPr>
          <w:p w14:paraId="29ABCC6B" w14:textId="77777777" w:rsidR="00310A64" w:rsidRPr="00481FCE" w:rsidRDefault="00310A64" w:rsidP="00470388">
            <w:pPr>
              <w:jc w:val="right"/>
              <w:rPr>
                <w:rFonts w:cs="Arial"/>
                <w:szCs w:val="20"/>
              </w:rPr>
            </w:pPr>
            <w:r w:rsidRPr="00481FCE">
              <w:rPr>
                <w:rFonts w:cs="Arial"/>
                <w:szCs w:val="20"/>
              </w:rPr>
              <w:t>Background and Context</w:t>
            </w:r>
            <w:r w:rsidR="00470388" w:rsidRPr="00481FCE">
              <w:rPr>
                <w:rFonts w:cs="Arial"/>
                <w:szCs w:val="20"/>
              </w:rPr>
              <w:t>:</w:t>
            </w:r>
          </w:p>
        </w:tc>
        <w:tc>
          <w:tcPr>
            <w:tcW w:w="3791" w:type="pct"/>
            <w:vAlign w:val="center"/>
          </w:tcPr>
          <w:p w14:paraId="1127286C" w14:textId="77777777" w:rsidR="00176D37" w:rsidRDefault="00176D37" w:rsidP="001A374A">
            <w:pPr>
              <w:rPr>
                <w:rFonts w:cs="Arial"/>
              </w:rPr>
            </w:pPr>
          </w:p>
          <w:p w14:paraId="5F028677" w14:textId="2D6552D4" w:rsidR="00176D37" w:rsidRDefault="00176D37" w:rsidP="00B952F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Currently, </w:t>
            </w:r>
            <w:r w:rsidR="00146681">
              <w:rPr>
                <w:rFonts w:cs="Arial"/>
              </w:rPr>
              <w:t xml:space="preserve">Contact </w:t>
            </w:r>
            <w:r w:rsidR="00F145B0">
              <w:rPr>
                <w:rFonts w:cs="Arial"/>
              </w:rPr>
              <w:t xml:space="preserve">Details (including Emergency and Consumer Contact Details and </w:t>
            </w:r>
            <w:r>
              <w:rPr>
                <w:rFonts w:cs="Arial"/>
              </w:rPr>
              <w:t>Priority Consumer Data</w:t>
            </w:r>
            <w:r w:rsidR="00F145B0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</w:t>
            </w:r>
            <w:r w:rsidR="00B952F9">
              <w:rPr>
                <w:rFonts w:cs="Arial"/>
              </w:rPr>
              <w:t>are</w:t>
            </w:r>
            <w:r>
              <w:rPr>
                <w:rFonts w:cs="Arial"/>
              </w:rPr>
              <w:t xml:space="preserve"> deleted when a Supply Meter Point goes through a Change of Shipper event (for the avoidance of doubt this is Contact Details (i.e. data within S66; S67) and Priority Service Data (e.g. data of the nature within S83; S84 – Medical Conditions / Alternative Contact Details) and ‘Premises_Customer_Name’ and ‘Shippers_Customer_Name’.  </w:t>
            </w:r>
          </w:p>
          <w:p w14:paraId="7EED6D1A" w14:textId="77777777" w:rsidR="00176D37" w:rsidRDefault="00176D37" w:rsidP="00176D37">
            <w:pPr>
              <w:rPr>
                <w:rFonts w:cs="Arial"/>
              </w:rPr>
            </w:pPr>
          </w:p>
          <w:p w14:paraId="757F7188" w14:textId="346511FD" w:rsidR="00176D37" w:rsidRDefault="00176D37" w:rsidP="00B952F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The deletion of such data does not occur when there is a </w:t>
            </w:r>
            <w:r w:rsidRPr="001A374A">
              <w:rPr>
                <w:rFonts w:cs="Arial"/>
                <w:b/>
              </w:rPr>
              <w:t>Change of Supplier</w:t>
            </w:r>
            <w:r>
              <w:rPr>
                <w:rFonts w:cs="Arial"/>
              </w:rPr>
              <w:t xml:space="preserve"> </w:t>
            </w:r>
            <w:r w:rsidRPr="001A374A">
              <w:rPr>
                <w:rFonts w:cs="Arial"/>
                <w:b/>
              </w:rPr>
              <w:t>only</w:t>
            </w:r>
            <w:r>
              <w:rPr>
                <w:rFonts w:cs="Arial"/>
              </w:rPr>
              <w:t xml:space="preserve"> (i.e. where this is not coincident with a Change of Shipper event). This Change proposes that this data (</w:t>
            </w:r>
            <w:r w:rsidR="00F145B0">
              <w:rPr>
                <w:rFonts w:cs="Arial"/>
              </w:rPr>
              <w:t xml:space="preserve">Consumer </w:t>
            </w:r>
            <w:r w:rsidR="00B17B9A">
              <w:rPr>
                <w:rFonts w:cs="Arial"/>
              </w:rPr>
              <w:t>C</w:t>
            </w:r>
            <w:r>
              <w:rPr>
                <w:rFonts w:cs="Arial"/>
              </w:rPr>
              <w:t xml:space="preserve">ontact Details and Priority Service Data) is also deleted at a Change of Supplier event whether via confirmation or Supplier sought amendment </w:t>
            </w:r>
            <w:r w:rsidR="00B952F9">
              <w:rPr>
                <w:rFonts w:cs="Arial"/>
              </w:rPr>
              <w:t>(</w:t>
            </w:r>
            <w:r w:rsidR="00F145B0">
              <w:rPr>
                <w:rFonts w:cs="Arial"/>
              </w:rPr>
              <w:t>XRN4899</w:t>
            </w:r>
            <w:r w:rsidR="00B952F9">
              <w:rPr>
                <w:rFonts w:cs="Arial"/>
              </w:rPr>
              <w:t>).</w:t>
            </w:r>
          </w:p>
          <w:p w14:paraId="5B5F245B" w14:textId="6C02A174" w:rsidR="00176D37" w:rsidRDefault="00176D37" w:rsidP="00176D37">
            <w:pPr>
              <w:rPr>
                <w:rFonts w:cs="Arial"/>
              </w:rPr>
            </w:pPr>
          </w:p>
          <w:p w14:paraId="3BF8DCA5" w14:textId="33C92766" w:rsidR="00176D37" w:rsidRDefault="00F145B0" w:rsidP="00B952F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During analysis of the treatment of Contact Details we have also identified that the purging of Contact Details at a Change of Shipper event has not been completed </w:t>
            </w:r>
            <w:r w:rsidR="00F92ADC">
              <w:rPr>
                <w:rFonts w:cs="Arial"/>
              </w:rPr>
              <w:t xml:space="preserve">in the business warehouse where the Contact Details have been end dated. This data is not used in any </w:t>
            </w:r>
            <w:r w:rsidR="001A374A">
              <w:rPr>
                <w:rFonts w:cs="Arial"/>
              </w:rPr>
              <w:t>reporting but</w:t>
            </w:r>
            <w:r w:rsidR="00F92ADC">
              <w:rPr>
                <w:rFonts w:cs="Arial"/>
              </w:rPr>
              <w:t xml:space="preserve"> should be deleted. This change will ensure that once Contact Details have reached their end date these will be purged entirely from the UK Link system </w:t>
            </w:r>
            <w:r w:rsidR="00B952F9">
              <w:rPr>
                <w:rFonts w:cs="Arial"/>
              </w:rPr>
              <w:t>(</w:t>
            </w:r>
            <w:r w:rsidR="00F92ADC">
              <w:rPr>
                <w:rFonts w:cs="Arial"/>
              </w:rPr>
              <w:t>XRN4897</w:t>
            </w:r>
            <w:r w:rsidR="00B952F9">
              <w:rPr>
                <w:rFonts w:cs="Arial"/>
              </w:rPr>
              <w:t>).</w:t>
            </w:r>
          </w:p>
          <w:p w14:paraId="0BD3071B" w14:textId="39C452C1" w:rsidR="00B17B9A" w:rsidRDefault="00B17B9A" w:rsidP="00176D37">
            <w:pPr>
              <w:rPr>
                <w:rFonts w:cs="Arial"/>
              </w:rPr>
            </w:pPr>
          </w:p>
          <w:p w14:paraId="13B3B4FA" w14:textId="6FDE0740" w:rsidR="00F92ADC" w:rsidRDefault="00B17B9A" w:rsidP="00B952F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These changes are </w:t>
            </w:r>
            <w:r w:rsidR="00F92ADC">
              <w:rPr>
                <w:rFonts w:cs="Arial"/>
              </w:rPr>
              <w:t xml:space="preserve">required to ensure that only relevant Contact Details are retained in UK Link systems. Since the data has been obtained by the Supplier from the Consumer, </w:t>
            </w:r>
            <w:proofErr w:type="gramStart"/>
            <w:r w:rsidR="00F92ADC">
              <w:rPr>
                <w:rFonts w:cs="Arial"/>
              </w:rPr>
              <w:t>in the event that</w:t>
            </w:r>
            <w:proofErr w:type="gramEnd"/>
            <w:r w:rsidR="00F92ADC">
              <w:rPr>
                <w:rFonts w:cs="Arial"/>
              </w:rPr>
              <w:t xml:space="preserve"> the Supplier has changed</w:t>
            </w:r>
            <w:r w:rsidR="0085298E">
              <w:rPr>
                <w:rFonts w:cs="Arial"/>
              </w:rPr>
              <w:t>,</w:t>
            </w:r>
            <w:r w:rsidR="00F92ADC">
              <w:rPr>
                <w:rFonts w:cs="Arial"/>
              </w:rPr>
              <w:t xml:space="preserve"> this data should not be considered current</w:t>
            </w:r>
            <w:r w:rsidR="0085298E">
              <w:rPr>
                <w:rFonts w:cs="Arial"/>
              </w:rPr>
              <w:t xml:space="preserve"> and should be purged from UK Link systems, therefore not available to a subsequent </w:t>
            </w:r>
            <w:r w:rsidR="00F92ADC">
              <w:rPr>
                <w:rFonts w:cs="Arial"/>
              </w:rPr>
              <w:t xml:space="preserve">Supplier.  </w:t>
            </w:r>
          </w:p>
          <w:p w14:paraId="3EA112FC" w14:textId="77777777" w:rsidR="001A374A" w:rsidRDefault="001A374A" w:rsidP="00176D37">
            <w:pPr>
              <w:rPr>
                <w:rFonts w:cs="Arial"/>
              </w:rPr>
            </w:pPr>
          </w:p>
          <w:p w14:paraId="3BA78C92" w14:textId="19949F24" w:rsidR="00B17B9A" w:rsidRDefault="00F92ADC" w:rsidP="00B952F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Under the Central Switching System Consequential Change (XRN4267) there is a requirement to retain </w:t>
            </w:r>
            <w:r w:rsidR="00B17B9A">
              <w:rPr>
                <w:rFonts w:cs="Arial"/>
              </w:rPr>
              <w:t>Emergency Contact Details (EMC) as, under the Central Switching Service, there is a requirement to retain EMC data at the Change of Shipper and Supplier events respectively.</w:t>
            </w:r>
            <w:r>
              <w:rPr>
                <w:rFonts w:cs="Arial"/>
              </w:rPr>
              <w:t xml:space="preserve"> We propose to retain Emergency Contact Details at a Change of Supplier </w:t>
            </w:r>
            <w:r w:rsidR="00B23DC7">
              <w:rPr>
                <w:rFonts w:cs="Arial"/>
              </w:rPr>
              <w:t>event, as otherwise we would delete them as part of this change for them to be reinstated subsequently as part of CSSC. Specific comments are invited with respect to this approach.</w:t>
            </w:r>
          </w:p>
          <w:p w14:paraId="3DC6CB75" w14:textId="76C0A599" w:rsidR="00310A64" w:rsidRPr="00176D37" w:rsidRDefault="00310A64" w:rsidP="00AE479D">
            <w:pPr>
              <w:rPr>
                <w:szCs w:val="20"/>
              </w:rPr>
            </w:pPr>
          </w:p>
        </w:tc>
      </w:tr>
    </w:tbl>
    <w:p w14:paraId="26A715AF" w14:textId="77777777" w:rsidR="00310A64" w:rsidRPr="00481FCE" w:rsidRDefault="00310A64" w:rsidP="00310A64">
      <w:pPr>
        <w:pStyle w:val="Heading1"/>
      </w:pPr>
      <w:r w:rsidRPr="00481FCE">
        <w:lastRenderedPageBreak/>
        <w:t>Change Impact Assessment Dashboard (UK Link)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80"/>
        <w:gridCol w:w="6836"/>
      </w:tblGrid>
      <w:tr w:rsidR="00D168F4" w:rsidRPr="00481FCE" w14:paraId="191B88A3" w14:textId="77777777" w:rsidTr="00441FB3">
        <w:trPr>
          <w:trHeight w:val="403"/>
        </w:trPr>
        <w:tc>
          <w:tcPr>
            <w:tcW w:w="1209" w:type="pct"/>
            <w:shd w:val="clear" w:color="auto" w:fill="B2ECFB" w:themeFill="accent5" w:themeFillTint="66"/>
            <w:vAlign w:val="center"/>
          </w:tcPr>
          <w:p w14:paraId="0E6AB767" w14:textId="77777777" w:rsidR="00D168F4" w:rsidRPr="00481FCE" w:rsidRDefault="00D168F4" w:rsidP="00470388">
            <w:pPr>
              <w:jc w:val="right"/>
              <w:rPr>
                <w:rFonts w:cs="Arial"/>
                <w:szCs w:val="20"/>
              </w:rPr>
            </w:pPr>
            <w:r w:rsidRPr="00481FCE">
              <w:rPr>
                <w:rFonts w:cs="Arial"/>
                <w:szCs w:val="20"/>
              </w:rPr>
              <w:t>Functional: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4D7DDEC4" w14:textId="59028B23" w:rsidR="00D168F4" w:rsidRPr="00B17B9A" w:rsidRDefault="00B23DC7" w:rsidP="00441F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None identified.</w:t>
            </w:r>
          </w:p>
        </w:tc>
      </w:tr>
      <w:tr w:rsidR="00D168F4" w:rsidRPr="00481FCE" w14:paraId="33A6D955" w14:textId="77777777" w:rsidTr="00441FB3">
        <w:trPr>
          <w:trHeight w:val="403"/>
        </w:trPr>
        <w:tc>
          <w:tcPr>
            <w:tcW w:w="1209" w:type="pct"/>
            <w:shd w:val="clear" w:color="auto" w:fill="B2ECFB" w:themeFill="accent5" w:themeFillTint="66"/>
            <w:vAlign w:val="center"/>
          </w:tcPr>
          <w:p w14:paraId="0DB89936" w14:textId="77777777" w:rsidR="00D168F4" w:rsidRPr="00481FCE" w:rsidRDefault="00D168F4" w:rsidP="00470388">
            <w:pPr>
              <w:jc w:val="right"/>
              <w:rPr>
                <w:rFonts w:cs="Arial"/>
                <w:szCs w:val="20"/>
              </w:rPr>
            </w:pPr>
            <w:r w:rsidRPr="00481FCE">
              <w:rPr>
                <w:rFonts w:cs="Arial"/>
                <w:szCs w:val="20"/>
              </w:rPr>
              <w:t>Non-Functional: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23DB803D" w14:textId="77FCAEF4" w:rsidR="00D168F4" w:rsidRPr="00B17B9A" w:rsidRDefault="00B23DC7" w:rsidP="00441F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Supply Point Administration; </w:t>
            </w:r>
            <w:r w:rsidR="00B17B9A" w:rsidRPr="00B17B9A">
              <w:rPr>
                <w:rFonts w:asciiTheme="minorHAnsi" w:hAnsiTheme="minorHAnsi" w:cstheme="minorHAnsi"/>
              </w:rPr>
              <w:t>Delta Files to the DNs, IGTs</w:t>
            </w:r>
            <w:r w:rsidR="00896B7A">
              <w:rPr>
                <w:rFonts w:asciiTheme="minorHAnsi" w:hAnsiTheme="minorHAnsi" w:cstheme="minorHAnsi"/>
              </w:rPr>
              <w:t>.</w:t>
            </w:r>
          </w:p>
        </w:tc>
      </w:tr>
      <w:tr w:rsidR="00D168F4" w:rsidRPr="00481FCE" w14:paraId="4647E468" w14:textId="77777777" w:rsidTr="00441FB3">
        <w:trPr>
          <w:trHeight w:val="403"/>
        </w:trPr>
        <w:tc>
          <w:tcPr>
            <w:tcW w:w="1209" w:type="pct"/>
            <w:shd w:val="clear" w:color="auto" w:fill="B2ECFB" w:themeFill="accent5" w:themeFillTint="66"/>
            <w:vAlign w:val="center"/>
          </w:tcPr>
          <w:p w14:paraId="009AA98A" w14:textId="77777777" w:rsidR="00D168F4" w:rsidRPr="00481FCE" w:rsidRDefault="00D168F4" w:rsidP="00470388">
            <w:pPr>
              <w:jc w:val="right"/>
              <w:rPr>
                <w:rFonts w:cs="Arial"/>
                <w:szCs w:val="20"/>
              </w:rPr>
            </w:pPr>
            <w:r w:rsidRPr="00481FCE">
              <w:rPr>
                <w:rFonts w:cs="Arial"/>
                <w:szCs w:val="20"/>
              </w:rPr>
              <w:t>Application: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125E4DD2" w14:textId="743B18E5" w:rsidR="00D168F4" w:rsidRPr="00B17B9A" w:rsidRDefault="00B17B9A" w:rsidP="00441FB3">
            <w:pPr>
              <w:rPr>
                <w:rFonts w:asciiTheme="minorHAnsi" w:hAnsiTheme="minorHAnsi" w:cstheme="minorHAnsi"/>
              </w:rPr>
            </w:pPr>
            <w:r w:rsidRPr="00B17B9A">
              <w:rPr>
                <w:rFonts w:asciiTheme="minorHAnsi" w:hAnsiTheme="minorHAnsi" w:cstheme="minorHAnsi"/>
              </w:rPr>
              <w:t>SAP ISU and SAP BW</w:t>
            </w:r>
          </w:p>
        </w:tc>
      </w:tr>
      <w:tr w:rsidR="00D168F4" w:rsidRPr="00481FCE" w14:paraId="55969FE3" w14:textId="77777777" w:rsidTr="00441FB3">
        <w:trPr>
          <w:trHeight w:val="403"/>
        </w:trPr>
        <w:tc>
          <w:tcPr>
            <w:tcW w:w="1209" w:type="pct"/>
            <w:shd w:val="clear" w:color="auto" w:fill="B2ECFB" w:themeFill="accent5" w:themeFillTint="66"/>
            <w:vAlign w:val="center"/>
          </w:tcPr>
          <w:p w14:paraId="1753F8D4" w14:textId="77777777" w:rsidR="00D168F4" w:rsidRPr="00481FCE" w:rsidRDefault="00D168F4" w:rsidP="00470388">
            <w:pPr>
              <w:jc w:val="right"/>
              <w:rPr>
                <w:rFonts w:cs="Arial"/>
                <w:szCs w:val="20"/>
              </w:rPr>
            </w:pPr>
            <w:r w:rsidRPr="00481FCE">
              <w:rPr>
                <w:rFonts w:cs="Arial"/>
                <w:szCs w:val="20"/>
              </w:rPr>
              <w:t>User: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2698190A" w14:textId="5739A244" w:rsidR="00E43FF8" w:rsidRPr="00B17B9A" w:rsidRDefault="00B17B9A" w:rsidP="00441FB3">
            <w:pPr>
              <w:rPr>
                <w:rFonts w:asciiTheme="minorHAnsi" w:hAnsiTheme="minorHAnsi" w:cstheme="minorHAnsi"/>
              </w:rPr>
            </w:pPr>
            <w:r w:rsidRPr="00B17B9A">
              <w:rPr>
                <w:rFonts w:asciiTheme="minorHAnsi" w:hAnsiTheme="minorHAnsi" w:cstheme="minorHAnsi"/>
              </w:rPr>
              <w:t>Shipper</w:t>
            </w:r>
            <w:r w:rsidR="007C721E">
              <w:rPr>
                <w:rFonts w:asciiTheme="minorHAnsi" w:hAnsiTheme="minorHAnsi" w:cstheme="minorHAnsi"/>
              </w:rPr>
              <w:t xml:space="preserve"> Users</w:t>
            </w:r>
            <w:r w:rsidRPr="00B17B9A">
              <w:rPr>
                <w:rFonts w:asciiTheme="minorHAnsi" w:hAnsiTheme="minorHAnsi" w:cstheme="minorHAnsi"/>
              </w:rPr>
              <w:t>, DNs and IGTs</w:t>
            </w:r>
          </w:p>
        </w:tc>
      </w:tr>
      <w:tr w:rsidR="00D168F4" w:rsidRPr="00481FCE" w14:paraId="26C1E195" w14:textId="77777777" w:rsidTr="00441FB3">
        <w:trPr>
          <w:trHeight w:val="403"/>
        </w:trPr>
        <w:tc>
          <w:tcPr>
            <w:tcW w:w="1209" w:type="pct"/>
            <w:shd w:val="clear" w:color="auto" w:fill="B2ECFB" w:themeFill="accent5" w:themeFillTint="66"/>
            <w:vAlign w:val="center"/>
          </w:tcPr>
          <w:p w14:paraId="087FF4EF" w14:textId="77777777" w:rsidR="00D168F4" w:rsidRPr="00481FCE" w:rsidRDefault="00D168F4" w:rsidP="00470388">
            <w:pPr>
              <w:jc w:val="right"/>
              <w:rPr>
                <w:rFonts w:cs="Arial"/>
                <w:szCs w:val="20"/>
              </w:rPr>
            </w:pPr>
            <w:r w:rsidRPr="00481FCE">
              <w:rPr>
                <w:rFonts w:cs="Arial"/>
                <w:szCs w:val="20"/>
              </w:rPr>
              <w:t>Documentation: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2D3AB209" w14:textId="4E5BA2A8" w:rsidR="00D168F4" w:rsidRPr="00B17B9A" w:rsidRDefault="00B17B9A" w:rsidP="00441FB3">
            <w:pPr>
              <w:rPr>
                <w:rFonts w:asciiTheme="minorHAnsi" w:hAnsiTheme="minorHAnsi" w:cstheme="minorHAnsi"/>
              </w:rPr>
            </w:pPr>
            <w:r w:rsidRPr="00B17B9A">
              <w:rPr>
                <w:rFonts w:asciiTheme="minorHAnsi" w:hAnsiTheme="minorHAnsi" w:cstheme="minorHAnsi"/>
              </w:rPr>
              <w:t>None</w:t>
            </w:r>
          </w:p>
        </w:tc>
      </w:tr>
      <w:tr w:rsidR="00D168F4" w:rsidRPr="00470388" w14:paraId="1354787A" w14:textId="77777777" w:rsidTr="00441FB3">
        <w:trPr>
          <w:trHeight w:val="403"/>
        </w:trPr>
        <w:tc>
          <w:tcPr>
            <w:tcW w:w="1209" w:type="pct"/>
            <w:shd w:val="clear" w:color="auto" w:fill="B2ECFB" w:themeFill="accent5" w:themeFillTint="66"/>
            <w:vAlign w:val="center"/>
          </w:tcPr>
          <w:p w14:paraId="485E4ADA" w14:textId="77777777" w:rsidR="00D168F4" w:rsidRPr="00481FCE" w:rsidRDefault="00D168F4" w:rsidP="00470388">
            <w:pPr>
              <w:jc w:val="right"/>
              <w:rPr>
                <w:rFonts w:cs="Arial"/>
                <w:szCs w:val="20"/>
              </w:rPr>
            </w:pPr>
            <w:r w:rsidRPr="00481FCE">
              <w:rPr>
                <w:rFonts w:cs="Arial"/>
                <w:szCs w:val="20"/>
              </w:rPr>
              <w:t>Other: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146E8121" w14:textId="79A8A414" w:rsidR="00D168F4" w:rsidRPr="00B17B9A" w:rsidRDefault="00B17B9A" w:rsidP="00441FB3">
            <w:pPr>
              <w:rPr>
                <w:rFonts w:asciiTheme="minorHAnsi" w:hAnsiTheme="minorHAnsi" w:cstheme="minorHAnsi"/>
              </w:rPr>
            </w:pPr>
            <w:r w:rsidRPr="00B17B9A">
              <w:rPr>
                <w:rFonts w:asciiTheme="minorHAnsi" w:hAnsiTheme="minorHAnsi" w:cstheme="minorHAnsi"/>
              </w:rPr>
              <w:t>N/A</w:t>
            </w:r>
          </w:p>
        </w:tc>
      </w:tr>
    </w:tbl>
    <w:p w14:paraId="6A05A809" w14:textId="77777777" w:rsidR="00BC3CAC" w:rsidRDefault="00BC3CAC" w:rsidP="006C66CA">
      <w:pPr>
        <w:spacing w:after="0"/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74"/>
        <w:gridCol w:w="1935"/>
        <w:gridCol w:w="2074"/>
        <w:gridCol w:w="1800"/>
        <w:gridCol w:w="2133"/>
      </w:tblGrid>
      <w:tr w:rsidR="00BC3CAC" w:rsidRPr="006C66CA" w14:paraId="5C0E02AC" w14:textId="77777777" w:rsidTr="26F14140">
        <w:trPr>
          <w:trHeight w:val="403"/>
        </w:trPr>
        <w:tc>
          <w:tcPr>
            <w:tcW w:w="5000" w:type="pct"/>
            <w:gridSpan w:val="5"/>
            <w:shd w:val="clear" w:color="auto" w:fill="B2ECFB" w:themeFill="accent5" w:themeFillTint="66"/>
            <w:vAlign w:val="center"/>
          </w:tcPr>
          <w:p w14:paraId="55EB7B1A" w14:textId="77777777" w:rsidR="00BC3CAC" w:rsidRPr="006C66CA" w:rsidRDefault="00BC3CAC" w:rsidP="00470388">
            <w:pPr>
              <w:jc w:val="center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Files</w:t>
            </w:r>
          </w:p>
        </w:tc>
      </w:tr>
      <w:tr w:rsidR="00BC3CAC" w:rsidRPr="006C66CA" w14:paraId="68EB72FA" w14:textId="77777777" w:rsidTr="00441FB3">
        <w:trPr>
          <w:trHeight w:val="403"/>
        </w:trPr>
        <w:tc>
          <w:tcPr>
            <w:tcW w:w="596" w:type="pct"/>
            <w:shd w:val="clear" w:color="auto" w:fill="B2ECFB" w:themeFill="accent5" w:themeFillTint="66"/>
            <w:vAlign w:val="center"/>
          </w:tcPr>
          <w:p w14:paraId="1D4843B6" w14:textId="77777777" w:rsidR="00BC3CAC" w:rsidRPr="006C66CA" w:rsidRDefault="00BC3CAC" w:rsidP="00470388">
            <w:pPr>
              <w:jc w:val="center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File</w:t>
            </w:r>
          </w:p>
        </w:tc>
        <w:tc>
          <w:tcPr>
            <w:tcW w:w="1073" w:type="pct"/>
            <w:shd w:val="clear" w:color="auto" w:fill="B2ECFB" w:themeFill="accent5" w:themeFillTint="66"/>
            <w:vAlign w:val="center"/>
          </w:tcPr>
          <w:p w14:paraId="1AB892B1" w14:textId="77777777" w:rsidR="00BC3CAC" w:rsidRPr="006C66CA" w:rsidRDefault="00BC3CAC" w:rsidP="00470388">
            <w:pPr>
              <w:jc w:val="center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Parent Record</w:t>
            </w:r>
          </w:p>
        </w:tc>
        <w:tc>
          <w:tcPr>
            <w:tcW w:w="1150" w:type="pct"/>
            <w:shd w:val="clear" w:color="auto" w:fill="B2ECFB" w:themeFill="accent5" w:themeFillTint="66"/>
            <w:vAlign w:val="center"/>
          </w:tcPr>
          <w:p w14:paraId="468A8E92" w14:textId="77777777" w:rsidR="00BC3CAC" w:rsidRPr="006C66CA" w:rsidRDefault="00BC3CAC" w:rsidP="00470388">
            <w:pPr>
              <w:jc w:val="center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Record</w:t>
            </w:r>
          </w:p>
        </w:tc>
        <w:tc>
          <w:tcPr>
            <w:tcW w:w="998" w:type="pct"/>
            <w:shd w:val="clear" w:color="auto" w:fill="B2ECFB" w:themeFill="accent5" w:themeFillTint="66"/>
            <w:vAlign w:val="center"/>
          </w:tcPr>
          <w:p w14:paraId="072A6BC5" w14:textId="77777777" w:rsidR="00BC3CAC" w:rsidRPr="006C66CA" w:rsidRDefault="00BC3CAC" w:rsidP="00470388">
            <w:pPr>
              <w:jc w:val="center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Data Attribute</w:t>
            </w:r>
          </w:p>
        </w:tc>
        <w:tc>
          <w:tcPr>
            <w:tcW w:w="1183" w:type="pct"/>
            <w:shd w:val="clear" w:color="auto" w:fill="B2ECFB" w:themeFill="accent5" w:themeFillTint="66"/>
            <w:vAlign w:val="center"/>
          </w:tcPr>
          <w:p w14:paraId="2031DA05" w14:textId="77777777" w:rsidR="00BC3CAC" w:rsidRPr="006C66CA" w:rsidRDefault="00BC3CAC" w:rsidP="00470388">
            <w:pPr>
              <w:jc w:val="center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Hierarchy or Format</w:t>
            </w:r>
          </w:p>
          <w:p w14:paraId="5D871638" w14:textId="77777777" w:rsidR="00BC3CAC" w:rsidRPr="006C66CA" w:rsidRDefault="00BC3CAC" w:rsidP="00470388">
            <w:pPr>
              <w:jc w:val="center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Agreed</w:t>
            </w:r>
          </w:p>
        </w:tc>
      </w:tr>
      <w:tr w:rsidR="00D168F4" w:rsidRPr="00470388" w14:paraId="1655EFC8" w14:textId="77777777" w:rsidTr="00441FB3">
        <w:trPr>
          <w:trHeight w:val="403"/>
        </w:trPr>
        <w:tc>
          <w:tcPr>
            <w:tcW w:w="596" w:type="pct"/>
            <w:shd w:val="clear" w:color="auto" w:fill="auto"/>
            <w:vAlign w:val="center"/>
          </w:tcPr>
          <w:p w14:paraId="3664E6F2" w14:textId="71FD3291" w:rsidR="00D168F4" w:rsidRPr="00B17B9A" w:rsidRDefault="00B17B9A" w:rsidP="00E43FF8">
            <w:pPr>
              <w:jc w:val="center"/>
            </w:pPr>
            <w:r w:rsidRPr="00B17B9A">
              <w:rPr>
                <w:rFonts w:cs="Arial"/>
              </w:rPr>
              <w:t>None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629D792A" w14:textId="0834C3CA" w:rsidR="00D168F4" w:rsidRPr="00B17B9A" w:rsidRDefault="00B17B9A" w:rsidP="00E43FF8">
            <w:pPr>
              <w:jc w:val="center"/>
            </w:pPr>
            <w:r w:rsidRPr="00B17B9A">
              <w:rPr>
                <w:rFonts w:cs="Arial"/>
              </w:rPr>
              <w:t>None</w:t>
            </w:r>
          </w:p>
        </w:tc>
        <w:tc>
          <w:tcPr>
            <w:tcW w:w="1150" w:type="pct"/>
            <w:shd w:val="clear" w:color="auto" w:fill="auto"/>
            <w:vAlign w:val="center"/>
          </w:tcPr>
          <w:p w14:paraId="344C0259" w14:textId="6C371B92" w:rsidR="00D168F4" w:rsidRPr="00B17B9A" w:rsidRDefault="00B17B9A" w:rsidP="00E43FF8">
            <w:pPr>
              <w:jc w:val="center"/>
            </w:pPr>
            <w:r w:rsidRPr="00B17B9A">
              <w:rPr>
                <w:rFonts w:cs="Arial"/>
              </w:rPr>
              <w:t>None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34824FA9" w14:textId="1BD02D29" w:rsidR="00D168F4" w:rsidRPr="00B17B9A" w:rsidRDefault="00B17B9A" w:rsidP="00E43FF8">
            <w:pPr>
              <w:jc w:val="center"/>
            </w:pPr>
            <w:r w:rsidRPr="00B17B9A">
              <w:rPr>
                <w:rFonts w:cs="Arial"/>
              </w:rPr>
              <w:t>None</w:t>
            </w:r>
          </w:p>
        </w:tc>
        <w:tc>
          <w:tcPr>
            <w:tcW w:w="1183" w:type="pct"/>
            <w:shd w:val="clear" w:color="auto" w:fill="auto"/>
            <w:vAlign w:val="center"/>
          </w:tcPr>
          <w:p w14:paraId="3F540D9A" w14:textId="2316ACD9" w:rsidR="00D168F4" w:rsidRPr="00B17B9A" w:rsidRDefault="00B17B9A" w:rsidP="00E43FF8">
            <w:pPr>
              <w:jc w:val="center"/>
            </w:pPr>
            <w:r w:rsidRPr="00B17B9A">
              <w:rPr>
                <w:rFonts w:cs="Arial"/>
              </w:rPr>
              <w:t>None</w:t>
            </w:r>
          </w:p>
        </w:tc>
      </w:tr>
    </w:tbl>
    <w:p w14:paraId="43BEC117" w14:textId="77777777" w:rsidR="00310A64" w:rsidRDefault="00310A64" w:rsidP="00310A64">
      <w:pPr>
        <w:pStyle w:val="Heading1"/>
      </w:pPr>
      <w:r w:rsidRPr="00310A64">
        <w:t>Change Design Description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016"/>
      </w:tblGrid>
      <w:tr w:rsidR="00310A64" w:rsidRPr="00470388" w14:paraId="3AC72D61" w14:textId="77777777" w:rsidTr="00470388">
        <w:trPr>
          <w:trHeight w:val="403"/>
        </w:trPr>
        <w:tc>
          <w:tcPr>
            <w:tcW w:w="5000" w:type="pct"/>
            <w:vAlign w:val="center"/>
          </w:tcPr>
          <w:p w14:paraId="19CC6FB9" w14:textId="77777777" w:rsidR="007C721E" w:rsidRDefault="007C721E" w:rsidP="00E43FF8">
            <w:pPr>
              <w:tabs>
                <w:tab w:val="left" w:pos="7290"/>
              </w:tabs>
              <w:rPr>
                <w:rFonts w:cs="Arial"/>
                <w:szCs w:val="20"/>
              </w:rPr>
            </w:pPr>
          </w:p>
          <w:p w14:paraId="7DF4B8F6" w14:textId="7F33D081" w:rsidR="00B17B9A" w:rsidRPr="007C721E" w:rsidRDefault="007C721E" w:rsidP="00E43FF8">
            <w:pPr>
              <w:tabs>
                <w:tab w:val="left" w:pos="7290"/>
              </w:tabs>
              <w:rPr>
                <w:rFonts w:cs="Arial"/>
                <w:b/>
                <w:szCs w:val="20"/>
              </w:rPr>
            </w:pPr>
            <w:r w:rsidRPr="007C721E">
              <w:rPr>
                <w:rFonts w:cs="Arial"/>
                <w:b/>
                <w:szCs w:val="20"/>
              </w:rPr>
              <w:t>Shipper Users</w:t>
            </w:r>
          </w:p>
          <w:p w14:paraId="01D2E37F" w14:textId="126E31B7" w:rsidR="007C721E" w:rsidRDefault="007C721E" w:rsidP="00E43FF8">
            <w:pPr>
              <w:tabs>
                <w:tab w:val="left" w:pos="7290"/>
              </w:tabs>
              <w:rPr>
                <w:rFonts w:cs="Arial"/>
                <w:szCs w:val="20"/>
              </w:rPr>
            </w:pPr>
          </w:p>
          <w:p w14:paraId="28760443" w14:textId="64190028" w:rsidR="007C721E" w:rsidRDefault="00B85122" w:rsidP="00B952F9">
            <w:pPr>
              <w:tabs>
                <w:tab w:val="left" w:pos="7290"/>
              </w:tabs>
              <w:ind w:left="7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For any scenario defined as a Change </w:t>
            </w:r>
            <w:r w:rsidR="00B952F9">
              <w:rPr>
                <w:rFonts w:cs="Arial"/>
                <w:szCs w:val="20"/>
              </w:rPr>
              <w:t>of</w:t>
            </w:r>
            <w:r>
              <w:rPr>
                <w:rFonts w:cs="Arial"/>
                <w:szCs w:val="20"/>
              </w:rPr>
              <w:t xml:space="preserve"> Supplier or Change of Shipper, PSR data and Customer Contact details </w:t>
            </w:r>
            <w:r w:rsidR="007E6089">
              <w:rPr>
                <w:rFonts w:cs="Arial"/>
                <w:szCs w:val="20"/>
              </w:rPr>
              <w:t>will be deleted.</w:t>
            </w:r>
            <w:r w:rsidR="006F4ED0">
              <w:rPr>
                <w:rFonts w:cs="Arial"/>
                <w:szCs w:val="20"/>
              </w:rPr>
              <w:t xml:space="preserve"> Suppliers will, via their Shipper, need </w:t>
            </w:r>
            <w:r w:rsidR="006F4ED0">
              <w:rPr>
                <w:rFonts w:cs="Arial"/>
                <w:szCs w:val="20"/>
              </w:rPr>
              <w:lastRenderedPageBreak/>
              <w:t>to</w:t>
            </w:r>
            <w:r w:rsidR="000C1466">
              <w:rPr>
                <w:rFonts w:cs="Arial"/>
                <w:szCs w:val="20"/>
              </w:rPr>
              <w:t xml:space="preserve"> </w:t>
            </w:r>
            <w:r w:rsidR="00597994">
              <w:rPr>
                <w:rFonts w:cs="Arial"/>
                <w:szCs w:val="20"/>
              </w:rPr>
              <w:t xml:space="preserve">provide </w:t>
            </w:r>
            <w:r w:rsidR="000C1466">
              <w:rPr>
                <w:rFonts w:cs="Arial"/>
                <w:szCs w:val="20"/>
              </w:rPr>
              <w:t xml:space="preserve">the </w:t>
            </w:r>
            <w:r w:rsidR="006F4ED0">
              <w:rPr>
                <w:rFonts w:cs="Arial"/>
                <w:szCs w:val="20"/>
              </w:rPr>
              <w:t xml:space="preserve">current </w:t>
            </w:r>
            <w:r w:rsidR="000C1466">
              <w:rPr>
                <w:rFonts w:cs="Arial"/>
                <w:szCs w:val="20"/>
              </w:rPr>
              <w:t>Customer Contact Details and PSR data</w:t>
            </w:r>
            <w:r w:rsidR="006F4ED0">
              <w:rPr>
                <w:rFonts w:cs="Arial"/>
                <w:szCs w:val="20"/>
              </w:rPr>
              <w:t xml:space="preserve"> – where applicable</w:t>
            </w:r>
            <w:r w:rsidR="000C1466">
              <w:rPr>
                <w:rFonts w:cs="Arial"/>
                <w:szCs w:val="20"/>
              </w:rPr>
              <w:t>; for example: -</w:t>
            </w:r>
          </w:p>
          <w:p w14:paraId="5C90E61D" w14:textId="0F259995" w:rsidR="000C1466" w:rsidRDefault="000C1466" w:rsidP="003913B3">
            <w:pPr>
              <w:tabs>
                <w:tab w:val="left" w:pos="7290"/>
              </w:tabs>
              <w:ind w:left="720"/>
              <w:rPr>
                <w:rFonts w:cs="Arial"/>
                <w:szCs w:val="20"/>
              </w:rPr>
            </w:pPr>
          </w:p>
          <w:p w14:paraId="0613D4DB" w14:textId="6648FB4D" w:rsidR="003913B3" w:rsidRDefault="000C1466" w:rsidP="00B952F9">
            <w:pPr>
              <w:tabs>
                <w:tab w:val="left" w:pos="7290"/>
              </w:tabs>
              <w:ind w:left="720"/>
              <w:jc w:val="both"/>
              <w:rPr>
                <w:rFonts w:cs="Arial"/>
                <w:szCs w:val="20"/>
              </w:rPr>
            </w:pPr>
            <w:r w:rsidRPr="003524FA">
              <w:rPr>
                <w:rFonts w:cs="Arial"/>
                <w:szCs w:val="20"/>
              </w:rPr>
              <w:t>By submitting a GEA file</w:t>
            </w:r>
            <w:r w:rsidR="006F4ED0">
              <w:rPr>
                <w:rFonts w:cs="Arial"/>
                <w:szCs w:val="20"/>
              </w:rPr>
              <w:t xml:space="preserve"> to amend the Supplier</w:t>
            </w:r>
            <w:r w:rsidRPr="003524FA">
              <w:rPr>
                <w:rFonts w:cs="Arial"/>
                <w:szCs w:val="20"/>
              </w:rPr>
              <w:t xml:space="preserve">, a Shipper </w:t>
            </w:r>
            <w:r w:rsidR="006F4ED0">
              <w:rPr>
                <w:rFonts w:cs="Arial"/>
                <w:szCs w:val="20"/>
              </w:rPr>
              <w:t xml:space="preserve">currently </w:t>
            </w:r>
            <w:r w:rsidR="002B6311" w:rsidRPr="003524FA">
              <w:rPr>
                <w:rFonts w:cs="Arial"/>
                <w:szCs w:val="20"/>
              </w:rPr>
              <w:t xml:space="preserve">only </w:t>
            </w:r>
            <w:r w:rsidRPr="003524FA">
              <w:rPr>
                <w:rFonts w:cs="Arial"/>
                <w:szCs w:val="20"/>
              </w:rPr>
              <w:t xml:space="preserve">instructs the CDSP’s central systems to change the </w:t>
            </w:r>
            <w:r w:rsidR="00907AB9" w:rsidRPr="003524FA">
              <w:rPr>
                <w:rFonts w:cs="Arial"/>
                <w:szCs w:val="20"/>
              </w:rPr>
              <w:t>registered</w:t>
            </w:r>
            <w:r w:rsidRPr="003524FA">
              <w:rPr>
                <w:rFonts w:cs="Arial"/>
                <w:szCs w:val="20"/>
              </w:rPr>
              <w:t xml:space="preserve"> Supplier </w:t>
            </w:r>
            <w:r w:rsidR="002B6311" w:rsidRPr="003524FA">
              <w:rPr>
                <w:rFonts w:cs="Arial"/>
                <w:szCs w:val="20"/>
              </w:rPr>
              <w:t xml:space="preserve">for a MPRN. </w:t>
            </w:r>
            <w:r w:rsidR="00383411" w:rsidRPr="003524FA">
              <w:rPr>
                <w:rFonts w:cs="Arial"/>
                <w:szCs w:val="20"/>
              </w:rPr>
              <w:t>Once th</w:t>
            </w:r>
            <w:r w:rsidR="006F4ED0">
              <w:rPr>
                <w:rFonts w:cs="Arial"/>
                <w:szCs w:val="20"/>
              </w:rPr>
              <w:t xml:space="preserve">ese changes are </w:t>
            </w:r>
            <w:r w:rsidR="00383411" w:rsidRPr="003524FA">
              <w:rPr>
                <w:rFonts w:cs="Arial"/>
                <w:szCs w:val="20"/>
              </w:rPr>
              <w:t>implemented</w:t>
            </w:r>
            <w:r w:rsidR="00643131" w:rsidRPr="003524FA">
              <w:rPr>
                <w:rFonts w:cs="Arial"/>
                <w:szCs w:val="20"/>
              </w:rPr>
              <w:t xml:space="preserve">, </w:t>
            </w:r>
            <w:r w:rsidR="005F6994" w:rsidRPr="003524FA">
              <w:rPr>
                <w:rFonts w:cs="Arial"/>
                <w:szCs w:val="20"/>
              </w:rPr>
              <w:t xml:space="preserve">the CDSP will delete the Customer Contact Details and PSR Data relevant to the MPRN as this is defined as a Change of Supplier; therefore, the relevant </w:t>
            </w:r>
            <w:r w:rsidR="006F4ED0">
              <w:rPr>
                <w:rFonts w:cs="Arial"/>
                <w:szCs w:val="20"/>
              </w:rPr>
              <w:t xml:space="preserve">Supplier will be required, via their Shipper, to submit </w:t>
            </w:r>
            <w:r w:rsidR="005F6994" w:rsidRPr="003524FA">
              <w:rPr>
                <w:rFonts w:cs="Arial"/>
                <w:szCs w:val="20"/>
              </w:rPr>
              <w:t xml:space="preserve">a CNC to </w:t>
            </w:r>
            <w:r w:rsidR="006F4ED0">
              <w:rPr>
                <w:rFonts w:cs="Arial"/>
                <w:szCs w:val="20"/>
              </w:rPr>
              <w:t>provide</w:t>
            </w:r>
            <w:r w:rsidR="006F4ED0" w:rsidRPr="003524FA">
              <w:rPr>
                <w:rFonts w:cs="Arial"/>
                <w:szCs w:val="20"/>
              </w:rPr>
              <w:t xml:space="preserve"> </w:t>
            </w:r>
            <w:r w:rsidR="005F6994" w:rsidRPr="003524FA">
              <w:rPr>
                <w:rFonts w:cs="Arial"/>
                <w:szCs w:val="20"/>
              </w:rPr>
              <w:t xml:space="preserve">the Customer Contact Details and PSR Data </w:t>
            </w:r>
            <w:r w:rsidR="006F4ED0">
              <w:rPr>
                <w:rFonts w:cs="Arial"/>
                <w:szCs w:val="20"/>
              </w:rPr>
              <w:t xml:space="preserve">as applicable. </w:t>
            </w:r>
          </w:p>
          <w:p w14:paraId="1178E848" w14:textId="6673BB5D" w:rsidR="003913B3" w:rsidRDefault="003913B3" w:rsidP="003913B3">
            <w:pPr>
              <w:tabs>
                <w:tab w:val="left" w:pos="7290"/>
              </w:tabs>
              <w:ind w:left="720"/>
              <w:rPr>
                <w:rFonts w:cs="Arial"/>
                <w:szCs w:val="20"/>
              </w:rPr>
            </w:pPr>
          </w:p>
          <w:p w14:paraId="29D8F36C" w14:textId="02FF2D50" w:rsidR="00DF1917" w:rsidRPr="009964A7" w:rsidRDefault="00DF1917" w:rsidP="003913B3">
            <w:pPr>
              <w:tabs>
                <w:tab w:val="left" w:pos="7290"/>
              </w:tabs>
              <w:ind w:left="720"/>
              <w:rPr>
                <w:rFonts w:cs="Arial"/>
                <w:b/>
                <w:szCs w:val="20"/>
              </w:rPr>
            </w:pPr>
          </w:p>
          <w:p w14:paraId="1279F696" w14:textId="48B0E6C8" w:rsidR="00DF1917" w:rsidRPr="009964A7" w:rsidRDefault="00DF1917" w:rsidP="00DF1917">
            <w:pPr>
              <w:tabs>
                <w:tab w:val="left" w:pos="7290"/>
              </w:tabs>
              <w:rPr>
                <w:rFonts w:cs="Arial"/>
                <w:b/>
                <w:szCs w:val="20"/>
              </w:rPr>
            </w:pPr>
            <w:r w:rsidRPr="009964A7">
              <w:rPr>
                <w:rFonts w:cs="Arial"/>
                <w:b/>
                <w:szCs w:val="20"/>
              </w:rPr>
              <w:t>DNs and IGTs</w:t>
            </w:r>
          </w:p>
          <w:p w14:paraId="76DB5B1D" w14:textId="16D5E246" w:rsidR="005F6994" w:rsidRDefault="005F6994" w:rsidP="003524FA">
            <w:pPr>
              <w:tabs>
                <w:tab w:val="left" w:pos="7290"/>
              </w:tabs>
              <w:rPr>
                <w:rFonts w:cs="Arial"/>
                <w:szCs w:val="20"/>
              </w:rPr>
            </w:pPr>
          </w:p>
          <w:p w14:paraId="26564776" w14:textId="03B27197" w:rsidR="003524FA" w:rsidRDefault="00244CEF" w:rsidP="00A4679A">
            <w:pPr>
              <w:tabs>
                <w:tab w:val="left" w:pos="7290"/>
              </w:tabs>
              <w:ind w:left="7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Th</w:t>
            </w:r>
            <w:r w:rsidR="006F4ED0">
              <w:rPr>
                <w:rFonts w:cs="Arial"/>
                <w:szCs w:val="20"/>
              </w:rPr>
              <w:t>is change is not expected to have any functional impacts to</w:t>
            </w:r>
            <w:r>
              <w:rPr>
                <w:rFonts w:cs="Arial"/>
                <w:szCs w:val="20"/>
              </w:rPr>
              <w:t xml:space="preserve"> DNs and </w:t>
            </w:r>
            <w:r w:rsidR="006B1889">
              <w:rPr>
                <w:rFonts w:cs="Arial"/>
                <w:szCs w:val="20"/>
              </w:rPr>
              <w:t>IGTs.</w:t>
            </w:r>
            <w:r w:rsidR="00B3587A">
              <w:rPr>
                <w:rFonts w:cs="Arial"/>
                <w:szCs w:val="20"/>
              </w:rPr>
              <w:t xml:space="preserve"> </w:t>
            </w:r>
            <w:r w:rsidR="00E16A4A">
              <w:rPr>
                <w:rFonts w:cs="Arial"/>
                <w:szCs w:val="20"/>
              </w:rPr>
              <w:t>The CDSP provides portfolio update files to the DNs</w:t>
            </w:r>
            <w:r w:rsidR="006F4ED0">
              <w:rPr>
                <w:rFonts w:cs="Arial"/>
                <w:szCs w:val="20"/>
              </w:rPr>
              <w:t xml:space="preserve"> and</w:t>
            </w:r>
            <w:r w:rsidR="00E16A4A">
              <w:rPr>
                <w:rFonts w:cs="Arial"/>
                <w:szCs w:val="20"/>
              </w:rPr>
              <w:t xml:space="preserve"> IGTs</w:t>
            </w:r>
            <w:r w:rsidR="006F4ED0">
              <w:rPr>
                <w:rFonts w:cs="Arial"/>
                <w:szCs w:val="20"/>
              </w:rPr>
              <w:t>.</w:t>
            </w:r>
          </w:p>
          <w:p w14:paraId="34A64D90" w14:textId="6AFA50F8" w:rsidR="00B6467E" w:rsidRDefault="00B6467E" w:rsidP="00335849">
            <w:pPr>
              <w:tabs>
                <w:tab w:val="left" w:pos="7290"/>
              </w:tabs>
              <w:ind w:left="720"/>
              <w:rPr>
                <w:rFonts w:cs="Arial"/>
                <w:szCs w:val="20"/>
              </w:rPr>
            </w:pPr>
          </w:p>
          <w:p w14:paraId="14CF79AB" w14:textId="77777777" w:rsidR="00577928" w:rsidRDefault="00577928" w:rsidP="00577928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  <w:r>
              <w:rPr>
                <w:rFonts w:cs="Arial"/>
              </w:rPr>
              <w:t>IDL file to IGTs</w:t>
            </w:r>
          </w:p>
          <w:p w14:paraId="767B442C" w14:textId="741428DA" w:rsidR="00577928" w:rsidRDefault="00577928" w:rsidP="00577928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  <w:r>
              <w:rPr>
                <w:rFonts w:cs="Arial"/>
              </w:rPr>
              <w:t>EWS file to Cadent</w:t>
            </w:r>
          </w:p>
          <w:p w14:paraId="71F34EE2" w14:textId="204B17FA" w:rsidR="00577928" w:rsidRDefault="00577928" w:rsidP="00577928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EDL file to </w:t>
            </w:r>
            <w:r w:rsidR="006F4ED0">
              <w:rPr>
                <w:rFonts w:cs="Arial"/>
              </w:rPr>
              <w:t xml:space="preserve">DNs (other than Cadent) </w:t>
            </w:r>
          </w:p>
          <w:p w14:paraId="64BBE9F6" w14:textId="5D8EDCD1" w:rsidR="00F6379D" w:rsidRDefault="00F6379D" w:rsidP="00F6379D">
            <w:pPr>
              <w:rPr>
                <w:rFonts w:cs="Arial"/>
              </w:rPr>
            </w:pPr>
          </w:p>
          <w:p w14:paraId="17E1E0FC" w14:textId="5DBE83A4" w:rsidR="007C721E" w:rsidRDefault="006F4ED0" w:rsidP="00A4679A">
            <w:pPr>
              <w:ind w:left="720"/>
              <w:jc w:val="both"/>
              <w:rPr>
                <w:rFonts w:cs="Arial"/>
              </w:rPr>
            </w:pPr>
            <w:r>
              <w:rPr>
                <w:rFonts w:cs="Arial"/>
              </w:rPr>
              <w:t>These deltas will contain more instructions to delete data than currently, and then a subsequent insert where the Supplier, via their Shipper, provides current Contact Details.</w:t>
            </w:r>
          </w:p>
          <w:p w14:paraId="0CD507C3" w14:textId="63977810" w:rsidR="001A374A" w:rsidRDefault="001A374A" w:rsidP="00A51FB7">
            <w:pPr>
              <w:ind w:left="720"/>
              <w:rPr>
                <w:rFonts w:cs="Arial"/>
                <w:szCs w:val="20"/>
              </w:rPr>
            </w:pPr>
          </w:p>
          <w:p w14:paraId="44E5EECE" w14:textId="7F1B5089" w:rsidR="001A374A" w:rsidRPr="006B1889" w:rsidRDefault="001A374A" w:rsidP="001A374A">
            <w:pPr>
              <w:rPr>
                <w:rFonts w:cs="Arial"/>
                <w:b/>
                <w:szCs w:val="20"/>
              </w:rPr>
            </w:pPr>
            <w:r w:rsidRPr="006B1889">
              <w:rPr>
                <w:rFonts w:cs="Arial"/>
                <w:b/>
                <w:szCs w:val="20"/>
              </w:rPr>
              <w:t>Solution Options</w:t>
            </w:r>
          </w:p>
          <w:p w14:paraId="55ED82FE" w14:textId="13C7216B" w:rsidR="001A374A" w:rsidRDefault="001A374A" w:rsidP="001A374A">
            <w:pPr>
              <w:rPr>
                <w:rFonts w:cs="Arial"/>
                <w:szCs w:val="20"/>
              </w:rPr>
            </w:pPr>
          </w:p>
          <w:p w14:paraId="5959C2DD" w14:textId="4F9DA302" w:rsidR="001A374A" w:rsidRDefault="001A374A" w:rsidP="00A4679A">
            <w:pPr>
              <w:ind w:left="7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As part of the Change Pack consultation, we invite the industry to comment on the solution </w:t>
            </w:r>
            <w:r w:rsidR="006B1889">
              <w:rPr>
                <w:rFonts w:cs="Arial"/>
                <w:szCs w:val="20"/>
              </w:rPr>
              <w:t xml:space="preserve">options: - </w:t>
            </w:r>
          </w:p>
          <w:p w14:paraId="6D837697" w14:textId="67696A27" w:rsidR="00293725" w:rsidRDefault="00293725" w:rsidP="00A4679A">
            <w:pPr>
              <w:ind w:left="720"/>
              <w:jc w:val="both"/>
              <w:rPr>
                <w:rFonts w:cs="Arial"/>
                <w:szCs w:val="20"/>
              </w:rPr>
            </w:pPr>
          </w:p>
          <w:p w14:paraId="521A3834" w14:textId="45D53089" w:rsidR="00293725" w:rsidRDefault="00293725" w:rsidP="00A4679A">
            <w:pPr>
              <w:ind w:left="7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/>
            </w:r>
            <w:r>
              <w:rPr>
                <w:rFonts w:cs="Arial"/>
                <w:szCs w:val="20"/>
              </w:rPr>
              <w:instrText xml:space="preserve"> HYPERLINK "https://www.xoserve.com/media/7366/xrn4897-4899-high-level-solution-option-impact-assessment_w.pdf"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Pr="00293725">
              <w:rPr>
                <w:rStyle w:val="Hyperlink"/>
                <w:rFonts w:cs="Arial"/>
                <w:szCs w:val="20"/>
              </w:rPr>
              <w:t>HLSO</w:t>
            </w:r>
            <w:r>
              <w:rPr>
                <w:rFonts w:cs="Arial"/>
                <w:szCs w:val="20"/>
              </w:rPr>
              <w:fldChar w:fldCharType="end"/>
            </w:r>
          </w:p>
          <w:p w14:paraId="1F530C86" w14:textId="5B40E2DA" w:rsidR="006B1889" w:rsidRDefault="006B1889" w:rsidP="001A374A">
            <w:pPr>
              <w:ind w:left="720"/>
              <w:rPr>
                <w:rFonts w:cs="Arial"/>
                <w:szCs w:val="20"/>
              </w:rPr>
            </w:pPr>
            <w:bookmarkStart w:id="0" w:name="_GoBack"/>
            <w:bookmarkEnd w:id="0"/>
          </w:p>
          <w:p w14:paraId="634BB5BC" w14:textId="65B2BDBE" w:rsidR="006B1889" w:rsidRDefault="006B1889" w:rsidP="00A4679A">
            <w:pPr>
              <w:ind w:left="7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The objective of the change is as follows</w:t>
            </w:r>
          </w:p>
          <w:p w14:paraId="15261BEF" w14:textId="77777777" w:rsidR="006B1889" w:rsidRDefault="006B1889" w:rsidP="001A374A">
            <w:pPr>
              <w:ind w:left="720"/>
              <w:rPr>
                <w:rFonts w:cs="Arial"/>
                <w:szCs w:val="20"/>
              </w:rPr>
            </w:pPr>
          </w:p>
          <w:p w14:paraId="1BC3007B" w14:textId="77777777" w:rsidR="006B1889" w:rsidRPr="00E84B9F" w:rsidRDefault="006B1889" w:rsidP="00A4679A">
            <w:pPr>
              <w:numPr>
                <w:ilvl w:val="0"/>
                <w:numId w:val="11"/>
              </w:numPr>
              <w:tabs>
                <w:tab w:val="num" w:pos="720"/>
              </w:tabs>
              <w:jc w:val="both"/>
              <w:rPr>
                <w:rFonts w:cs="Arial"/>
                <w:szCs w:val="20"/>
              </w:rPr>
            </w:pPr>
            <w:r w:rsidRPr="00E84B9F">
              <w:rPr>
                <w:rFonts w:cs="Arial"/>
                <w:szCs w:val="20"/>
              </w:rPr>
              <w:t>Delete the data at the following events, and inform networks of deletion:</w:t>
            </w:r>
          </w:p>
          <w:p w14:paraId="22F630B3" w14:textId="77777777" w:rsidR="006B1889" w:rsidRPr="0023377F" w:rsidRDefault="006B1889" w:rsidP="00A4679A">
            <w:pPr>
              <w:numPr>
                <w:ilvl w:val="1"/>
                <w:numId w:val="11"/>
              </w:numPr>
              <w:jc w:val="both"/>
              <w:rPr>
                <w:rFonts w:cs="Arial"/>
                <w:szCs w:val="20"/>
              </w:rPr>
            </w:pPr>
            <w:r w:rsidRPr="0023377F">
              <w:rPr>
                <w:rFonts w:cs="Arial"/>
                <w:bCs/>
                <w:szCs w:val="20"/>
              </w:rPr>
              <w:t>Deletion of previous Customer Contact Details at the Change of Shipper and Supplier events</w:t>
            </w:r>
          </w:p>
          <w:p w14:paraId="59B6F77A" w14:textId="720A679A" w:rsidR="006B1889" w:rsidRPr="006B1889" w:rsidRDefault="006B1889" w:rsidP="00A4679A">
            <w:pPr>
              <w:numPr>
                <w:ilvl w:val="1"/>
                <w:numId w:val="11"/>
              </w:numPr>
              <w:jc w:val="both"/>
              <w:rPr>
                <w:rFonts w:cs="Arial"/>
                <w:szCs w:val="20"/>
              </w:rPr>
            </w:pPr>
            <w:r w:rsidRPr="0023377F">
              <w:rPr>
                <w:rFonts w:cs="Arial"/>
                <w:bCs/>
                <w:szCs w:val="20"/>
              </w:rPr>
              <w:t>Deletion of previous Priority Service Register Data at the Change of Supplier event</w:t>
            </w:r>
          </w:p>
          <w:p w14:paraId="14357F9A" w14:textId="636CE5C6" w:rsidR="006B1889" w:rsidRDefault="006B1889" w:rsidP="006B1889">
            <w:pPr>
              <w:rPr>
                <w:rFonts w:cs="Arial"/>
                <w:szCs w:val="20"/>
              </w:rPr>
            </w:pPr>
          </w:p>
          <w:p w14:paraId="336A9AB2" w14:textId="77777777" w:rsidR="006B1889" w:rsidRDefault="006B1889" w:rsidP="006B1889">
            <w:pPr>
              <w:ind w:left="720"/>
              <w:rPr>
                <w:rFonts w:cs="Arial"/>
                <w:szCs w:val="20"/>
              </w:rPr>
            </w:pPr>
          </w:p>
          <w:p w14:paraId="286B9C0A" w14:textId="28CEE0AF" w:rsidR="006B1889" w:rsidRDefault="006B1889" w:rsidP="006B1889">
            <w:pPr>
              <w:ind w:left="720"/>
              <w:rPr>
                <w:rFonts w:cs="Arial"/>
                <w:szCs w:val="20"/>
              </w:rPr>
            </w:pPr>
          </w:p>
          <w:p w14:paraId="3CDEAC41" w14:textId="458311E1" w:rsidR="006B1889" w:rsidRDefault="006B1889" w:rsidP="006B1889">
            <w:pPr>
              <w:ind w:left="720"/>
              <w:rPr>
                <w:rFonts w:cs="Arial"/>
                <w:szCs w:val="20"/>
              </w:rPr>
            </w:pPr>
          </w:p>
          <w:p w14:paraId="5051BD87" w14:textId="77777777" w:rsidR="006B1889" w:rsidRPr="006B1889" w:rsidRDefault="006B1889" w:rsidP="006B1889">
            <w:pPr>
              <w:ind w:left="720"/>
              <w:rPr>
                <w:rFonts w:cs="Arial"/>
                <w:szCs w:val="20"/>
              </w:rPr>
            </w:pPr>
          </w:p>
          <w:p w14:paraId="30B8D8D3" w14:textId="77777777" w:rsidR="006B1889" w:rsidRDefault="006B1889" w:rsidP="001A374A">
            <w:pPr>
              <w:ind w:left="720"/>
              <w:rPr>
                <w:rFonts w:cs="Arial"/>
                <w:szCs w:val="20"/>
              </w:rPr>
            </w:pPr>
          </w:p>
          <w:p w14:paraId="1D69AB7B" w14:textId="77777777" w:rsidR="007C721E" w:rsidRDefault="007C721E" w:rsidP="00E43FF8">
            <w:pPr>
              <w:tabs>
                <w:tab w:val="left" w:pos="7290"/>
              </w:tabs>
              <w:rPr>
                <w:rFonts w:cs="Arial"/>
                <w:szCs w:val="20"/>
              </w:rPr>
            </w:pPr>
          </w:p>
          <w:p w14:paraId="5828AD16" w14:textId="52E6DE8D" w:rsidR="007C721E" w:rsidRPr="007C721E" w:rsidRDefault="007C721E" w:rsidP="00E43FF8">
            <w:pPr>
              <w:tabs>
                <w:tab w:val="left" w:pos="7290"/>
              </w:tabs>
              <w:rPr>
                <w:rFonts w:cs="Arial"/>
                <w:szCs w:val="20"/>
              </w:rPr>
            </w:pPr>
          </w:p>
        </w:tc>
      </w:tr>
    </w:tbl>
    <w:p w14:paraId="49A590BA" w14:textId="77777777" w:rsidR="00310A64" w:rsidRPr="00310A64" w:rsidRDefault="00310A64" w:rsidP="00310A64">
      <w:pPr>
        <w:pStyle w:val="Heading1"/>
      </w:pPr>
      <w:r w:rsidRPr="00310A64">
        <w:lastRenderedPageBreak/>
        <w:t>Associated Changes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80"/>
        <w:gridCol w:w="6836"/>
      </w:tblGrid>
      <w:tr w:rsidR="00310A64" w:rsidRPr="00310A64" w14:paraId="09C56B75" w14:textId="77777777" w:rsidTr="00470388">
        <w:trPr>
          <w:trHeight w:val="403"/>
        </w:trPr>
        <w:tc>
          <w:tcPr>
            <w:tcW w:w="1209" w:type="pct"/>
            <w:shd w:val="clear" w:color="auto" w:fill="B2ECFB" w:themeFill="accent5" w:themeFillTint="66"/>
            <w:vAlign w:val="center"/>
          </w:tcPr>
          <w:p w14:paraId="0B3670B2" w14:textId="77777777" w:rsidR="00310A64" w:rsidRPr="006C66CA" w:rsidRDefault="00310A64" w:rsidP="00470388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Associated Change(s) and Title(s)</w:t>
            </w:r>
            <w:r w:rsidR="00470388" w:rsidRPr="006C66CA">
              <w:rPr>
                <w:rFonts w:cs="Arial"/>
                <w:szCs w:val="20"/>
              </w:rPr>
              <w:t>:</w:t>
            </w:r>
          </w:p>
        </w:tc>
        <w:tc>
          <w:tcPr>
            <w:tcW w:w="3791" w:type="pct"/>
            <w:vAlign w:val="center"/>
          </w:tcPr>
          <w:p w14:paraId="2F5090EE" w14:textId="132C4016" w:rsidR="00310A64" w:rsidRPr="00E43FF8" w:rsidRDefault="00B17B9A" w:rsidP="00470388">
            <w:pPr>
              <w:rPr>
                <w:rFonts w:cs="Arial"/>
                <w:b/>
                <w:szCs w:val="20"/>
              </w:rPr>
            </w:pPr>
            <w:r w:rsidRPr="00B17B9A">
              <w:rPr>
                <w:rFonts w:cs="Arial"/>
                <w:szCs w:val="20"/>
              </w:rPr>
              <w:t>None</w:t>
            </w:r>
          </w:p>
        </w:tc>
      </w:tr>
    </w:tbl>
    <w:p w14:paraId="7FBEA0A1" w14:textId="77777777" w:rsidR="00310A64" w:rsidRPr="00310A64" w:rsidRDefault="00310A64" w:rsidP="00310A64">
      <w:pPr>
        <w:pStyle w:val="Heading1"/>
      </w:pPr>
      <w:r w:rsidRPr="00310A64">
        <w:lastRenderedPageBreak/>
        <w:t>DSG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80"/>
        <w:gridCol w:w="6836"/>
      </w:tblGrid>
      <w:tr w:rsidR="00310A64" w:rsidRPr="00310A64" w14:paraId="15872702" w14:textId="77777777" w:rsidTr="00470388">
        <w:trPr>
          <w:trHeight w:val="403"/>
        </w:trPr>
        <w:tc>
          <w:tcPr>
            <w:tcW w:w="1209" w:type="pct"/>
            <w:shd w:val="clear" w:color="auto" w:fill="B2ECFB" w:themeFill="accent5" w:themeFillTint="66"/>
            <w:vAlign w:val="center"/>
          </w:tcPr>
          <w:p w14:paraId="1F28DF24" w14:textId="77777777" w:rsidR="00310A64" w:rsidRPr="006C66CA" w:rsidRDefault="00310A64" w:rsidP="00470388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Target DSG discussion date</w:t>
            </w:r>
            <w:r w:rsidR="00470388" w:rsidRPr="006C66CA">
              <w:rPr>
                <w:rFonts w:cs="Arial"/>
                <w:szCs w:val="20"/>
              </w:rPr>
              <w:t>:</w:t>
            </w:r>
          </w:p>
        </w:tc>
        <w:tc>
          <w:tcPr>
            <w:tcW w:w="3791" w:type="pct"/>
            <w:vAlign w:val="center"/>
          </w:tcPr>
          <w:p w14:paraId="20D3116F" w14:textId="0FD00389" w:rsidR="00310A64" w:rsidRPr="00093D75" w:rsidRDefault="00B17B9A" w:rsidP="00E43FF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Monday 7</w:t>
            </w:r>
            <w:r w:rsidRPr="00B17B9A">
              <w:rPr>
                <w:rFonts w:cs="Arial"/>
                <w:szCs w:val="20"/>
                <w:vertAlign w:val="superscript"/>
              </w:rPr>
              <w:t>th</w:t>
            </w:r>
            <w:r>
              <w:rPr>
                <w:rFonts w:cs="Arial"/>
                <w:szCs w:val="20"/>
              </w:rPr>
              <w:t xml:space="preserve"> October 2019</w:t>
            </w:r>
          </w:p>
        </w:tc>
      </w:tr>
      <w:tr w:rsidR="00310A64" w:rsidRPr="00310A64" w14:paraId="54BF6E1A" w14:textId="77777777" w:rsidTr="00470388">
        <w:trPr>
          <w:trHeight w:val="403"/>
        </w:trPr>
        <w:tc>
          <w:tcPr>
            <w:tcW w:w="1209" w:type="pct"/>
            <w:shd w:val="clear" w:color="auto" w:fill="B2ECFB" w:themeFill="accent5" w:themeFillTint="66"/>
            <w:vAlign w:val="center"/>
          </w:tcPr>
          <w:p w14:paraId="014AA921" w14:textId="77777777" w:rsidR="00310A64" w:rsidRPr="006C66CA" w:rsidRDefault="00310A64" w:rsidP="00470388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Any further information</w:t>
            </w:r>
            <w:r w:rsidR="00470388" w:rsidRPr="006C66CA">
              <w:rPr>
                <w:rFonts w:cs="Arial"/>
                <w:szCs w:val="20"/>
              </w:rPr>
              <w:t>:</w:t>
            </w:r>
          </w:p>
        </w:tc>
        <w:tc>
          <w:tcPr>
            <w:tcW w:w="3791" w:type="pct"/>
            <w:vAlign w:val="center"/>
          </w:tcPr>
          <w:p w14:paraId="0DAEB215" w14:textId="44AC30E3" w:rsidR="00310A64" w:rsidRPr="00093D75" w:rsidRDefault="00B17B9A" w:rsidP="0047038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None</w:t>
            </w:r>
          </w:p>
        </w:tc>
      </w:tr>
    </w:tbl>
    <w:p w14:paraId="1CB9EE18" w14:textId="77777777" w:rsidR="00310A64" w:rsidRDefault="00310A64" w:rsidP="00310A64">
      <w:pPr>
        <w:pStyle w:val="Heading1"/>
      </w:pPr>
      <w:r w:rsidRPr="00310A64">
        <w:t>Implementation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80"/>
        <w:gridCol w:w="6836"/>
      </w:tblGrid>
      <w:tr w:rsidR="00310A64" w:rsidRPr="00310A64" w14:paraId="20BEF31E" w14:textId="77777777" w:rsidTr="00470388">
        <w:trPr>
          <w:trHeight w:val="403"/>
        </w:trPr>
        <w:tc>
          <w:tcPr>
            <w:tcW w:w="1209" w:type="pct"/>
            <w:shd w:val="clear" w:color="auto" w:fill="B2ECFB" w:themeFill="accent5" w:themeFillTint="66"/>
            <w:vAlign w:val="center"/>
          </w:tcPr>
          <w:p w14:paraId="457F1DEF" w14:textId="77777777" w:rsidR="00310A64" w:rsidRPr="006C66CA" w:rsidRDefault="00470388" w:rsidP="00470388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Target Release:</w:t>
            </w:r>
          </w:p>
        </w:tc>
        <w:tc>
          <w:tcPr>
            <w:tcW w:w="3791" w:type="pct"/>
            <w:vAlign w:val="center"/>
          </w:tcPr>
          <w:p w14:paraId="53AE8413" w14:textId="565AE589" w:rsidR="00310A64" w:rsidRPr="007C721E" w:rsidRDefault="00B17B9A" w:rsidP="00470388">
            <w:pPr>
              <w:rPr>
                <w:rFonts w:cs="Arial"/>
                <w:szCs w:val="20"/>
              </w:rPr>
            </w:pPr>
            <w:r w:rsidRPr="007C721E">
              <w:rPr>
                <w:rFonts w:cs="Arial"/>
                <w:szCs w:val="18"/>
              </w:rPr>
              <w:t xml:space="preserve">June 2020 </w:t>
            </w:r>
            <w:r w:rsidR="007C721E">
              <w:rPr>
                <w:rFonts w:cs="Arial"/>
                <w:szCs w:val="18"/>
              </w:rPr>
              <w:t>(proposed)</w:t>
            </w:r>
          </w:p>
        </w:tc>
      </w:tr>
      <w:tr w:rsidR="00310A64" w:rsidRPr="00310A64" w14:paraId="6C284ADD" w14:textId="77777777" w:rsidTr="00470388">
        <w:trPr>
          <w:trHeight w:val="403"/>
        </w:trPr>
        <w:tc>
          <w:tcPr>
            <w:tcW w:w="1209" w:type="pct"/>
            <w:shd w:val="clear" w:color="auto" w:fill="B2ECFB" w:themeFill="accent5" w:themeFillTint="66"/>
            <w:vAlign w:val="center"/>
          </w:tcPr>
          <w:p w14:paraId="5F211E83" w14:textId="77777777" w:rsidR="00310A64" w:rsidRPr="006C66CA" w:rsidRDefault="00310A64" w:rsidP="00470388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Status</w:t>
            </w:r>
            <w:r w:rsidR="00470388" w:rsidRPr="006C66CA">
              <w:rPr>
                <w:rFonts w:cs="Arial"/>
                <w:szCs w:val="20"/>
              </w:rPr>
              <w:t>:</w:t>
            </w:r>
          </w:p>
        </w:tc>
        <w:tc>
          <w:tcPr>
            <w:tcW w:w="3791" w:type="pct"/>
            <w:vAlign w:val="center"/>
          </w:tcPr>
          <w:p w14:paraId="12A167DF" w14:textId="5A5D7412" w:rsidR="00310A64" w:rsidRDefault="007C721E" w:rsidP="00E43FF8">
            <w:pPr>
              <w:rPr>
                <w:rFonts w:cs="Arial"/>
              </w:rPr>
            </w:pPr>
            <w:r>
              <w:rPr>
                <w:rFonts w:cs="Arial"/>
              </w:rPr>
              <w:br/>
            </w:r>
            <w:r w:rsidR="006F4ED0" w:rsidRPr="001A374A">
              <w:rPr>
                <w:rFonts w:cs="Arial"/>
              </w:rPr>
              <w:t>This proposed approach has been highlighted to Change Management Committee (9</w:t>
            </w:r>
            <w:r w:rsidR="006F4ED0" w:rsidRPr="001A374A">
              <w:rPr>
                <w:rFonts w:cs="Arial"/>
                <w:vertAlign w:val="superscript"/>
              </w:rPr>
              <w:t>th</w:t>
            </w:r>
            <w:r w:rsidR="006F4ED0" w:rsidRPr="001A374A">
              <w:rPr>
                <w:rFonts w:cs="Arial"/>
              </w:rPr>
              <w:t xml:space="preserve"> October 2019).  Inclusion within the June release will be ratified by ChMC in November 2019.</w:t>
            </w:r>
          </w:p>
          <w:p w14:paraId="79F81CE3" w14:textId="0DB923DC" w:rsidR="00B85122" w:rsidRPr="00B17B9A" w:rsidRDefault="00B85122" w:rsidP="00E43FF8">
            <w:pPr>
              <w:rPr>
                <w:rFonts w:cs="Arial"/>
              </w:rPr>
            </w:pPr>
          </w:p>
        </w:tc>
      </w:tr>
    </w:tbl>
    <w:p w14:paraId="3461D779" w14:textId="77777777" w:rsidR="00310A64" w:rsidRDefault="00310A64" w:rsidP="00310A64"/>
    <w:p w14:paraId="028272FB" w14:textId="77777777" w:rsidR="00310A64" w:rsidRDefault="00310A64" w:rsidP="00310A64">
      <w:r w:rsidRPr="00310A64">
        <w:t xml:space="preserve">Please see the following page for representation comments template; responses to </w:t>
      </w:r>
      <w:hyperlink r:id="rId12" w:history="1">
        <w:r w:rsidRPr="007F4793">
          <w:rPr>
            <w:rStyle w:val="Hyperlink"/>
          </w:rPr>
          <w:t>uklink@xoserve.com</w:t>
        </w:r>
      </w:hyperlink>
      <w:r>
        <w:t xml:space="preserve"> </w:t>
      </w:r>
    </w:p>
    <w:p w14:paraId="3CF2D8B6" w14:textId="77777777" w:rsidR="00310A64" w:rsidRDefault="00310A64" w:rsidP="00D66C7E"/>
    <w:p w14:paraId="62EBF3C5" w14:textId="58593294" w:rsidR="00A155E8" w:rsidRDefault="00A155E8">
      <w:pPr>
        <w:rPr>
          <w:rFonts w:eastAsiaTheme="majorEastAsia" w:cstheme="majorBidi"/>
          <w:b/>
          <w:bCs/>
          <w:color w:val="3E5AA8"/>
          <w:sz w:val="28"/>
          <w:szCs w:val="28"/>
        </w:rPr>
      </w:pPr>
      <w:r>
        <w:rPr>
          <w:rFonts w:eastAsiaTheme="majorEastAsia" w:cstheme="majorBidi"/>
          <w:b/>
          <w:bCs/>
          <w:color w:val="3E5AA8"/>
          <w:sz w:val="28"/>
          <w:szCs w:val="28"/>
        </w:rPr>
        <w:br w:type="page"/>
      </w:r>
    </w:p>
    <w:p w14:paraId="2F6FBB08" w14:textId="77777777" w:rsidR="00A155E8" w:rsidRPr="00156FD9" w:rsidRDefault="00A155E8" w:rsidP="00A155E8">
      <w:pPr>
        <w:pStyle w:val="Title"/>
      </w:pPr>
      <w:r>
        <w:lastRenderedPageBreak/>
        <w:t>Section E: Industry Response Solution Options Review</w:t>
      </w:r>
    </w:p>
    <w:p w14:paraId="6C66E650" w14:textId="77777777" w:rsidR="00A155E8" w:rsidRPr="004A27FB" w:rsidRDefault="00A155E8" w:rsidP="00A155E8">
      <w:fldSimple w:instr=" MERGEFIELD  RangeStart:EDS  \* MERGEFORMAT ">
        <w:r w:rsidRPr="004A27FB">
          <w:t>«RangeStart:EDS»</w:t>
        </w:r>
      </w:fldSimple>
    </w:p>
    <w:p w14:paraId="429E850C" w14:textId="77777777" w:rsidR="00A155E8" w:rsidRDefault="00A155E8" w:rsidP="00A155E8">
      <w:pPr>
        <w:pStyle w:val="Heading1"/>
      </w:pPr>
      <w:r>
        <w:t xml:space="preserve">E1: </w:t>
      </w:r>
      <w:r w:rsidRPr="00407C41">
        <w:t>Organisation’s preferred solution option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4"/>
        <w:gridCol w:w="1659"/>
        <w:gridCol w:w="5175"/>
      </w:tblGrid>
      <w:tr w:rsidR="00A155E8" w:rsidRPr="00BC3CAC" w14:paraId="12268997" w14:textId="77777777" w:rsidTr="004A7C37">
        <w:trPr>
          <w:trHeight w:val="403"/>
        </w:trPr>
        <w:tc>
          <w:tcPr>
            <w:tcW w:w="1223" w:type="pct"/>
            <w:vMerge w:val="restart"/>
            <w:shd w:val="clear" w:color="auto" w:fill="B2ECFB" w:themeFill="accent5" w:themeFillTint="66"/>
            <w:vAlign w:val="center"/>
          </w:tcPr>
          <w:p w14:paraId="5662EC1C" w14:textId="77777777" w:rsidR="00A155E8" w:rsidRDefault="00A155E8" w:rsidP="004A7C37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User Contact Details:</w:t>
            </w:r>
          </w:p>
        </w:tc>
        <w:tc>
          <w:tcPr>
            <w:tcW w:w="917" w:type="pct"/>
            <w:shd w:val="clear" w:color="auto" w:fill="B2ECFB" w:themeFill="accent5" w:themeFillTint="66"/>
            <w:vAlign w:val="center"/>
          </w:tcPr>
          <w:p w14:paraId="2C08C457" w14:textId="77777777" w:rsidR="00A155E8" w:rsidRDefault="00A155E8" w:rsidP="004A7C37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Organisation:</w:t>
            </w:r>
          </w:p>
        </w:tc>
        <w:tc>
          <w:tcPr>
            <w:tcW w:w="2860" w:type="pct"/>
            <w:vAlign w:val="center"/>
          </w:tcPr>
          <w:p w14:paraId="67611319" w14:textId="77777777" w:rsidR="00A155E8" w:rsidRPr="00BC3CAC" w:rsidRDefault="00A155E8" w:rsidP="004A7C3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e1_organisation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«e1_organisation»</w:t>
            </w:r>
            <w:r>
              <w:rPr>
                <w:rFonts w:cs="Arial"/>
              </w:rPr>
              <w:fldChar w:fldCharType="end"/>
            </w:r>
          </w:p>
        </w:tc>
      </w:tr>
      <w:tr w:rsidR="00A155E8" w:rsidRPr="00BC3CAC" w14:paraId="59CCF8B6" w14:textId="77777777" w:rsidTr="004A7C37">
        <w:trPr>
          <w:trHeight w:val="403"/>
        </w:trPr>
        <w:tc>
          <w:tcPr>
            <w:tcW w:w="1223" w:type="pct"/>
            <w:vMerge/>
            <w:shd w:val="clear" w:color="auto" w:fill="B2ECFB" w:themeFill="accent5" w:themeFillTint="66"/>
            <w:vAlign w:val="center"/>
          </w:tcPr>
          <w:p w14:paraId="6B7921B9" w14:textId="77777777" w:rsidR="00A155E8" w:rsidRDefault="00A155E8" w:rsidP="004A7C37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917" w:type="pct"/>
            <w:shd w:val="clear" w:color="auto" w:fill="B2ECFB" w:themeFill="accent5" w:themeFillTint="66"/>
            <w:vAlign w:val="center"/>
          </w:tcPr>
          <w:p w14:paraId="210F9512" w14:textId="77777777" w:rsidR="00A155E8" w:rsidRDefault="00A155E8" w:rsidP="004A7C37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Name:</w:t>
            </w:r>
          </w:p>
        </w:tc>
        <w:tc>
          <w:tcPr>
            <w:tcW w:w="2860" w:type="pct"/>
            <w:vAlign w:val="center"/>
          </w:tcPr>
          <w:p w14:paraId="6DD68584" w14:textId="77777777" w:rsidR="00A155E8" w:rsidRPr="00BC3CAC" w:rsidRDefault="00A155E8" w:rsidP="004A7C3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e1_name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«e1_name»</w:t>
            </w:r>
            <w:r>
              <w:rPr>
                <w:rFonts w:cs="Arial"/>
              </w:rPr>
              <w:fldChar w:fldCharType="end"/>
            </w:r>
          </w:p>
        </w:tc>
      </w:tr>
      <w:tr w:rsidR="00A155E8" w:rsidRPr="00BC3CAC" w14:paraId="3F7149FC" w14:textId="77777777" w:rsidTr="004A7C37">
        <w:trPr>
          <w:trHeight w:val="403"/>
        </w:trPr>
        <w:tc>
          <w:tcPr>
            <w:tcW w:w="1223" w:type="pct"/>
            <w:vMerge/>
            <w:shd w:val="clear" w:color="auto" w:fill="B2ECFB" w:themeFill="accent5" w:themeFillTint="66"/>
            <w:vAlign w:val="center"/>
          </w:tcPr>
          <w:p w14:paraId="276E3D5A" w14:textId="77777777" w:rsidR="00A155E8" w:rsidRDefault="00A155E8" w:rsidP="004A7C37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917" w:type="pct"/>
            <w:shd w:val="clear" w:color="auto" w:fill="B2ECFB" w:themeFill="accent5" w:themeFillTint="66"/>
            <w:vAlign w:val="center"/>
          </w:tcPr>
          <w:p w14:paraId="4B347A5D" w14:textId="77777777" w:rsidR="00A155E8" w:rsidRDefault="00A155E8" w:rsidP="004A7C37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Email:</w:t>
            </w:r>
          </w:p>
        </w:tc>
        <w:tc>
          <w:tcPr>
            <w:tcW w:w="2860" w:type="pct"/>
            <w:vAlign w:val="center"/>
          </w:tcPr>
          <w:p w14:paraId="3747255E" w14:textId="77777777" w:rsidR="00A155E8" w:rsidRPr="00BC3CAC" w:rsidRDefault="00A155E8" w:rsidP="004A7C3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e1_email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«e1_email»</w:t>
            </w:r>
            <w:r>
              <w:rPr>
                <w:rFonts w:cs="Arial"/>
              </w:rPr>
              <w:fldChar w:fldCharType="end"/>
            </w:r>
          </w:p>
        </w:tc>
      </w:tr>
      <w:tr w:rsidR="00A155E8" w:rsidRPr="00BC3CAC" w14:paraId="6D2DC1B5" w14:textId="77777777" w:rsidTr="004A7C37">
        <w:trPr>
          <w:trHeight w:val="403"/>
        </w:trPr>
        <w:tc>
          <w:tcPr>
            <w:tcW w:w="1223" w:type="pct"/>
            <w:vMerge/>
            <w:shd w:val="clear" w:color="auto" w:fill="B2ECFB" w:themeFill="accent5" w:themeFillTint="66"/>
            <w:vAlign w:val="center"/>
          </w:tcPr>
          <w:p w14:paraId="78302348" w14:textId="77777777" w:rsidR="00A155E8" w:rsidRDefault="00A155E8" w:rsidP="004A7C37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917" w:type="pct"/>
            <w:shd w:val="clear" w:color="auto" w:fill="B2ECFB" w:themeFill="accent5" w:themeFillTint="66"/>
            <w:vAlign w:val="center"/>
          </w:tcPr>
          <w:p w14:paraId="69C68015" w14:textId="77777777" w:rsidR="00A155E8" w:rsidRDefault="00A155E8" w:rsidP="004A7C37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Telephone:</w:t>
            </w:r>
          </w:p>
        </w:tc>
        <w:tc>
          <w:tcPr>
            <w:tcW w:w="2860" w:type="pct"/>
            <w:vAlign w:val="center"/>
          </w:tcPr>
          <w:p w14:paraId="7F2C9A70" w14:textId="77777777" w:rsidR="00A155E8" w:rsidRPr="00BC3CAC" w:rsidRDefault="00A155E8" w:rsidP="004A7C3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e1_telephone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«e1_telephone»</w:t>
            </w:r>
            <w:r>
              <w:rPr>
                <w:rFonts w:cs="Arial"/>
              </w:rPr>
              <w:fldChar w:fldCharType="end"/>
            </w:r>
          </w:p>
        </w:tc>
      </w:tr>
      <w:tr w:rsidR="00A155E8" w:rsidRPr="00BC3CAC" w14:paraId="74B03827" w14:textId="77777777" w:rsidTr="004A7C37">
        <w:trPr>
          <w:trHeight w:val="1137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0F6D22E2" w14:textId="77777777" w:rsidR="00A155E8" w:rsidRPr="00470388" w:rsidRDefault="00A155E8" w:rsidP="004A7C37">
            <w:pPr>
              <w:jc w:val="right"/>
              <w:rPr>
                <w:rFonts w:cs="Arial"/>
                <w:szCs w:val="20"/>
              </w:rPr>
            </w:pPr>
            <w:r w:rsidRPr="00876BE6">
              <w:rPr>
                <w:rFonts w:cs="Arial"/>
                <w:szCs w:val="20"/>
              </w:rPr>
              <w:t xml:space="preserve">Organisation’s preferred solution option, including rationale </w:t>
            </w:r>
            <w:proofErr w:type="gramStart"/>
            <w:r w:rsidRPr="00876BE6">
              <w:rPr>
                <w:rFonts w:cs="Arial"/>
                <w:szCs w:val="20"/>
              </w:rPr>
              <w:t>taking into account</w:t>
            </w:r>
            <w:proofErr w:type="gramEnd"/>
            <w:r w:rsidRPr="00876BE6">
              <w:rPr>
                <w:rFonts w:cs="Arial"/>
                <w:szCs w:val="20"/>
              </w:rPr>
              <w:t xml:space="preserve"> costs, risks, resource etc.</w:t>
            </w:r>
          </w:p>
        </w:tc>
        <w:tc>
          <w:tcPr>
            <w:tcW w:w="3777" w:type="pct"/>
            <w:gridSpan w:val="2"/>
            <w:vAlign w:val="center"/>
          </w:tcPr>
          <w:p w14:paraId="68E001C1" w14:textId="77777777" w:rsidR="00A155E8" w:rsidRPr="00BC3CAC" w:rsidRDefault="00A155E8" w:rsidP="004A7C3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/>
            </w:r>
            <w:r>
              <w:rPr>
                <w:rFonts w:cs="Arial"/>
                <w:szCs w:val="20"/>
              </w:rPr>
              <w:instrText xml:space="preserve"> MERGEFIELD  e1_preferredSolutionOption  \* MERGEFORMAT </w:instrText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«e1_preferredSolutionOption»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A155E8" w:rsidRPr="00BC3CAC" w14:paraId="1D68139F" w14:textId="77777777" w:rsidTr="004A7C37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276737B7" w14:textId="77777777" w:rsidR="00A155E8" w:rsidRPr="00470388" w:rsidRDefault="00A155E8" w:rsidP="004A7C37">
            <w:pPr>
              <w:jc w:val="right"/>
              <w:rPr>
                <w:rFonts w:cs="Arial"/>
                <w:szCs w:val="20"/>
              </w:rPr>
            </w:pPr>
            <w:r w:rsidRPr="00876BE6">
              <w:rPr>
                <w:rFonts w:cs="Arial"/>
                <w:szCs w:val="20"/>
              </w:rPr>
              <w:t xml:space="preserve">Implementation </w:t>
            </w:r>
            <w:r>
              <w:rPr>
                <w:rFonts w:cs="Arial"/>
                <w:szCs w:val="20"/>
              </w:rPr>
              <w:t>D</w:t>
            </w:r>
            <w:r w:rsidRPr="00876BE6">
              <w:rPr>
                <w:rFonts w:cs="Arial"/>
                <w:szCs w:val="20"/>
              </w:rPr>
              <w:t>ate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3777" w:type="pct"/>
            <w:gridSpan w:val="2"/>
            <w:vAlign w:val="center"/>
          </w:tcPr>
          <w:p w14:paraId="3DD13196" w14:textId="77777777" w:rsidR="00A155E8" w:rsidRPr="00BC3CAC" w:rsidRDefault="00A155E8" w:rsidP="004A7C3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/>
            </w:r>
            <w:r>
              <w:rPr>
                <w:rFonts w:cs="Arial"/>
                <w:szCs w:val="20"/>
              </w:rPr>
              <w:instrText xml:space="preserve"> MERGEFIELD  e1_implementationDate  \* MERGEFORMAT </w:instrText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«e1_implementationDate»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A155E8" w:rsidRPr="00BC3CAC" w14:paraId="5CC1F527" w14:textId="77777777" w:rsidTr="004A7C37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3CC58338" w14:textId="77777777" w:rsidR="00A155E8" w:rsidRPr="00470388" w:rsidRDefault="00A155E8" w:rsidP="004A7C37">
            <w:pPr>
              <w:jc w:val="right"/>
              <w:rPr>
                <w:rFonts w:cs="Arial"/>
                <w:szCs w:val="20"/>
              </w:rPr>
            </w:pPr>
            <w:r w:rsidRPr="00876BE6">
              <w:rPr>
                <w:rFonts w:cs="Arial"/>
                <w:szCs w:val="20"/>
              </w:rPr>
              <w:t>Xoserve preferred solution option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3777" w:type="pct"/>
            <w:gridSpan w:val="2"/>
            <w:vAlign w:val="center"/>
          </w:tcPr>
          <w:p w14:paraId="0047C7A0" w14:textId="77777777" w:rsidR="00A155E8" w:rsidRPr="00BC3CAC" w:rsidRDefault="00A155E8" w:rsidP="004A7C3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/>
            </w:r>
            <w:r>
              <w:rPr>
                <w:rFonts w:cs="Arial"/>
                <w:szCs w:val="20"/>
              </w:rPr>
              <w:instrText xml:space="preserve"> MERGEFIELD  e1_xoserveSolutionOption  \* MERGEFORMAT </w:instrText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«e1_xoserveSolutionOption»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A155E8" w:rsidRPr="00BC3CAC" w14:paraId="398EE473" w14:textId="77777777" w:rsidTr="004A7C37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7E6C392" w14:textId="77777777" w:rsidR="00A155E8" w:rsidRPr="00470388" w:rsidRDefault="00A155E8" w:rsidP="004A7C37">
            <w:pPr>
              <w:jc w:val="right"/>
              <w:rPr>
                <w:rFonts w:cs="Arial"/>
                <w:szCs w:val="20"/>
              </w:rPr>
            </w:pPr>
            <w:r w:rsidRPr="00876BE6">
              <w:rPr>
                <w:rFonts w:cs="Arial"/>
                <w:szCs w:val="20"/>
              </w:rPr>
              <w:t>DSG preferred solution option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3777" w:type="pct"/>
            <w:gridSpan w:val="2"/>
            <w:vAlign w:val="center"/>
          </w:tcPr>
          <w:p w14:paraId="0AE97735" w14:textId="77777777" w:rsidR="00A155E8" w:rsidRPr="00BC3CAC" w:rsidRDefault="00A155E8" w:rsidP="004A7C3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/>
            </w:r>
            <w:r>
              <w:rPr>
                <w:rFonts w:cs="Arial"/>
                <w:szCs w:val="20"/>
              </w:rPr>
              <w:instrText xml:space="preserve"> MERGEFIELD  e1_dsgSolutionOption  \* MERGEFORMAT </w:instrText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«e1_dsgSolutionOption»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A155E8" w:rsidRPr="00BC3CAC" w14:paraId="0FAA6F08" w14:textId="77777777" w:rsidTr="004A7C37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39DEF275" w14:textId="77777777" w:rsidR="00A155E8" w:rsidRPr="00470388" w:rsidRDefault="00A155E8" w:rsidP="004A7C37">
            <w:pPr>
              <w:jc w:val="right"/>
              <w:rPr>
                <w:rFonts w:cs="Arial"/>
                <w:szCs w:val="20"/>
              </w:rPr>
            </w:pPr>
            <w:r w:rsidRPr="00876BE6">
              <w:rPr>
                <w:rFonts w:cs="Arial"/>
                <w:szCs w:val="20"/>
              </w:rPr>
              <w:t>Publication of consultation response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3777" w:type="pct"/>
            <w:gridSpan w:val="2"/>
            <w:vAlign w:val="center"/>
          </w:tcPr>
          <w:p w14:paraId="390854D0" w14:textId="77777777" w:rsidR="00A155E8" w:rsidRPr="00BC3CAC" w:rsidRDefault="00A155E8" w:rsidP="004A7C3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N/A</w:t>
            </w:r>
          </w:p>
        </w:tc>
      </w:tr>
    </w:tbl>
    <w:p w14:paraId="1872339E" w14:textId="77777777" w:rsidR="00A155E8" w:rsidRDefault="00A155E8" w:rsidP="00A155E8">
      <w:pPr>
        <w:pStyle w:val="Heading1"/>
      </w:pPr>
      <w:r>
        <w:t xml:space="preserve">E2: </w:t>
      </w:r>
      <w:r w:rsidRPr="00876BE6">
        <w:t xml:space="preserve">Xoserve’ s Response 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A155E8" w:rsidRPr="00BC3CAC" w14:paraId="730ECAE6" w14:textId="77777777" w:rsidTr="004A7C37">
        <w:trPr>
          <w:trHeight w:val="66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7032E03B" w14:textId="77777777" w:rsidR="00A155E8" w:rsidRPr="00470388" w:rsidRDefault="00A155E8" w:rsidP="004A7C37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Xoserve</w:t>
            </w:r>
            <w:r w:rsidRPr="00876BE6">
              <w:rPr>
                <w:rFonts w:cs="Arial"/>
                <w:szCs w:val="20"/>
              </w:rPr>
              <w:t xml:space="preserve"> Response to Organisations Comments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3777" w:type="pct"/>
            <w:vAlign w:val="center"/>
          </w:tcPr>
          <w:p w14:paraId="6AD11B3C" w14:textId="77777777" w:rsidR="00A155E8" w:rsidRPr="00BC3CAC" w:rsidRDefault="00A155E8" w:rsidP="004A7C3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/>
            </w:r>
            <w:r>
              <w:rPr>
                <w:rFonts w:cs="Arial"/>
                <w:szCs w:val="20"/>
              </w:rPr>
              <w:instrText xml:space="preserve"> MERGEFIELD  e2_xoserveResponse  \* MERGEFORMAT </w:instrText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«e2_xoserveResponse»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</w:tbl>
    <w:p w14:paraId="198ACE5F" w14:textId="77777777" w:rsidR="00A155E8" w:rsidRDefault="00A155E8" w:rsidP="00A155E8"/>
    <w:p w14:paraId="7D1BCCE1" w14:textId="77777777" w:rsidR="00A155E8" w:rsidRDefault="00A155E8" w:rsidP="00A155E8">
      <w:r>
        <w:rPr>
          <w:noProof/>
        </w:rPr>
        <w:fldChar w:fldCharType="begin"/>
      </w:r>
      <w:r>
        <w:rPr>
          <w:noProof/>
        </w:rPr>
        <w:instrText xml:space="preserve"> MERGEFIELD  RangeEnd:EDS  \* MERGEFORMAT </w:instrText>
      </w:r>
      <w:r>
        <w:rPr>
          <w:noProof/>
        </w:rPr>
        <w:fldChar w:fldCharType="separate"/>
      </w:r>
      <w:r>
        <w:rPr>
          <w:noProof/>
        </w:rPr>
        <w:t>«RangeEnd:EDS»</w:t>
      </w:r>
      <w:r>
        <w:rPr>
          <w:noProof/>
        </w:rPr>
        <w:fldChar w:fldCharType="end"/>
      </w:r>
    </w:p>
    <w:p w14:paraId="70F64E60" w14:textId="77777777" w:rsidR="00093D75" w:rsidRPr="00244CEF" w:rsidRDefault="00093D75" w:rsidP="00310A64">
      <w:pPr>
        <w:rPr>
          <w:rFonts w:eastAsiaTheme="majorEastAsia" w:cstheme="majorBidi"/>
          <w:b/>
          <w:bCs/>
          <w:color w:val="3E5AA8"/>
          <w:sz w:val="28"/>
          <w:szCs w:val="28"/>
        </w:rPr>
      </w:pPr>
    </w:p>
    <w:sectPr w:rsidR="00093D75" w:rsidRPr="00244CEF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86FF6" w14:textId="77777777" w:rsidR="00B20B8A" w:rsidRDefault="00B20B8A" w:rsidP="00324744">
      <w:pPr>
        <w:spacing w:after="0" w:line="240" w:lineRule="auto"/>
      </w:pPr>
      <w:r>
        <w:separator/>
      </w:r>
    </w:p>
  </w:endnote>
  <w:endnote w:type="continuationSeparator" w:id="0">
    <w:p w14:paraId="00C76E4C" w14:textId="77777777" w:rsidR="00B20B8A" w:rsidRDefault="00B20B8A" w:rsidP="00324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34CC3" w14:textId="77777777" w:rsidR="00BD0A45" w:rsidRDefault="00BD0A4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BB0B30" wp14:editId="50A8DD2B">
              <wp:simplePos x="0" y="0"/>
              <wp:positionH relativeFrom="column">
                <wp:posOffset>-914400</wp:posOffset>
              </wp:positionH>
              <wp:positionV relativeFrom="paragraph">
                <wp:posOffset>376555</wp:posOffset>
              </wp:positionV>
              <wp:extent cx="7562850" cy="2571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644220" id="Rectangle 2" o:spid="_x0000_s1026" style="position:absolute;margin-left:-1in;margin-top:29.65pt;width:595.5pt;height:2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" fillcolor="#40d1f5 [3208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FE5E9" w14:textId="77777777" w:rsidR="00B20B8A" w:rsidRDefault="00B20B8A" w:rsidP="00324744">
      <w:pPr>
        <w:spacing w:after="0" w:line="240" w:lineRule="auto"/>
      </w:pPr>
      <w:r>
        <w:separator/>
      </w:r>
    </w:p>
  </w:footnote>
  <w:footnote w:type="continuationSeparator" w:id="0">
    <w:p w14:paraId="5F5EF7CF" w14:textId="77777777" w:rsidR="00B20B8A" w:rsidRDefault="00B20B8A" w:rsidP="00324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FD55A" w14:textId="77777777" w:rsidR="00324744" w:rsidRDefault="0032474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AF725D" wp14:editId="70C312F4">
              <wp:simplePos x="0" y="0"/>
              <wp:positionH relativeFrom="column">
                <wp:posOffset>-914400</wp:posOffset>
              </wp:positionH>
              <wp:positionV relativeFrom="paragraph">
                <wp:posOffset>-487681</wp:posOffset>
              </wp:positionV>
              <wp:extent cx="7562850" cy="257175"/>
              <wp:effectExtent l="0" t="0" r="0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46514E" id="Rectangle 1" o:spid="_x0000_s1026" style="position:absolute;margin-left:-1in;margin-top:-38.4pt;width:595.5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" fillcolor="#3e5aa8 [3204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D5C2F"/>
    <w:multiLevelType w:val="hybridMultilevel"/>
    <w:tmpl w:val="A5DA42B8"/>
    <w:lvl w:ilvl="0" w:tplc="1CE6EE1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4B06A8D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2" w:tplc="C114950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3" w:tplc="6986C9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4" w:tplc="4A28566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5" w:tplc="BB1824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6" w:tplc="BBB478B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7" w:tplc="1660D16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  <w:lvl w:ilvl="8" w:tplc="AFFE53A4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F43206"/>
    <w:multiLevelType w:val="hybridMultilevel"/>
    <w:tmpl w:val="B0262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678A"/>
    <w:multiLevelType w:val="hybridMultilevel"/>
    <w:tmpl w:val="0644DF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22107"/>
    <w:multiLevelType w:val="hybridMultilevel"/>
    <w:tmpl w:val="B4AE007C"/>
    <w:lvl w:ilvl="0" w:tplc="F6746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C14949"/>
    <w:multiLevelType w:val="hybridMultilevel"/>
    <w:tmpl w:val="DFBE20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F520D2"/>
    <w:multiLevelType w:val="hybridMultilevel"/>
    <w:tmpl w:val="71E4C8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3278F2"/>
    <w:multiLevelType w:val="hybridMultilevel"/>
    <w:tmpl w:val="3AF42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4673B"/>
    <w:multiLevelType w:val="hybridMultilevel"/>
    <w:tmpl w:val="1CC4F1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384C39"/>
    <w:multiLevelType w:val="hybridMultilevel"/>
    <w:tmpl w:val="4B28CA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7A3708"/>
    <w:multiLevelType w:val="hybridMultilevel"/>
    <w:tmpl w:val="D102E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E3DAC"/>
    <w:multiLevelType w:val="hybridMultilevel"/>
    <w:tmpl w:val="F04AFC46"/>
    <w:lvl w:ilvl="0" w:tplc="3D8A2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91BCC"/>
    <w:multiLevelType w:val="hybridMultilevel"/>
    <w:tmpl w:val="2ABA6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10"/>
  </w:num>
  <w:num w:numId="8">
    <w:abstractNumId w:val="9"/>
  </w:num>
  <w:num w:numId="9">
    <w:abstractNumId w:val="11"/>
  </w:num>
  <w:num w:numId="10">
    <w:abstractNumId w:val="7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DB"/>
    <w:rsid w:val="0000140B"/>
    <w:rsid w:val="000130E6"/>
    <w:rsid w:val="000177AF"/>
    <w:rsid w:val="00057A13"/>
    <w:rsid w:val="0008110D"/>
    <w:rsid w:val="00083F5C"/>
    <w:rsid w:val="00093D75"/>
    <w:rsid w:val="000A1AD1"/>
    <w:rsid w:val="000C1466"/>
    <w:rsid w:val="00125B61"/>
    <w:rsid w:val="00144E00"/>
    <w:rsid w:val="00146681"/>
    <w:rsid w:val="0016663E"/>
    <w:rsid w:val="00176D37"/>
    <w:rsid w:val="001A374A"/>
    <w:rsid w:val="001C4EA9"/>
    <w:rsid w:val="001F4CE1"/>
    <w:rsid w:val="002015B2"/>
    <w:rsid w:val="00226D34"/>
    <w:rsid w:val="00244CEF"/>
    <w:rsid w:val="00293725"/>
    <w:rsid w:val="002B6311"/>
    <w:rsid w:val="002E54CE"/>
    <w:rsid w:val="002F7C5D"/>
    <w:rsid w:val="00310A64"/>
    <w:rsid w:val="00317FDD"/>
    <w:rsid w:val="00324744"/>
    <w:rsid w:val="00335849"/>
    <w:rsid w:val="003524FA"/>
    <w:rsid w:val="00364374"/>
    <w:rsid w:val="00383411"/>
    <w:rsid w:val="003913B3"/>
    <w:rsid w:val="003A32EA"/>
    <w:rsid w:val="00400706"/>
    <w:rsid w:val="004021BE"/>
    <w:rsid w:val="004153CA"/>
    <w:rsid w:val="00426807"/>
    <w:rsid w:val="00440396"/>
    <w:rsid w:val="00441FB3"/>
    <w:rsid w:val="00460947"/>
    <w:rsid w:val="00470388"/>
    <w:rsid w:val="00481FCE"/>
    <w:rsid w:val="00490930"/>
    <w:rsid w:val="004A4757"/>
    <w:rsid w:val="004F3362"/>
    <w:rsid w:val="00517F6F"/>
    <w:rsid w:val="00525556"/>
    <w:rsid w:val="0055298E"/>
    <w:rsid w:val="00577928"/>
    <w:rsid w:val="00597994"/>
    <w:rsid w:val="005F6994"/>
    <w:rsid w:val="0063646D"/>
    <w:rsid w:val="00643131"/>
    <w:rsid w:val="00693A87"/>
    <w:rsid w:val="006B1889"/>
    <w:rsid w:val="006C545B"/>
    <w:rsid w:val="006C66CA"/>
    <w:rsid w:val="006F245E"/>
    <w:rsid w:val="006F2733"/>
    <w:rsid w:val="006F4ED0"/>
    <w:rsid w:val="007243D3"/>
    <w:rsid w:val="00725A4E"/>
    <w:rsid w:val="00734CB9"/>
    <w:rsid w:val="0075130B"/>
    <w:rsid w:val="007663A1"/>
    <w:rsid w:val="007A1295"/>
    <w:rsid w:val="007A56DB"/>
    <w:rsid w:val="007B7C8D"/>
    <w:rsid w:val="007C721E"/>
    <w:rsid w:val="007D4F26"/>
    <w:rsid w:val="007E4F9D"/>
    <w:rsid w:val="007E6089"/>
    <w:rsid w:val="008372C8"/>
    <w:rsid w:val="0085298E"/>
    <w:rsid w:val="00863193"/>
    <w:rsid w:val="00896B7A"/>
    <w:rsid w:val="008C528D"/>
    <w:rsid w:val="008D7F41"/>
    <w:rsid w:val="008F19A1"/>
    <w:rsid w:val="00907AB9"/>
    <w:rsid w:val="009507C8"/>
    <w:rsid w:val="009522F5"/>
    <w:rsid w:val="00957395"/>
    <w:rsid w:val="00960CD9"/>
    <w:rsid w:val="009964A7"/>
    <w:rsid w:val="00A155E8"/>
    <w:rsid w:val="00A3289C"/>
    <w:rsid w:val="00A4679A"/>
    <w:rsid w:val="00A51FB7"/>
    <w:rsid w:val="00AB5B54"/>
    <w:rsid w:val="00AB63DE"/>
    <w:rsid w:val="00AC233C"/>
    <w:rsid w:val="00AD27BC"/>
    <w:rsid w:val="00AE479D"/>
    <w:rsid w:val="00B17B9A"/>
    <w:rsid w:val="00B20B8A"/>
    <w:rsid w:val="00B23DC7"/>
    <w:rsid w:val="00B3587A"/>
    <w:rsid w:val="00B6467E"/>
    <w:rsid w:val="00B75F1E"/>
    <w:rsid w:val="00B85122"/>
    <w:rsid w:val="00B952F9"/>
    <w:rsid w:val="00BC2E36"/>
    <w:rsid w:val="00BC3CAC"/>
    <w:rsid w:val="00BD0A45"/>
    <w:rsid w:val="00C367A5"/>
    <w:rsid w:val="00C611D2"/>
    <w:rsid w:val="00CB75E3"/>
    <w:rsid w:val="00D168F4"/>
    <w:rsid w:val="00D66C7E"/>
    <w:rsid w:val="00DA31F7"/>
    <w:rsid w:val="00DC4720"/>
    <w:rsid w:val="00DF1917"/>
    <w:rsid w:val="00E16A4A"/>
    <w:rsid w:val="00E35A7D"/>
    <w:rsid w:val="00E365C3"/>
    <w:rsid w:val="00E43FF8"/>
    <w:rsid w:val="00E472C6"/>
    <w:rsid w:val="00E63FE2"/>
    <w:rsid w:val="00F145B0"/>
    <w:rsid w:val="00F44AB7"/>
    <w:rsid w:val="00F6379D"/>
    <w:rsid w:val="00F85D65"/>
    <w:rsid w:val="00F92ADC"/>
    <w:rsid w:val="00F95876"/>
    <w:rsid w:val="26F1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FBB0518"/>
  <w15:docId w15:val="{A53E2C2C-56FA-41F7-8F46-B78E556B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Xo Normal"/>
    <w:qFormat/>
    <w:rsid w:val="007A56DB"/>
    <w:rPr>
      <w:rFonts w:ascii="Arial" w:hAnsi="Arial"/>
    </w:rPr>
  </w:style>
  <w:style w:type="paragraph" w:styleId="Heading1">
    <w:name w:val="heading 1"/>
    <w:aliases w:val="Xo Heading 1"/>
    <w:basedOn w:val="Normal"/>
    <w:next w:val="Normal"/>
    <w:link w:val="Heading1Char"/>
    <w:uiPriority w:val="9"/>
    <w:qFormat/>
    <w:rsid w:val="007A56D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E5AA8"/>
      <w:sz w:val="28"/>
      <w:szCs w:val="28"/>
    </w:rPr>
  </w:style>
  <w:style w:type="paragraph" w:styleId="Heading2">
    <w:name w:val="heading 2"/>
    <w:aliases w:val="Xo Heading 2"/>
    <w:basedOn w:val="Normal"/>
    <w:next w:val="Normal"/>
    <w:link w:val="Heading2Char"/>
    <w:uiPriority w:val="9"/>
    <w:unhideWhenUsed/>
    <w:qFormat/>
    <w:rsid w:val="007A56D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6440A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A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Heading4">
    <w:name w:val="heading 4"/>
    <w:aliases w:val="Xo Heading 4"/>
    <w:basedOn w:val="Normal"/>
    <w:next w:val="Normal"/>
    <w:link w:val="Heading4Char"/>
    <w:uiPriority w:val="9"/>
    <w:unhideWhenUsed/>
    <w:qFormat/>
    <w:rsid w:val="000014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014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E2C5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Xo No Spacing"/>
    <w:uiPriority w:val="1"/>
    <w:qFormat/>
    <w:rsid w:val="007A56DB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aliases w:val="Xo Heading 1 Char"/>
    <w:basedOn w:val="DefaultParagraphFont"/>
    <w:link w:val="Heading1"/>
    <w:uiPriority w:val="9"/>
    <w:rsid w:val="007A56DB"/>
    <w:rPr>
      <w:rFonts w:ascii="Arial" w:eastAsiaTheme="majorEastAsia" w:hAnsi="Arial" w:cstheme="majorBidi"/>
      <w:b/>
      <w:bCs/>
      <w:color w:val="3E5AA8"/>
      <w:sz w:val="28"/>
      <w:szCs w:val="28"/>
    </w:rPr>
  </w:style>
  <w:style w:type="character" w:customStyle="1" w:styleId="Heading2Char">
    <w:name w:val="Heading 2 Char"/>
    <w:aliases w:val="Xo Heading 2 Char"/>
    <w:basedOn w:val="DefaultParagraphFont"/>
    <w:link w:val="Heading2"/>
    <w:uiPriority w:val="9"/>
    <w:rsid w:val="007A56DB"/>
    <w:rPr>
      <w:rFonts w:ascii="Arial" w:eastAsiaTheme="majorEastAsia" w:hAnsi="Arial" w:cstheme="majorBidi"/>
      <w:b/>
      <w:bCs/>
      <w:color w:val="6440A3"/>
      <w:sz w:val="26"/>
      <w:szCs w:val="26"/>
    </w:rPr>
  </w:style>
  <w:style w:type="paragraph" w:styleId="Title">
    <w:name w:val="Title"/>
    <w:aliases w:val="Xo Title"/>
    <w:basedOn w:val="Normal"/>
    <w:next w:val="Normal"/>
    <w:link w:val="TitleChar"/>
    <w:uiPriority w:val="10"/>
    <w:qFormat/>
    <w:rsid w:val="00BD0A45"/>
    <w:pPr>
      <w:pBdr>
        <w:bottom w:val="single" w:sz="8" w:space="4" w:color="3E5AA8" w:themeColor="accent1"/>
      </w:pBdr>
      <w:spacing w:after="300" w:line="240" w:lineRule="auto"/>
      <w:contextualSpacing/>
    </w:pPr>
    <w:rPr>
      <w:rFonts w:eastAsiaTheme="majorEastAsia" w:cstheme="majorBidi"/>
      <w:b/>
      <w:color w:val="1D3E61"/>
      <w:spacing w:val="5"/>
      <w:kern w:val="28"/>
      <w:sz w:val="52"/>
      <w:szCs w:val="52"/>
    </w:rPr>
  </w:style>
  <w:style w:type="character" w:customStyle="1" w:styleId="TitleChar">
    <w:name w:val="Title Char"/>
    <w:aliases w:val="Xo Title Char"/>
    <w:basedOn w:val="DefaultParagraphFont"/>
    <w:link w:val="Title"/>
    <w:uiPriority w:val="10"/>
    <w:rsid w:val="00BD0A45"/>
    <w:rPr>
      <w:rFonts w:ascii="Arial" w:eastAsiaTheme="majorEastAsia" w:hAnsi="Arial" w:cstheme="majorBidi"/>
      <w:b/>
      <w:color w:val="1D3E61"/>
      <w:spacing w:val="5"/>
      <w:kern w:val="28"/>
      <w:sz w:val="52"/>
      <w:szCs w:val="52"/>
    </w:rPr>
  </w:style>
  <w:style w:type="paragraph" w:styleId="Subtitle">
    <w:name w:val="Subtitle"/>
    <w:aliases w:val="Xo Subtitle"/>
    <w:basedOn w:val="Normal"/>
    <w:next w:val="Normal"/>
    <w:link w:val="SubtitleChar"/>
    <w:uiPriority w:val="11"/>
    <w:qFormat/>
    <w:rsid w:val="00324744"/>
    <w:pPr>
      <w:numPr>
        <w:ilvl w:val="1"/>
      </w:numPr>
    </w:pPr>
    <w:rPr>
      <w:rFonts w:eastAsiaTheme="majorEastAsia" w:cstheme="majorBidi"/>
      <w:i/>
      <w:iCs/>
      <w:color w:val="56CF9E"/>
      <w:spacing w:val="15"/>
      <w:sz w:val="24"/>
      <w:szCs w:val="24"/>
    </w:rPr>
  </w:style>
  <w:style w:type="character" w:customStyle="1" w:styleId="SubtitleChar">
    <w:name w:val="Subtitle Char"/>
    <w:aliases w:val="Xo Subtitle Char"/>
    <w:basedOn w:val="DefaultParagraphFont"/>
    <w:link w:val="Subtitle"/>
    <w:uiPriority w:val="11"/>
    <w:rsid w:val="00324744"/>
    <w:rPr>
      <w:rFonts w:ascii="Arial" w:eastAsiaTheme="majorEastAsia" w:hAnsi="Arial" w:cstheme="majorBidi"/>
      <w:i/>
      <w:iCs/>
      <w:color w:val="56CF9E"/>
      <w:spacing w:val="15"/>
      <w:sz w:val="24"/>
      <w:szCs w:val="24"/>
    </w:rPr>
  </w:style>
  <w:style w:type="character" w:styleId="SubtleEmphasis">
    <w:name w:val="Subtle Emphasis"/>
    <w:aliases w:val="Xo Subtle Emphasis"/>
    <w:basedOn w:val="DefaultParagraphFont"/>
    <w:uiPriority w:val="19"/>
    <w:qFormat/>
    <w:rsid w:val="00324744"/>
    <w:rPr>
      <w:rFonts w:ascii="Arial" w:hAnsi="Arial"/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74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744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BD0A45"/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9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140B"/>
    <w:rPr>
      <w:color w:val="6440A3" w:themeColor="hyperlink"/>
      <w:u w:val="single"/>
    </w:rPr>
  </w:style>
  <w:style w:type="character" w:customStyle="1" w:styleId="Heading4Char">
    <w:name w:val="Heading 4 Char"/>
    <w:aliases w:val="Xo Heading 4 Char"/>
    <w:basedOn w:val="DefaultParagraphFont"/>
    <w:link w:val="Heading4"/>
    <w:uiPriority w:val="9"/>
    <w:rsid w:val="0000140B"/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40B"/>
    <w:rPr>
      <w:rFonts w:asciiTheme="majorHAnsi" w:eastAsiaTheme="majorEastAsia" w:hAnsiTheme="majorHAnsi" w:cstheme="majorBidi"/>
      <w:color w:val="1E2C53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426807"/>
    <w:rPr>
      <w:b/>
      <w:bCs/>
      <w:i/>
      <w:iCs/>
      <w:color w:val="3E5AA8" w:themeColor="accent1"/>
    </w:rPr>
  </w:style>
  <w:style w:type="character" w:styleId="Strong">
    <w:name w:val="Strong"/>
    <w:basedOn w:val="DefaultParagraphFont"/>
    <w:uiPriority w:val="22"/>
    <w:qFormat/>
    <w:rsid w:val="0042680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268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26807"/>
    <w:rPr>
      <w:rFonts w:ascii="Arial" w:hAnsi="Arial"/>
      <w:i/>
      <w:iCs/>
      <w:color w:val="000000" w:themeColor="text1"/>
    </w:rPr>
  </w:style>
  <w:style w:type="table" w:styleId="TableGrid">
    <w:name w:val="Table Grid"/>
    <w:basedOn w:val="TableNormal"/>
    <w:uiPriority w:val="59"/>
    <w:rsid w:val="00310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0A64"/>
    <w:pPr>
      <w:ind w:left="720"/>
      <w:contextualSpacing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863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3193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31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FCE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FCE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76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klink@xoserve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vid.Addison@Xoserve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Xoserve 2018">
      <a:dk1>
        <a:sysClr val="windowText" lastClr="000000"/>
      </a:dk1>
      <a:lt1>
        <a:sysClr val="window" lastClr="FFFFFF"/>
      </a:lt1>
      <a:dk2>
        <a:srgbClr val="1D3E61"/>
      </a:dk2>
      <a:lt2>
        <a:srgbClr val="EEECE1"/>
      </a:lt2>
      <a:accent1>
        <a:srgbClr val="3E5AA8"/>
      </a:accent1>
      <a:accent2>
        <a:srgbClr val="D75733"/>
      </a:accent2>
      <a:accent3>
        <a:srgbClr val="56CF9E"/>
      </a:accent3>
      <a:accent4>
        <a:srgbClr val="6440A3"/>
      </a:accent4>
      <a:accent5>
        <a:srgbClr val="40D1F5"/>
      </a:accent5>
      <a:accent6>
        <a:srgbClr val="FCBC55"/>
      </a:accent6>
      <a:hlink>
        <a:srgbClr val="6440A3"/>
      </a:hlink>
      <a:folHlink>
        <a:srgbClr val="D2232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316C67CDCCA9459845F9233EFBCADF" ma:contentTypeVersion="8" ma:contentTypeDescription="Create a new document." ma:contentTypeScope="" ma:versionID="2276e12672374216d00e4d618bf656c4">
  <xsd:schema xmlns:xsd="http://www.w3.org/2001/XMLSchema" xmlns:xs="http://www.w3.org/2001/XMLSchema" xmlns:p="http://schemas.microsoft.com/office/2006/metadata/properties" xmlns:ns3="1fef8d34-828c-4bf0-a9d1-47ac614b5be5" xmlns:ns4="8e4dd5e6-ebf7-4b0c-aba8-145947f8339e" targetNamespace="http://schemas.microsoft.com/office/2006/metadata/properties" ma:root="true" ma:fieldsID="69bbb46509eefdb4a7d8a6cde7498aa3" ns3:_="" ns4:_="">
    <xsd:import namespace="1fef8d34-828c-4bf0-a9d1-47ac614b5be5"/>
    <xsd:import namespace="8e4dd5e6-ebf7-4b0c-aba8-145947f833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f8d34-828c-4bf0-a9d1-47ac614b5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dd5e6-ebf7-4b0c-aba8-145947f833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FD1E4-E801-45E3-8622-5705A3614C6C}">
  <ds:schemaRefs>
    <ds:schemaRef ds:uri="http://schemas.openxmlformats.org/package/2006/metadata/core-properties"/>
    <ds:schemaRef ds:uri="http://www.w3.org/XML/1998/namespace"/>
    <ds:schemaRef ds:uri="http://purl.org/dc/terms/"/>
    <ds:schemaRef ds:uri="1fef8d34-828c-4bf0-a9d1-47ac614b5be5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8e4dd5e6-ebf7-4b0c-aba8-145947f8339e"/>
  </ds:schemaRefs>
</ds:datastoreItem>
</file>

<file path=customXml/itemProps2.xml><?xml version="1.0" encoding="utf-8"?>
<ds:datastoreItem xmlns:ds="http://schemas.openxmlformats.org/officeDocument/2006/customXml" ds:itemID="{D42B8F05-FD72-408C-996A-49A19F9F9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ef8d34-828c-4bf0-a9d1-47ac614b5be5"/>
    <ds:schemaRef ds:uri="8e4dd5e6-ebf7-4b0c-aba8-145947f833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FE92D9-C373-4587-A1BF-C6A521F5E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BA9DD8-2943-42A9-9F98-468EA8F9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Grid</dc:creator>
  <cp:lastModifiedBy>Taggart, Rachel</cp:lastModifiedBy>
  <cp:revision>4</cp:revision>
  <cp:lastPrinted>2019-10-11T09:32:00Z</cp:lastPrinted>
  <dcterms:created xsi:type="dcterms:W3CDTF">2019-10-14T12:58:00Z</dcterms:created>
  <dcterms:modified xsi:type="dcterms:W3CDTF">2019-10-14T13:26:00Z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0x010100EE316C67CDCCA9459845F9233EFBCADF</vt:lpwstr>
  </property>
  <property fmtid="{D5CDD505-2E9C-101B-9397-08002B2CF9AE}" pid="3" name="_NewReviewCycle">
    <vt:lpwstr/>
  </property>
  <property fmtid="{D5CDD505-2E9C-101B-9397-08002B2CF9AE}" pid="4" name="AuthorIds_UIVersion_1024">
    <vt:lpwstr>98</vt:lpwstr>
  </property>
</Properties>
</file>