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b8bc4eda9a59465a" /><Relationship Type="http://schemas.openxmlformats.org/package/2006/relationships/metadata/core-properties" Target="/docProps/core.xml" Id="Rfe7579dbd2d848f6" /><Relationship Type="http://schemas.openxmlformats.org/officeDocument/2006/relationships/extended-properties" Target="/docProps/app.xml" Id="R027c69f311cf4d39" /><Relationship Type="http://schemas.openxmlformats.org/officeDocument/2006/relationships/custom-properties" Target="/docProps/custom.xml" Id="R86c17bb7062e456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245</w:t>
            </w:r>
            <w:r>
              <w:rPr>
                <w:rFonts w:cs="Arial"/>
              </w:rPr>
              <w:t>7.</w:t>
            </w:r>
            <w:r>
              <w:rPr>
                <w:rFonts w:cs="Arial"/>
              </w:rPr>
              <w:t xml:space="preserve">4 </w:t>
            </w:r>
            <w:r>
              <w:rPr>
                <w:rFonts w:cs="Arial"/>
              </w:rPr>
              <w:t>– RT – PO</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Settlement Data</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14/10/2019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shd w:val="clear" w:fill="FFFFFF"/>
            <w:tcW w:type="pct" w:w="3790"/>
            <w:vAlign w:val="center"/>
          </w:tcPr>
          <w:p>
            <w:pPr>
              <w:rPr>
                <w:rFonts w:cs="Arial"/>
              </w:rPr>
            </w:pPr>
            <w:r>
              <w:rPr>
                <w:rFonts w:cs="Arial"/>
              </w:rPr>
              <w:t>28/</w:t>
            </w:r>
            <w:r>
              <w:rPr>
                <w:rFonts w:cs="Arial"/>
              </w:rPr>
              <w:t>10/2019</w:t>
            </w:r>
          </w:p>
        </w:tc>
      </w:tr>
    </w:tbl>
    <w:p>
      <w:pPr>
        <w:pStyle w:val="heading 1"/>
      </w:pPr>
      <w:r>
        <w:t>Change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TBC</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Functional</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All Shipper Users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Neil Rogers</w:t>
            </w:r>
          </w:p>
        </w:tc>
      </w:tr>
    </w:tbl>
    <w:p>
      <w:pPr/>
      <w:r>
        <w:br w:type="page"/>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These changes relate to the overall development of XRN4627 [Ofgem Switching Programme - Shipper Consequential Change]</w:t>
            </w:r>
          </w:p>
          <w:p>
            <w:pPr/>
          </w:p>
          <w:p>
            <w:pPr/>
            <w:r>
              <w:t>Ofgem has introduced the Switching Programme to deliver faster switching – including the capability for next-day switching and improved reliability of the switching process through better management and oversight of industry data. This document</w:t>
            </w:r>
            <w:r>
              <w:t>,</w:t>
            </w:r>
            <w:r>
              <w:t xml:space="preserve"> along with </w:t>
            </w:r>
            <w:r>
              <w:t>several</w:t>
            </w:r>
            <w:r>
              <w:t xml:space="preserve"> </w:t>
            </w:r>
            <w:r>
              <w:t xml:space="preserve">other </w:t>
            </w:r>
            <w:r>
              <w:t>associated Change Packs (see Associated Changes below)</w:t>
            </w:r>
            <w:r>
              <w:t>,</w:t>
            </w:r>
            <w:r>
              <w:t xml:space="preserve"> details the consequential change required to ensure that Xoserve’s systems and processes (including the wider gas industry processes and interactions) can be updated to support the changes introduced.</w:t>
            </w:r>
          </w:p>
          <w:p>
            <w:pPr/>
          </w:p>
          <w:p>
            <w:pPr/>
            <w:r>
              <w:t xml:space="preserve">The changes to the </w:t>
            </w:r>
            <w:r>
              <w:rPr>
                <w:rFonts w:cs="Arial"/>
              </w:rPr>
              <w:t>Settlement Data</w:t>
            </w:r>
            <w:r>
              <w:t xml:space="preserve"> </w:t>
            </w:r>
            <w:r>
              <w:t>processes described in this change pack will be applicable to all site</w:t>
            </w:r>
            <w:r>
              <w:t>s</w:t>
            </w:r>
            <w:r>
              <w:t xml:space="preserve"> except those that are not i</w:t>
            </w:r>
            <w:r>
              <w:t>n</w:t>
            </w:r>
            <w:r>
              <w:t xml:space="preserve"> scope of CSS.  Sites not is scope of CSS will be identified in a new validation in UK Link:</w:t>
            </w:r>
          </w:p>
          <w:p>
            <w:pPr/>
          </w:p>
          <w:p>
            <w:pPr/>
            <w:r>
              <w:t xml:space="preserve">The </w:t>
            </w:r>
            <w:r>
              <w:rPr>
                <w:rFonts w:cs="Arial"/>
              </w:rPr>
              <w:t>Settlement Data</w:t>
            </w:r>
            <w:r>
              <w:t xml:space="preserve"> change pack covers the changes made in the following processes:</w:t>
            </w:r>
          </w:p>
          <w:p>
            <w:pPr>
              <w:numPr>
                <w:ilvl w:val="0"/>
                <w:numId w:val="1"/>
              </w:numPr>
              <w:pStyle w:val="List Paragraph"/>
            </w:pPr>
            <w:r>
              <w:t>A new check to identify that NTS sites which are out of scope of CSS</w:t>
            </w:r>
          </w:p>
          <w:p>
            <w:pPr/>
          </w:p>
          <w:p>
            <w:pPr/>
            <w:r>
              <w:t>This change pack does not cover consequential changes for:</w:t>
            </w:r>
          </w:p>
          <w:p>
            <w:pPr>
              <w:numPr>
                <w:ilvl w:val="0"/>
                <w:numId w:val="2"/>
              </w:numPr>
              <w:pStyle w:val="List Paragraph"/>
            </w:pPr>
            <w:r>
              <w:t>LPG installations</w:t>
            </w:r>
          </w:p>
          <w:p>
            <w:pPr>
              <w:numPr>
                <w:ilvl w:val="0"/>
                <w:numId w:val="2"/>
              </w:numPr>
              <w:pStyle w:val="List Paragraph"/>
            </w:pPr>
            <w:r>
              <w:t>SSMP Installations</w:t>
            </w:r>
          </w:p>
          <w:p>
            <w:pPr>
              <w:rPr>
                <w:rStyle w:val="normaltextrun"/>
              </w:rPr>
              <w:numPr>
                <w:ilvl w:val="0"/>
                <w:numId w:val="2"/>
              </w:numPr>
              <w:pStyle w:val="List Paragraph"/>
            </w:pPr>
            <w:r>
              <w:rPr>
                <w:rStyle w:val="normaltextrun"/>
                <w:shd w:val="clear" w:fill="FFFFFF"/>
                <w:rFonts w:cs="Arial"/>
              </w:rPr>
              <w:t>Supplier exempt</w:t>
            </w:r>
            <w:r>
              <w:rPr>
                <w:rStyle w:val="normaltextrun"/>
              </w:rPr>
              <w:t xml:space="preserve"> sites</w:t>
            </w:r>
          </w:p>
          <w:p>
            <w:pP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Settlement Data</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No impact</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t>SAP ISU</w:t>
            </w:r>
            <w:r>
              <w:t>, AMT Market Flow</w:t>
            </w:r>
            <w:r>
              <w:t>, SAP PO</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t>Shipper</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File Format – see below</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t>NA</w:t>
            </w:r>
          </w:p>
        </w:tc>
      </w:tr>
    </w:tbl>
    <w:p>
      <w:pPr>
        <w:spacing w:after="0"/>
      </w:pPr>
    </w:p>
    <w:tbl>
      <w:tblPr>
        <w:tblStyle w:val="Table Grid"/>
        <w:tblLayout w:type="fixed"/>
        <w:tblW w:type="pct" w:w="5000"/>
        <w:tblLook w:firstColumn="1" w:firstRow="1" w:lastColumn="0" w:lastRow="0" w:noHBand="0" w:noVBand="1"/>
      </w:tblPr>
      <w:tblGrid>
        <w:gridCol w:w="1074"/>
        <w:gridCol w:w="1935"/>
        <w:gridCol w:w="2074"/>
        <w:gridCol w:w="1800"/>
        <w:gridCol w:w="2133"/>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r>
              <w:t>BRN</w:t>
            </w:r>
          </w:p>
        </w:tc>
        <w:tc>
          <w:tcPr>
            <w:shd w:val="clear" w:fill="FFFFFF"/>
            <w:tcW w:type="pct" w:w="1073"/>
            <w:vAlign w:val="center"/>
          </w:tcPr>
          <w:p>
            <w:pPr>
              <w:jc w:val="center"/>
            </w:pPr>
          </w:p>
        </w:tc>
        <w:tc>
          <w:tcPr>
            <w:shd w:val="clear" w:fill="FFFFFF"/>
            <w:tcW w:type="pct" w:w="1150"/>
            <w:vAlign w:val="center"/>
          </w:tcPr>
          <w:p>
            <w:pPr>
              <w:jc w:val="center"/>
            </w:pPr>
            <w:r>
              <w:t>T90, T91, T87</w:t>
            </w:r>
          </w:p>
        </w:tc>
        <w:tc>
          <w:tcPr>
            <w:shd w:val="clear" w:fill="FFFFFF"/>
            <w:tcW w:type="pct" w:w="998"/>
            <w:vAlign w:val="center"/>
          </w:tcPr>
          <w:p>
            <w:pPr>
              <w:jc w:val="center"/>
            </w:pPr>
          </w:p>
        </w:tc>
        <w:tc>
          <w:tcPr>
            <w:shd w:val="clear" w:fill="FFFFFF"/>
            <w:tcW w:type="pct" w:w="1183"/>
            <w:vAlign w:val="center"/>
          </w:tcPr>
          <w:p>
            <w:pPr>
              <w:jc w:val="center"/>
            </w:pPr>
            <w:r>
              <w:t>New File</w:t>
            </w:r>
          </w:p>
        </w:tc>
      </w:tr>
      <w:tr>
        <w:trPr>
          <w:trHeight w:hRule="atLeast" w:val="403"/>
        </w:trPr>
        <w:tc>
          <w:tcPr>
            <w:shd w:val="clear" w:fill="FFFFFF"/>
            <w:tcW w:type="pct" w:w="596"/>
            <w:vAlign w:val="center"/>
          </w:tcPr>
          <w:p>
            <w:pPr>
              <w:jc w:val="center"/>
            </w:pPr>
            <w:r>
              <w:t>BRR</w:t>
            </w:r>
          </w:p>
        </w:tc>
        <w:tc>
          <w:tcPr>
            <w:shd w:val="clear" w:fill="FFFFFF"/>
            <w:tcW w:type="pct" w:w="1073"/>
            <w:vAlign w:val="center"/>
          </w:tcPr>
          <w:p>
            <w:pPr>
              <w:jc w:val="center"/>
            </w:pPr>
          </w:p>
        </w:tc>
        <w:tc>
          <w:tcPr>
            <w:shd w:val="clear" w:fill="FFFFFF"/>
            <w:tcW w:type="pct" w:w="1150"/>
            <w:vAlign w:val="center"/>
          </w:tcPr>
          <w:p>
            <w:pPr>
              <w:jc w:val="center"/>
            </w:pPr>
            <w:r>
              <w:t>T93, T95, T94, T88</w:t>
            </w:r>
          </w:p>
        </w:tc>
        <w:tc>
          <w:tcPr>
            <w:shd w:val="clear" w:fill="FFFFFF"/>
            <w:tcW w:type="pct" w:w="998"/>
            <w:vAlign w:val="center"/>
          </w:tcPr>
          <w:p>
            <w:pPr>
              <w:jc w:val="center"/>
            </w:pPr>
          </w:p>
        </w:tc>
        <w:tc>
          <w:tcPr>
            <w:shd w:val="clear" w:fill="FFFFFF"/>
            <w:tcW w:type="pct" w:w="1183"/>
            <w:vAlign w:val="center"/>
          </w:tcPr>
          <w:p>
            <w:pPr>
              <w:jc w:val="center"/>
            </w:pPr>
            <w:r>
              <w:t>New File</w:t>
            </w:r>
          </w:p>
        </w:tc>
      </w:tr>
      <w:tr>
        <w:trPr>
          <w:trHeight w:hRule="atLeast" w:val="403"/>
        </w:trPr>
        <w:tc>
          <w:tcPr>
            <w:shd w:val="clear" w:fill="FFFFFF"/>
            <w:tcW w:type="pct" w:w="596"/>
            <w:vAlign w:val="center"/>
          </w:tcPr>
          <w:p>
            <w:pPr>
              <w:jc w:val="center"/>
            </w:pPr>
            <w:r>
              <w:t>ASN</w:t>
            </w:r>
          </w:p>
        </w:tc>
        <w:tc>
          <w:tcPr>
            <w:shd w:val="clear" w:fill="FFFFFF"/>
            <w:tcW w:type="pct" w:w="1073"/>
            <w:vAlign w:val="center"/>
          </w:tcPr>
          <w:p>
            <w:pPr>
              <w:jc w:val="center"/>
            </w:pPr>
          </w:p>
        </w:tc>
        <w:tc>
          <w:tcPr>
            <w:shd w:val="clear" w:fill="FFFFFF"/>
            <w:tcW w:type="pct" w:w="1150"/>
            <w:vAlign w:val="center"/>
          </w:tcPr>
          <w:p>
            <w:pPr>
              <w:jc w:val="center"/>
            </w:pPr>
            <w:r>
              <w:t>T99</w:t>
            </w:r>
          </w:p>
        </w:tc>
        <w:tc>
          <w:tcPr>
            <w:shd w:val="clear" w:fill="FFFFFF"/>
            <w:tcW w:type="pct" w:w="998"/>
            <w:vAlign w:val="center"/>
          </w:tcPr>
          <w:p>
            <w:pPr>
              <w:jc w:val="center"/>
            </w:pPr>
          </w:p>
        </w:tc>
        <w:tc>
          <w:tcPr>
            <w:shd w:val="clear" w:fill="FFFFFF"/>
            <w:tcW w:type="pct" w:w="1183"/>
            <w:vAlign w:val="center"/>
          </w:tcPr>
          <w:p>
            <w:pPr>
              <w:jc w:val="center"/>
            </w:pPr>
            <w:r>
              <w:t>New File</w:t>
            </w:r>
          </w:p>
        </w:tc>
      </w:tr>
    </w:tbl>
    <w:p>
      <w:pPr/>
    </w:p>
    <w:tbl>
      <w:tblPr>
        <w:tblStyle w:val="Table Grid"/>
        <w:tblW w:type="pct" w:w="5000"/>
        <w:tblLook w:firstColumn="1" w:firstRow="1" w:lastColumn="0" w:lastRow="0" w:noHBand="0" w:noVBand="1"/>
      </w:tblPr>
      <w:tblGrid>
        <w:gridCol w:w="9016"/>
      </w:tblGrid>
      <w:tr>
        <w:trPr>
          <w:trHeight w:hRule="atLeast" w:val="403"/>
        </w:trPr>
        <w:tc>
          <w:tcPr>
            <w:tcW w:type="pct" w:w="5000"/>
            <w:vAlign w:val="center"/>
          </w:tcPr>
          <w:p>
            <w:pPr>
              <w:pStyle w:val="heading 1"/>
              <w:outlineLvl w:val="0"/>
            </w:pPr>
            <w:r>
              <w:t>Change Design Description</w:t>
            </w:r>
          </w:p>
          <w:p>
            <w:pPr>
              <w:pStyle w:val="heading 1"/>
              <w:spacing w:before="240"/>
              <w:outlineLvl w:val="0"/>
            </w:pPr>
            <w:r>
              <w:t>Settlement Details</w:t>
            </w:r>
          </w:p>
          <w:p>
            <w:pPr>
              <w:spacing w:before="120" w:after="100" w:afterAutospacing="1"/>
            </w:pPr>
            <w:r>
              <w:t>Summary of File Format changes</w:t>
            </w:r>
            <w:r>
              <w:rPr>
                <w:vertAlign w:val="superscript"/>
              </w:rPr>
              <w:t>1</w:t>
            </w:r>
          </w:p>
          <w:tbl>
            <w:tblPr>
              <w:tblStyle w:val="Table Grid"/>
              <w:tblW w:type="auto" w:w="0"/>
              <w:tblLook w:firstColumn="0" w:firstRow="1" w:lastColumn="0" w:lastRow="0" w:noHBand="0" w:noVBand="1"/>
            </w:tblPr>
            <w:tblGrid>
              <w:gridCol w:w="964"/>
              <w:gridCol w:w="1199"/>
              <w:gridCol w:w="1469"/>
              <w:gridCol w:w="5158"/>
            </w:tblGrid>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File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Record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Type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Summary</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BRN</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New File Hierarchy</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New hierarchy for the BRN file structure</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BRN</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T90</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New Record</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New record for the submission of settlement data where linked to an accepted Nomination</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BRN</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T91</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New Record</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New record for the submission of settlement data for a proposed Class 3 &amp; 4 sites where not linked to an accepted Nomination</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BRN</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T87</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New Record</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eastAsia="Times New Roman"/>
                      <w:kern w:val="24"/>
                      <w:sz w:val="20"/>
                      <w:szCs w:val="20"/>
                    </w:rPr>
                  </w:pPr>
                  <w:r>
                    <w:rPr>
                      <w:color w:val="000000"/>
                      <w:rFonts w:cs="Arial"/>
                      <w:kern w:val="24"/>
                    </w:rPr>
                    <w:t>New record to support the cancellation of an accepted BRN</w:t>
                  </w:r>
                </w:p>
              </w:tc>
            </w:tr>
            <w:tr>
              <w:trPr>
                <w:trHeight w:hRule="atLeast" w:val="584"/>
              </w:trPr>
              <w:tc>
                <w:tcPr>
                  <w:tcW w:type="dxa" w:w="972"/>
                </w:tcPr>
                <w:p>
                  <w:pPr>
                    <w:rPr>
                      <w:color w:val="000000"/>
                      <w:rFonts w:cs="Arial"/>
                      <w:kern w:val="24"/>
                    </w:rPr>
                  </w:pPr>
                  <w:r>
                    <w:rPr>
                      <w:color w:val="000000"/>
                      <w:rFonts w:cs="Arial"/>
                      <w:kern w:val="24"/>
                    </w:rPr>
                    <w:t>BRR</w:t>
                  </w:r>
                </w:p>
              </w:tc>
              <w:tc>
                <w:tcPr>
                  <w:tcW w:type="dxa" w:w="1210"/>
                </w:tcPr>
                <w:p>
                  <w:pPr>
                    <w:rPr>
                      <w:color w:val="000000"/>
                      <w:rFonts w:cs="Arial"/>
                      <w:kern w:val="24"/>
                    </w:rPr>
                  </w:pPr>
                  <w:r>
                    <w:rPr>
                      <w:color w:val="000000"/>
                      <w:rFonts w:cs="Arial"/>
                      <w:kern w:val="24"/>
                    </w:rPr>
                    <w:t>-</w:t>
                  </w:r>
                </w:p>
              </w:tc>
              <w:tc>
                <w:tcPr>
                  <w:tcW w:type="dxa" w:w="1485"/>
                </w:tcPr>
                <w:p>
                  <w:pPr>
                    <w:rPr>
                      <w:color w:val="000000"/>
                      <w:rFonts w:cs="Arial"/>
                      <w:kern w:val="24"/>
                    </w:rPr>
                  </w:pPr>
                  <w:r>
                    <w:rPr>
                      <w:color w:val="000000"/>
                      <w:rFonts w:cs="Arial"/>
                      <w:kern w:val="24"/>
                    </w:rPr>
                    <w:t>New File Hierarchy</w:t>
                  </w:r>
                </w:p>
              </w:tc>
              <w:tc>
                <w:tcPr>
                  <w:tcW w:type="dxa" w:w="5349"/>
                </w:tcPr>
                <w:p>
                  <w:pPr>
                    <w:rPr>
                      <w:color w:val="000000"/>
                      <w:rFonts w:cs="Arial"/>
                      <w:kern w:val="24"/>
                    </w:rPr>
                  </w:pPr>
                  <w:r>
                    <w:rPr>
                      <w:color w:val="000000"/>
                      <w:rFonts w:cs="Arial"/>
                      <w:kern w:val="24"/>
                    </w:rPr>
                    <w:t>New hierarchy for the BRR file structure</w:t>
                  </w:r>
                </w:p>
              </w:tc>
            </w:tr>
            <w:tr>
              <w:trPr>
                <w:trHeight w:hRule="atLeast" w:val="584"/>
              </w:trPr>
              <w:tc>
                <w:tcPr>
                  <w:tcW w:type="dxa" w:w="972"/>
                </w:tcPr>
                <w:p>
                  <w:pPr>
                    <w:rPr>
                      <w:color w:val="000000"/>
                      <w:rFonts w:cs="Arial"/>
                      <w:kern w:val="24"/>
                    </w:rPr>
                  </w:pPr>
                  <w:r>
                    <w:rPr>
                      <w:color w:val="000000"/>
                      <w:rFonts w:cs="Arial"/>
                      <w:kern w:val="24"/>
                    </w:rPr>
                    <w:t>BRR</w:t>
                  </w:r>
                </w:p>
              </w:tc>
              <w:tc>
                <w:tcPr>
                  <w:tcW w:type="dxa" w:w="1210"/>
                </w:tcPr>
                <w:p>
                  <w:pPr>
                    <w:rPr>
                      <w:color w:val="000000"/>
                      <w:rFonts w:cs="Arial"/>
                      <w:kern w:val="24"/>
                    </w:rPr>
                  </w:pPr>
                  <w:r>
                    <w:rPr>
                      <w:color w:val="000000"/>
                      <w:rFonts w:cs="Arial"/>
                      <w:kern w:val="24"/>
                    </w:rPr>
                    <w:t>T93</w:t>
                  </w:r>
                </w:p>
              </w:tc>
              <w:tc>
                <w:tcPr>
                  <w:tcW w:type="dxa" w:w="1485"/>
                </w:tcPr>
                <w:p>
                  <w:pPr>
                    <w:rPr>
                      <w:color w:val="000000"/>
                      <w:rFonts w:cs="Arial"/>
                      <w:kern w:val="24"/>
                    </w:rPr>
                  </w:pPr>
                  <w:r>
                    <w:rPr>
                      <w:color w:val="000000"/>
                      <w:rFonts w:cs="Arial"/>
                      <w:kern w:val="24"/>
                    </w:rPr>
                    <w:t>New Record</w:t>
                  </w:r>
                </w:p>
              </w:tc>
              <w:tc>
                <w:tcPr>
                  <w:tcW w:type="dxa" w:w="5349"/>
                </w:tcPr>
                <w:p>
                  <w:pPr>
                    <w:rPr>
                      <w:color w:val="000000"/>
                      <w:rFonts w:cs="Arial"/>
                      <w:kern w:val="24"/>
                    </w:rPr>
                  </w:pPr>
                  <w:r>
                    <w:rPr>
                      <w:color w:val="000000"/>
                      <w:rFonts w:cs="Arial"/>
                      <w:kern w:val="24"/>
                    </w:rPr>
                    <w:t>New response record for the acceptance of a BRN (settlement details) file</w:t>
                  </w:r>
                </w:p>
              </w:tc>
            </w:tr>
            <w:tr>
              <w:trPr>
                <w:trHeight w:hRule="atLeast" w:val="584"/>
              </w:trPr>
              <w:tc>
                <w:tcPr>
                  <w:tcW w:type="dxa" w:w="972"/>
                </w:tcPr>
                <w:p>
                  <w:pPr>
                    <w:rPr>
                      <w:color w:val="000000"/>
                      <w:rFonts w:cs="Arial"/>
                      <w:kern w:val="24"/>
                    </w:rPr>
                  </w:pPr>
                  <w:r>
                    <w:rPr>
                      <w:color w:val="000000"/>
                      <w:rFonts w:cs="Arial"/>
                      <w:kern w:val="24"/>
                    </w:rPr>
                    <w:t>BRR</w:t>
                  </w:r>
                </w:p>
              </w:tc>
              <w:tc>
                <w:tcPr>
                  <w:tcW w:type="dxa" w:w="1210"/>
                </w:tcPr>
                <w:p>
                  <w:pPr>
                    <w:rPr>
                      <w:color w:val="000000"/>
                      <w:rFonts w:cs="Arial"/>
                      <w:kern w:val="24"/>
                    </w:rPr>
                  </w:pPr>
                  <w:r>
                    <w:rPr>
                      <w:color w:val="000000"/>
                      <w:rFonts w:cs="Arial"/>
                      <w:kern w:val="24"/>
                    </w:rPr>
                    <w:t>T95</w:t>
                  </w:r>
                </w:p>
              </w:tc>
              <w:tc>
                <w:tcPr>
                  <w:tcW w:type="dxa" w:w="1485"/>
                </w:tcPr>
                <w:p>
                  <w:pPr>
                    <w:rPr>
                      <w:color w:val="000000"/>
                      <w:rFonts w:cs="Arial"/>
                      <w:kern w:val="24"/>
                    </w:rPr>
                  </w:pPr>
                  <w:r>
                    <w:rPr>
                      <w:color w:val="000000"/>
                      <w:rFonts w:cs="Arial"/>
                      <w:kern w:val="24"/>
                    </w:rPr>
                    <w:t>New Record</w:t>
                  </w:r>
                </w:p>
              </w:tc>
              <w:tc>
                <w:tcPr>
                  <w:tcW w:type="dxa" w:w="5349"/>
                </w:tcPr>
                <w:p>
                  <w:pPr>
                    <w:rPr>
                      <w:color w:val="000000"/>
                      <w:rFonts w:cs="Arial"/>
                      <w:kern w:val="24"/>
                    </w:rPr>
                  </w:pPr>
                  <w:r>
                    <w:rPr>
                      <w:color w:val="000000"/>
                      <w:rFonts w:cs="Arial"/>
                      <w:kern w:val="24"/>
                    </w:rPr>
                    <w:t xml:space="preserve">New response record for the rejection of a BRN (settlement details) file where linked to </w:t>
                  </w:r>
                  <w:r>
                    <w:rPr>
                      <w:color w:val="000000"/>
                      <w:rFonts w:cs="Arial"/>
                      <w:kern w:val="24"/>
                    </w:rPr>
                    <w:t>an</w:t>
                  </w:r>
                  <w:r>
                    <w:rPr>
                      <w:color w:val="000000"/>
                      <w:rFonts w:cs="Arial"/>
                      <w:kern w:val="24"/>
                    </w:rPr>
                    <w:t xml:space="preserve"> Nomination (T90 record)</w:t>
                  </w:r>
                </w:p>
              </w:tc>
            </w:tr>
            <w:tr>
              <w:trPr>
                <w:trHeight w:hRule="atLeast" w:val="584"/>
              </w:trPr>
              <w:tc>
                <w:tcPr>
                  <w:tcW w:type="dxa" w:w="972"/>
                </w:tcPr>
                <w:p>
                  <w:pPr>
                    <w:rPr>
                      <w:color w:val="000000"/>
                      <w:rFonts w:cs="Arial"/>
                      <w:kern w:val="24"/>
                    </w:rPr>
                  </w:pPr>
                  <w:r>
                    <w:rPr>
                      <w:color w:val="000000"/>
                      <w:rFonts w:cs="Arial"/>
                      <w:kern w:val="24"/>
                    </w:rPr>
                    <w:t>BRR</w:t>
                  </w:r>
                </w:p>
              </w:tc>
              <w:tc>
                <w:tcPr>
                  <w:tcW w:type="dxa" w:w="1210"/>
                </w:tcPr>
                <w:p>
                  <w:pPr>
                    <w:rPr>
                      <w:color w:val="000000"/>
                      <w:rFonts w:cs="Arial"/>
                      <w:kern w:val="24"/>
                    </w:rPr>
                  </w:pPr>
                  <w:r>
                    <w:rPr>
                      <w:color w:val="000000"/>
                      <w:rFonts w:cs="Arial"/>
                      <w:kern w:val="24"/>
                    </w:rPr>
                    <w:t>T94</w:t>
                  </w:r>
                </w:p>
              </w:tc>
              <w:tc>
                <w:tcPr>
                  <w:tcW w:type="dxa" w:w="1485"/>
                </w:tcPr>
                <w:p>
                  <w:pPr>
                    <w:rPr>
                      <w:color w:val="000000"/>
                      <w:rFonts w:cs="Arial"/>
                      <w:kern w:val="24"/>
                    </w:rPr>
                  </w:pPr>
                  <w:r>
                    <w:rPr>
                      <w:color w:val="000000"/>
                      <w:rFonts w:cs="Arial"/>
                      <w:kern w:val="24"/>
                    </w:rPr>
                    <w:t>New Record</w:t>
                  </w:r>
                </w:p>
              </w:tc>
              <w:tc>
                <w:tcPr>
                  <w:tcW w:type="dxa" w:w="5349"/>
                </w:tcPr>
                <w:p>
                  <w:pPr>
                    <w:rPr>
                      <w:color w:val="000000"/>
                      <w:rFonts w:cs="Arial"/>
                      <w:kern w:val="24"/>
                    </w:rPr>
                  </w:pPr>
                  <w:r>
                    <w:rPr>
                      <w:color w:val="000000"/>
                      <w:rFonts w:cs="Arial"/>
                      <w:kern w:val="24"/>
                    </w:rPr>
                    <w:t>New response record for the rejection of a BRN (settlement details) file for a proposed Class 3 &amp; 4 site not linked to an accepted Nomination (T91 record)</w:t>
                  </w:r>
                </w:p>
              </w:tc>
            </w:tr>
            <w:tr>
              <w:trPr>
                <w:trHeight w:hRule="atLeast" w:val="584"/>
              </w:trPr>
              <w:tc>
                <w:tcPr>
                  <w:tcW w:type="dxa" w:w="972"/>
                </w:tcPr>
                <w:p>
                  <w:pPr>
                    <w:rPr>
                      <w:color w:val="000000"/>
                      <w:rFonts w:cs="Arial"/>
                      <w:kern w:val="24"/>
                    </w:rPr>
                  </w:pPr>
                  <w:r>
                    <w:rPr>
                      <w:color w:val="000000"/>
                      <w:rFonts w:cs="Arial"/>
                      <w:kern w:val="24"/>
                    </w:rPr>
                    <w:t>BRR</w:t>
                  </w:r>
                </w:p>
              </w:tc>
              <w:tc>
                <w:tcPr>
                  <w:tcW w:type="dxa" w:w="1210"/>
                </w:tcPr>
                <w:p>
                  <w:pPr>
                    <w:rPr>
                      <w:color w:val="000000"/>
                      <w:rFonts w:cs="Arial"/>
                      <w:kern w:val="24"/>
                    </w:rPr>
                  </w:pPr>
                  <w:r>
                    <w:rPr>
                      <w:color w:val="000000"/>
                      <w:rFonts w:cs="Arial"/>
                      <w:kern w:val="24"/>
                    </w:rPr>
                    <w:t>T88</w:t>
                  </w:r>
                </w:p>
              </w:tc>
              <w:tc>
                <w:tcPr>
                  <w:tcW w:type="dxa" w:w="1485"/>
                </w:tcPr>
                <w:p>
                  <w:pPr>
                    <w:rPr>
                      <w:color w:val="000000"/>
                      <w:rFonts w:cs="Arial"/>
                      <w:kern w:val="24"/>
                    </w:rPr>
                  </w:pPr>
                  <w:r>
                    <w:rPr>
                      <w:color w:val="000000"/>
                      <w:rFonts w:cs="Arial"/>
                      <w:kern w:val="24"/>
                    </w:rPr>
                    <w:t>New Record</w:t>
                  </w:r>
                </w:p>
              </w:tc>
              <w:tc>
                <w:tcPr>
                  <w:tcW w:type="dxa" w:w="5349"/>
                </w:tcPr>
                <w:p>
                  <w:pPr>
                    <w:rPr>
                      <w:color w:val="000000"/>
                      <w:rFonts w:cs="Arial"/>
                      <w:kern w:val="24"/>
                    </w:rPr>
                  </w:pPr>
                  <w:r>
                    <w:rPr>
                      <w:color w:val="000000"/>
                      <w:rFonts w:cs="Arial"/>
                      <w:kern w:val="24"/>
                    </w:rPr>
                    <w:t>New response record to support the acceptance or rejection of a BRN cancellation request</w:t>
                  </w:r>
                </w:p>
              </w:tc>
            </w:tr>
            <w:tr>
              <w:trPr>
                <w:trHeight w:hRule="atLeast" w:val="584"/>
              </w:trPr>
              <w:tc>
                <w:tcPr>
                  <w:tcW w:type="dxa" w:w="972"/>
                </w:tcPr>
                <w:p>
                  <w:pPr>
                    <w:rPr>
                      <w:color w:val="000000"/>
                      <w:rFonts w:cs="Arial"/>
                      <w:kern w:val="24"/>
                    </w:rPr>
                  </w:pPr>
                  <w:r>
                    <w:rPr>
                      <w:color w:val="000000"/>
                      <w:rFonts w:cs="Arial"/>
                      <w:kern w:val="24"/>
                    </w:rPr>
                    <w:t>ASN</w:t>
                  </w:r>
                </w:p>
              </w:tc>
              <w:tc>
                <w:tcPr>
                  <w:tcW w:type="dxa" w:w="1210"/>
                </w:tcPr>
                <w:p>
                  <w:pPr>
                    <w:rPr>
                      <w:color w:val="000000"/>
                      <w:rFonts w:cs="Arial"/>
                      <w:kern w:val="24"/>
                    </w:rPr>
                  </w:pPr>
                  <w:r>
                    <w:rPr>
                      <w:color w:val="000000"/>
                      <w:rFonts w:cs="Arial"/>
                      <w:kern w:val="24"/>
                    </w:rPr>
                    <w:t>-</w:t>
                  </w:r>
                </w:p>
              </w:tc>
              <w:tc>
                <w:tcPr>
                  <w:tcW w:type="dxa" w:w="1485"/>
                </w:tcPr>
                <w:p>
                  <w:pPr>
                    <w:rPr>
                      <w:color w:val="000000"/>
                      <w:rFonts w:cs="Arial"/>
                      <w:kern w:val="24"/>
                    </w:rPr>
                  </w:pPr>
                  <w:r>
                    <w:rPr>
                      <w:color w:val="000000"/>
                      <w:rFonts w:cs="Arial"/>
                      <w:kern w:val="24"/>
                    </w:rPr>
                    <w:t>New File Hierarchy</w:t>
                  </w:r>
                </w:p>
              </w:tc>
              <w:tc>
                <w:tcPr>
                  <w:tcW w:type="dxa" w:w="5349"/>
                </w:tcPr>
                <w:p>
                  <w:pPr>
                    <w:rPr>
                      <w:color w:val="000000"/>
                      <w:rFonts w:cs="Arial"/>
                      <w:kern w:val="24"/>
                    </w:rPr>
                  </w:pPr>
                  <w:r>
                    <w:rPr>
                      <w:color w:val="000000"/>
                      <w:rFonts w:cs="Arial"/>
                      <w:kern w:val="24"/>
                    </w:rPr>
                    <w:t>New hierarchy for the ASN file structure</w:t>
                  </w:r>
                </w:p>
              </w:tc>
            </w:tr>
            <w:tr>
              <w:trPr>
                <w:trHeight w:hRule="atLeast" w:val="584"/>
              </w:trPr>
              <w:tc>
                <w:tcPr>
                  <w:tcW w:type="dxa" w:w="972"/>
                </w:tcPr>
                <w:p>
                  <w:pPr>
                    <w:rPr>
                      <w:color w:val="000000"/>
                      <w:rFonts w:cs="Arial"/>
                      <w:kern w:val="24"/>
                    </w:rPr>
                  </w:pPr>
                  <w:r>
                    <w:rPr>
                      <w:color w:val="000000"/>
                      <w:rFonts w:cs="Arial"/>
                      <w:kern w:val="24"/>
                    </w:rPr>
                    <w:t>ASN</w:t>
                  </w:r>
                </w:p>
              </w:tc>
              <w:tc>
                <w:tcPr>
                  <w:tcW w:type="dxa" w:w="1210"/>
                </w:tcPr>
                <w:p>
                  <w:pPr>
                    <w:rPr>
                      <w:color w:val="000000"/>
                      <w:rFonts w:cs="Arial"/>
                      <w:kern w:val="24"/>
                    </w:rPr>
                  </w:pPr>
                  <w:r>
                    <w:rPr>
                      <w:color w:val="000000"/>
                      <w:rFonts w:cs="Arial"/>
                      <w:kern w:val="24"/>
                    </w:rPr>
                    <w:t>T99</w:t>
                  </w:r>
                </w:p>
              </w:tc>
              <w:tc>
                <w:tcPr>
                  <w:tcW w:type="dxa" w:w="1485"/>
                </w:tcPr>
                <w:p>
                  <w:pPr>
                    <w:rPr>
                      <w:color w:val="000000"/>
                      <w:rFonts w:cs="Arial"/>
                      <w:kern w:val="24"/>
                    </w:rPr>
                  </w:pPr>
                  <w:r>
                    <w:rPr>
                      <w:color w:val="000000"/>
                      <w:rFonts w:cs="Arial"/>
                      <w:kern w:val="24"/>
                    </w:rPr>
                    <w:t>New Record</w:t>
                  </w:r>
                </w:p>
              </w:tc>
              <w:tc>
                <w:tcPr>
                  <w:tcW w:type="dxa" w:w="5349"/>
                </w:tcPr>
                <w:p>
                  <w:pPr>
                    <w:rPr>
                      <w:color w:val="000000"/>
                      <w:rFonts w:cs="Arial"/>
                      <w:kern w:val="24"/>
                    </w:rPr>
                  </w:pPr>
                  <w:r>
                    <w:rPr>
                      <w:color w:val="000000"/>
                      <w:rFonts w:cs="Arial"/>
                      <w:kern w:val="24"/>
                    </w:rPr>
                    <w:t>New record to advise of the association of settlement data to a CSS registration</w:t>
                  </w:r>
                </w:p>
              </w:tc>
            </w:tr>
          </w:tbl>
          <w:p>
            <w:pPr/>
          </w:p>
          <w:p>
            <w:pPr>
              <w:ind w:hanging="1247" w:left="1247"/>
            </w:pPr>
            <w:r>
              <w:t xml:space="preserve">Footnotes: </w:t>
            </w:r>
            <w:r>
              <w:rPr>
                <w:vertAlign w:val="superscript"/>
              </w:rPr>
              <w:t>1</w:t>
            </w:r>
            <w:r>
              <w:t xml:space="preserve"> N</w:t>
            </w:r>
            <w:r>
              <w:t xml:space="preserve">ew </w:t>
            </w:r>
            <w:r>
              <w:t>hierarchies</w:t>
            </w:r>
            <w:r>
              <w:t xml:space="preserve"> include existing record types which </w:t>
            </w:r>
            <w:r>
              <w:t>are</w:t>
            </w:r>
            <w:r>
              <w:t xml:space="preserve"> detailed in the corresponding file hierarchy spreadsheets.</w:t>
            </w:r>
          </w:p>
          <w:p>
            <w:pPr>
              <w:pStyle w:val="heading 1"/>
              <w:spacing w:before="240"/>
              <w:outlineLvl w:val="0"/>
            </w:pPr>
            <w:r>
              <w:t>Base Registration Nomination (BRN)</w:t>
            </w:r>
          </w:p>
          <w:p>
            <w:pPr/>
            <w:r>
              <w:t xml:space="preserve">The </w:t>
            </w:r>
            <w:r>
              <w:t xml:space="preserve">Proposing </w:t>
            </w:r>
            <w:r>
              <w:t xml:space="preserve">Shipper may provide all required Settlement Details for their registration period using a new file format called the </w:t>
            </w:r>
            <w:r>
              <w:t>Base Registration Nomination</w:t>
            </w:r>
            <w:r>
              <w:t xml:space="preserve"> (BRN)</w:t>
            </w:r>
            <w:r>
              <w:t>.</w:t>
            </w:r>
            <w:r>
              <w:t xml:space="preserve"> The BRN design has been based on the existing CNF file</w:t>
            </w:r>
            <w:r>
              <w:t>.</w:t>
            </w:r>
            <w:r>
              <w:t xml:space="preserve"> </w:t>
            </w:r>
            <w:r>
              <w:t>Shipper</w:t>
            </w:r>
            <w:r>
              <w:t>s</w:t>
            </w:r>
            <w:r>
              <w:t xml:space="preserve"> can now provide MAM details in the BRN file</w:t>
            </w:r>
            <w:r>
              <w:t xml:space="preserve"> </w:t>
            </w:r>
            <w:r>
              <w:t xml:space="preserve">(which is an optional data item) </w:t>
            </w:r>
            <w:r>
              <w:t>therefore removing the need to submit a MAM file separately during the CSS Switch Request/Change of Shipper process.</w:t>
            </w:r>
            <w:r>
              <w:t xml:space="preserve">  </w:t>
            </w:r>
          </w:p>
          <w:p>
            <w:pPr/>
          </w:p>
          <w:p>
            <w:pPr>
              <w:rPr>
                <w:u w:val="single"/>
              </w:rPr>
            </w:pPr>
            <w:r>
              <w:rPr>
                <w:color w:val="1E15D1"/>
                <w:u w:val="single"/>
              </w:rPr>
              <w:t>New Hierarchy</w:t>
            </w:r>
          </w:p>
          <w:p>
            <w:pPr/>
            <w:hyperlink r:id="R27eff8bf576040ad">
              <w:r>
                <w:rPr>
                  <w:rStyle w:val="Hyperlink"/>
                </w:rPr>
                <w:t xml:space="preserve">BRN </w:t>
              </w:r>
              <w:r>
                <w:rPr>
                  <w:rStyle w:val="Hyperlink"/>
                </w:rPr>
                <w:t>Hierarchy.xlxs</w:t>
              </w:r>
            </w:hyperlink>
          </w:p>
          <w:p>
            <w:pPr/>
          </w:p>
          <w:p>
            <w:pPr>
              <w:rPr>
                <w:color w:val="1E15D1"/>
                <w:u w:val="single"/>
              </w:rPr>
              <w:keepLines w:val="1"/>
              <w:keepNext w:val="1"/>
            </w:pPr>
            <w:r>
              <w:rPr>
                <w:color w:val="1E15D1"/>
                <w:u w:val="single"/>
              </w:rPr>
              <w:t xml:space="preserve">New File </w:t>
            </w:r>
            <w:r>
              <w:rPr>
                <w:color w:val="1E15D1"/>
                <w:u w:val="single"/>
              </w:rPr>
              <w:t>Records</w:t>
            </w:r>
            <w:r>
              <w:rPr>
                <w:color w:val="1E15D1"/>
                <w:u w:val="single"/>
              </w:rPr>
              <w:t xml:space="preserve"> </w:t>
            </w:r>
            <w:r>
              <w:rPr>
                <w:color w:val="1E15D1"/>
                <w:u w:val="single"/>
              </w:rPr>
              <w:t>- BRN Submission</w:t>
            </w:r>
          </w:p>
          <w:p>
            <w:pPr>
              <w:keepLines w:val="1"/>
              <w:keepNext w:val="1"/>
            </w:pPr>
            <w:r>
              <w:t xml:space="preserve">Where </w:t>
            </w:r>
            <w:r>
              <w:t xml:space="preserve">Settlement data </w:t>
            </w:r>
            <w:r>
              <w:t>is</w:t>
            </w:r>
            <w:r>
              <w:t xml:space="preserve"> being submitted </w:t>
            </w:r>
            <w:r>
              <w:t xml:space="preserve">by a Shipper </w:t>
            </w:r>
            <w:r>
              <w:t xml:space="preserve">to be applied to a </w:t>
            </w:r>
            <w:r>
              <w:t>CSS Registration or to a Change of Shipper Event</w:t>
            </w:r>
            <w:r>
              <w:t xml:space="preserve"> the following record type</w:t>
            </w:r>
            <w:r>
              <w:t xml:space="preserve"> </w:t>
            </w:r>
            <w:r>
              <w:t>must</w:t>
            </w:r>
            <w:r>
              <w:t xml:space="preserve"> be used</w:t>
            </w:r>
            <w:r>
              <w:t xml:space="preserve"> </w:t>
            </w:r>
            <w:r>
              <w:t xml:space="preserve">to </w:t>
            </w:r>
            <w:r>
              <w:t>associate to a valid Offer</w:t>
            </w:r>
            <w:r>
              <w:t>:</w:t>
            </w:r>
          </w:p>
          <w:p>
            <w:pPr>
              <w:keepLines w:val="1"/>
              <w:keepNext w:val="1"/>
            </w:pPr>
            <w:hyperlink r:id="Rb9049ee16df94c2d">
              <w:r>
                <w:rPr>
                  <w:rStyle w:val="Hyperlink"/>
                </w:rPr>
                <w:t>RT_T90_BASE_REGISTRATION_NOMINATION_FOR_RRN.docx</w:t>
              </w:r>
            </w:hyperlink>
          </w:p>
          <w:p>
            <w:pPr>
              <w:keepLines w:val="1"/>
              <w:keepNext w:val="1"/>
            </w:pPr>
          </w:p>
          <w:p>
            <w:pPr>
              <w:keepLines w:val="1"/>
              <w:keepNext w:val="1"/>
            </w:pPr>
            <w:r>
              <w:t xml:space="preserve">Where Settlement data </w:t>
            </w:r>
            <w:r>
              <w:t>is being</w:t>
            </w:r>
            <w:r>
              <w:t xml:space="preserve"> submitted for a</w:t>
            </w:r>
            <w:r>
              <w:t xml:space="preserve"> CSS Registration or to a Change of Shipper Event where no association to a valid Offer is required the following Record should be submitted</w:t>
            </w:r>
            <w:r>
              <w:t>:</w:t>
            </w:r>
          </w:p>
          <w:p>
            <w:pPr/>
          </w:p>
          <w:p>
            <w:pPr/>
            <w:hyperlink r:id="Ra6b1f6a68a024249">
              <w:r>
                <w:rPr>
                  <w:rStyle w:val="Hyperlink"/>
                </w:rPr>
                <w:t>RT_T91_BASE_REGISTRATION_NOMINATION_NO_RRN.docx</w:t>
              </w:r>
            </w:hyperlink>
          </w:p>
          <w:p>
            <w:pPr/>
          </w:p>
          <w:p>
            <w:pPr>
              <w:rPr>
                <w:color w:val="1E15D1"/>
                <w:u w:val="single"/>
              </w:rPr>
            </w:pPr>
            <w:r>
              <w:rPr>
                <w:color w:val="1E15D1"/>
                <w:u w:val="single"/>
              </w:rPr>
              <w:t xml:space="preserve">New File </w:t>
            </w:r>
            <w:r>
              <w:rPr>
                <w:color w:val="1E15D1"/>
                <w:u w:val="single"/>
              </w:rPr>
              <w:t>Record</w:t>
            </w:r>
            <w:r>
              <w:rPr>
                <w:color w:val="1E15D1"/>
                <w:u w:val="single"/>
              </w:rPr>
              <w:t xml:space="preserve"> </w:t>
            </w:r>
            <w:r>
              <w:rPr>
                <w:color w:val="1E15D1"/>
                <w:u w:val="single"/>
              </w:rPr>
              <w:t xml:space="preserve">- </w:t>
            </w:r>
            <w:r>
              <w:rPr>
                <w:color w:val="1E15D1"/>
                <w:u w:val="single"/>
              </w:rPr>
              <w:t>BRN Cancellation</w:t>
            </w:r>
          </w:p>
          <w:p>
            <w:pPr/>
            <w:r>
              <w:t xml:space="preserve">Where a Shipper </w:t>
            </w:r>
            <w:r>
              <w:t xml:space="preserve">wishes to cancel </w:t>
            </w:r>
            <w:r>
              <w:t>previously accepted</w:t>
            </w:r>
            <w:r>
              <w:t xml:space="preserve"> Settlement Data the following Record should be submitted:</w:t>
            </w:r>
          </w:p>
          <w:p>
            <w:pPr/>
            <w:hyperlink r:id="Rd9d105d7377445f7">
              <w:r>
                <w:rPr>
                  <w:rStyle w:val="Hyperlink"/>
                </w:rPr>
                <w:t>RT_T87_BRN_CANCELLATION.docx</w:t>
              </w:r>
            </w:hyperlink>
          </w:p>
          <w:p>
            <w:pPr/>
          </w:p>
          <w:p>
            <w:pPr/>
            <w:r>
              <w:t>BRN can be cancelled both prior to and following association</w:t>
            </w:r>
            <w:r>
              <w:t xml:space="preserve"> </w:t>
            </w:r>
            <w:r>
              <w:t>to a CSS registration, prior the settlement data submission cut-off time</w:t>
            </w:r>
            <w:r>
              <w:t>.</w:t>
            </w:r>
          </w:p>
          <w:p>
            <w:pPr/>
          </w:p>
          <w:p>
            <w:pPr/>
            <w:r>
              <w:rPr>
                <w:color w:val="1E15D1"/>
                <w:u w:val="single"/>
              </w:rPr>
              <w:t>Rejection Codes</w:t>
            </w:r>
          </w:p>
          <w:p>
            <w:pPr/>
            <w:r>
              <w:t xml:space="preserve">If the BRN is submitted </w:t>
            </w:r>
            <w:r>
              <w:t xml:space="preserve">for a BRN cancellation </w:t>
            </w:r>
            <w:r>
              <w:t xml:space="preserve">with an invalid </w:t>
            </w:r>
            <w:r>
              <w:t>BRN Number</w:t>
            </w:r>
            <w:r>
              <w:t>,</w:t>
            </w:r>
            <w:r>
              <w:t xml:space="preserve"> it will be rejected with a new Rejection Code. BRN000</w:t>
            </w:r>
            <w:r>
              <w:t>0</w:t>
            </w:r>
            <w:r>
              <w:t>2 “BRN</w:t>
            </w:r>
            <w:r>
              <w:t xml:space="preserve"> Reference</w:t>
            </w:r>
            <w:r>
              <w:t xml:space="preserve"> </w:t>
            </w:r>
            <w:r>
              <w:t>n</w:t>
            </w:r>
            <w:r>
              <w:t>umber</w:t>
            </w:r>
            <w:r>
              <w:t xml:space="preserve"> does not exist.</w:t>
            </w:r>
            <w:r>
              <w:t>”</w:t>
            </w:r>
          </w:p>
          <w:p>
            <w:pPr/>
            <w:r>
              <w:t xml:space="preserve">If a T87 BRN Cancellation is received for a BRN that was previously cancelled or has </w:t>
            </w:r>
            <w:r>
              <w:t>expired</w:t>
            </w:r>
            <w:r>
              <w:t xml:space="preserve"> it will be rejected with a new Rejection Code. BRN00001 “BRN was previously cancelled or has expired”</w:t>
            </w:r>
          </w:p>
          <w:p>
            <w:pPr/>
          </w:p>
          <w:p>
            <w:pPr/>
            <w:r>
              <w:rPr>
                <w:color w:val="1E15D1"/>
                <w:u w:val="single"/>
              </w:rPr>
              <w:t>Business Rules</w:t>
            </w:r>
          </w:p>
          <w:p>
            <w:pPr>
              <w:numPr>
                <w:ilvl w:val="0"/>
                <w:numId w:val="3"/>
              </w:numPr>
              <w:pStyle w:val="List Paragraph"/>
            </w:pPr>
            <w:r>
              <w:t xml:space="preserve">The </w:t>
            </w:r>
            <w:r>
              <w:t>BRN will be rejected if it is not structurally valid</w:t>
            </w:r>
            <w:r>
              <w:t>.</w:t>
            </w:r>
          </w:p>
          <w:p>
            <w:pPr>
              <w:numPr>
                <w:ilvl w:val="0"/>
                <w:numId w:val="3"/>
              </w:numPr>
              <w:pStyle w:val="List Paragraph"/>
            </w:pPr>
            <w:r>
              <w:t xml:space="preserve">The </w:t>
            </w:r>
            <w:r>
              <w:t xml:space="preserve">BRN will be rejected for Class 1 &amp; 2 if no </w:t>
            </w:r>
            <w:r>
              <w:t>Transporter Nomination</w:t>
            </w:r>
            <w:r>
              <w:t xml:space="preserve"> </w:t>
            </w:r>
            <w:r>
              <w:t>Reference is provided</w:t>
            </w:r>
            <w:r>
              <w:t xml:space="preserve"> in the T90 Record</w:t>
            </w:r>
            <w:r>
              <w:t>.</w:t>
            </w:r>
          </w:p>
          <w:p>
            <w:pPr>
              <w:numPr>
                <w:ilvl w:val="0"/>
                <w:numId w:val="3"/>
              </w:numPr>
              <w:pStyle w:val="List Paragraph"/>
            </w:pPr>
            <w:r>
              <w:t xml:space="preserve">The </w:t>
            </w:r>
            <w:r>
              <w:t>BRN will be rejected if the Offer is not valid</w:t>
            </w:r>
            <w:r>
              <w:t xml:space="preserve"> (T90 Record)</w:t>
            </w:r>
            <w:r>
              <w:t>.</w:t>
            </w:r>
          </w:p>
          <w:p>
            <w:pPr>
              <w:numPr>
                <w:ilvl w:val="0"/>
                <w:numId w:val="3"/>
              </w:numPr>
              <w:pStyle w:val="List Paragraph"/>
            </w:pPr>
            <w:r>
              <w:t xml:space="preserve">On receipt of CSS Registration or Change of Shipper Event the </w:t>
            </w:r>
            <w:r>
              <w:t xml:space="preserve">accepted </w:t>
            </w:r>
            <w:r>
              <w:t xml:space="preserve">BRN will be revalidated </w:t>
            </w:r>
            <w:r>
              <w:t>against the curr</w:t>
            </w:r>
            <w:r>
              <w:t>ent UNC validation rules</w:t>
            </w:r>
            <w:r>
              <w:t xml:space="preserve"> prior to association</w:t>
            </w:r>
            <w:r>
              <w:t xml:space="preserve"> an</w:t>
            </w:r>
            <w:r>
              <w:t>d may not be applied and default values will be issued</w:t>
            </w:r>
            <w:r>
              <w:t xml:space="preserve"> </w:t>
            </w:r>
            <w:r>
              <w:t>via the ASN</w:t>
            </w:r>
            <w:r>
              <w:t xml:space="preserve"> </w:t>
            </w:r>
            <w:r>
              <w:t xml:space="preserve">(please note that the BRN is not rejected and </w:t>
            </w:r>
            <w:r>
              <w:t>may remain valid for a subsequent switch</w:t>
            </w:r>
            <w:r>
              <w:t>)</w:t>
            </w:r>
            <w:r>
              <w:t>.</w:t>
            </w:r>
          </w:p>
          <w:p>
            <w:pPr>
              <w:numPr>
                <w:ilvl w:val="0"/>
                <w:numId w:val="3"/>
              </w:numPr>
              <w:pStyle w:val="List Paragraph"/>
            </w:pPr>
            <w:r>
              <w:t xml:space="preserve">The </w:t>
            </w:r>
            <w:r>
              <w:t xml:space="preserve">BRN will be valid for 60 </w:t>
            </w:r>
            <w:r>
              <w:t xml:space="preserve">calendar </w:t>
            </w:r>
            <w:r>
              <w:t>days</w:t>
            </w:r>
            <w:r>
              <w:t xml:space="preserve"> from acceptance</w:t>
            </w:r>
            <w:r>
              <w:t>.</w:t>
            </w:r>
          </w:p>
          <w:p>
            <w:pPr>
              <w:numPr>
                <w:ilvl w:val="0"/>
                <w:numId w:val="3"/>
              </w:numPr>
              <w:pStyle w:val="List Paragraph"/>
            </w:pPr>
            <w:r>
              <w:t xml:space="preserve">If the Offer </w:t>
            </w:r>
            <w:r>
              <w:t>was due to</w:t>
            </w:r>
            <w:r>
              <w:t xml:space="preserve"> expire before the end of the BRN </w:t>
            </w:r>
            <w:r>
              <w:t xml:space="preserve">validity period, </w:t>
            </w:r>
            <w:r>
              <w:t>the Offer’s</w:t>
            </w:r>
            <w:r>
              <w:t xml:space="preserve"> </w:t>
            </w:r>
            <w:r>
              <w:t>validity will be extended to end of the BRN validity period</w:t>
            </w:r>
            <w:r>
              <w:t xml:space="preserve"> (see diagram below)</w:t>
            </w:r>
            <w:r>
              <w:t>.</w:t>
            </w:r>
          </w:p>
          <w:p>
            <w:pPr>
              <w:numPr>
                <w:ilvl w:val="0"/>
                <w:numId w:val="3"/>
              </w:numPr>
              <w:pStyle w:val="List Paragraph"/>
            </w:pPr>
            <w:r>
              <w:t>Once a BRN has been associated to a</w:t>
            </w:r>
            <w:r>
              <w:t xml:space="preserve"> CSS Registration or Change of Shipper </w:t>
            </w:r>
            <w:r>
              <w:t>Event</w:t>
            </w:r>
            <w:r>
              <w:t xml:space="preserve"> it will not be invalidated by </w:t>
            </w:r>
            <w:r>
              <w:t>changes in the Supply Meter Point attributes</w:t>
            </w:r>
            <w:r>
              <w:t xml:space="preserve"> in line with current </w:t>
            </w:r>
            <w:r>
              <w:t xml:space="preserve">Confirmation </w:t>
            </w:r>
            <w:r>
              <w:t>f</w:t>
            </w:r>
            <w:r>
              <w:t>ile rules</w:t>
            </w:r>
            <w:r>
              <w:t>.</w:t>
            </w:r>
          </w:p>
          <w:p>
            <w:pPr>
              <w:numPr>
                <w:ilvl w:val="0"/>
                <w:numId w:val="3"/>
              </w:numPr>
              <w:pStyle w:val="List Paragraph"/>
            </w:pPr>
            <w:r>
              <w:t xml:space="preserve">The </w:t>
            </w:r>
            <w:r>
              <w:t xml:space="preserve">submission of a subsequent valid </w:t>
            </w:r>
            <w:r>
              <w:t xml:space="preserve">BRN </w:t>
            </w:r>
            <w:r>
              <w:t xml:space="preserve">will </w:t>
            </w:r>
            <w:r>
              <w:t>supersede</w:t>
            </w:r>
            <w:r>
              <w:t xml:space="preserve"> </w:t>
            </w:r>
            <w:r>
              <w:t xml:space="preserve">the </w:t>
            </w:r>
            <w:r>
              <w:t xml:space="preserve">previous valid </w:t>
            </w:r>
            <w:r>
              <w:t>BRN</w:t>
            </w:r>
            <w:r>
              <w:t xml:space="preserve"> even if associated.</w:t>
            </w:r>
          </w:p>
          <w:p>
            <w:pPr>
              <w:numPr>
                <w:ilvl w:val="0"/>
                <w:numId w:val="3"/>
              </w:numPr>
              <w:pStyle w:val="List Paragraph"/>
            </w:pPr>
            <w:r>
              <w:t xml:space="preserve">Subsequent BRN will be validated against the </w:t>
            </w:r>
            <w:r>
              <w:t xml:space="preserve">current </w:t>
            </w:r>
            <w:r>
              <w:t xml:space="preserve">Supply Meter Point </w:t>
            </w:r>
            <w:r>
              <w:t>attributes</w:t>
            </w:r>
            <w:r>
              <w:t xml:space="preserve"> </w:t>
            </w:r>
            <w:r>
              <w:t>,</w:t>
            </w:r>
            <w:r>
              <w:t xml:space="preserve"> which may be different to the previously accepted (and associated) BRN.</w:t>
            </w:r>
            <w:r>
              <w:t>.</w:t>
            </w:r>
          </w:p>
          <w:p>
            <w:pPr>
              <w:numPr>
                <w:ilvl w:val="0"/>
                <w:numId w:val="3"/>
              </w:numPr>
              <w:pStyle w:val="List Paragraph"/>
            </w:pPr>
            <w:r>
              <w:t>A BRN received after 1500hr on D-1 won’t be applied to a CSS Registration or Change of Shipper Event effective the</w:t>
            </w:r>
            <w:r>
              <w:t xml:space="preserve"> start of the</w:t>
            </w:r>
            <w:r>
              <w:t xml:space="preserve"> next day.</w:t>
            </w:r>
          </w:p>
          <w:p>
            <w:pPr>
              <w:numPr>
                <w:ilvl w:val="0"/>
                <w:numId w:val="3"/>
              </w:numPr>
              <w:pStyle w:val="List Paragraph"/>
            </w:pPr>
            <w:r>
              <w:t>A BRN received for a site that is out of scope of CSS will be rejected with a new rejection code</w:t>
            </w:r>
            <w:r>
              <w:t>.</w:t>
            </w:r>
            <w:r>
              <w:t xml:space="preserve"> Rejection Code BRN00003 “BRN Cannot be submitted for Non-CSS sites”</w:t>
            </w:r>
          </w:p>
          <w:p>
            <w:pPr/>
          </w:p>
          <w:p>
            <w:pPr/>
            <w:r>
              <mc:AlternateContent>
                <mc:Choice Requires="wps">
                  <w:drawing>
                    <wp:inline>
                      <wp:extent cx="5723255" cy="2845435"/>
                      <wp:docPr id="1" name="drawingObject1"/>
                      <wp:cNvGraphicFramePr/>
                      <a:graphic>
                        <a:graphicData uri="http://schemas.openxmlformats.org/drawingml/2006/picture">
                          <pic:pic>
                            <pic:nvPicPr>
                              <pic:cNvPr id="2" name="Picture 2"/>
                              <pic:cNvPicPr/>
                            </pic:nvPicPr>
                            <pic:blipFill>
                              <a:blip r:embed="Rbd26b0401ec64987"/>
                              <a:stretch/>
                            </pic:blipFill>
                            <pic:spPr>
                              <a:xfrm rot="0">
                                <a:ext cx="5723255" cy="2845435"/>
                              </a:xfrm>
                              <a:prstGeom prst="rect">
                                <a:avLst/>
                              </a:prstGeom>
                              <a:noFill/>
                            </pic:spPr>
                          </pic:pic>
                        </a:graphicData>
                      </a:graphic>
                    </wp:inline>
                  </w:drawing>
                </mc:Choice>
                <mc:Fallback/>
              </mc:AlternateContent>
            </w:r>
          </w:p>
          <w:p>
            <w:pPr/>
          </w:p>
          <w:p>
            <w:pPr/>
            <w:r>
              <mc:AlternateContent>
                <mc:Choice Requires="wps">
                  <w:drawing>
                    <wp:inline>
                      <wp:extent cx="5727065" cy="2847340"/>
                      <wp:docPr id="3" name="drawingObject3"/>
                      <wp:cNvGraphicFramePr/>
                      <a:graphic>
                        <a:graphicData uri="http://schemas.openxmlformats.org/drawingml/2006/picture">
                          <pic:pic>
                            <pic:nvPicPr>
                              <pic:cNvPr id="4" name="Picture 4"/>
                              <pic:cNvPicPr/>
                            </pic:nvPicPr>
                            <pic:blipFill>
                              <a:blip r:embed="R297727d786a94214"/>
                              <a:stretch/>
                            </pic:blipFill>
                            <pic:spPr>
                              <a:xfrm rot="0">
                                <a:ext cx="5727065" cy="2847340"/>
                              </a:xfrm>
                              <a:prstGeom prst="rect">
                                <a:avLst/>
                              </a:prstGeom>
                              <a:noFill/>
                            </pic:spPr>
                          </pic:pic>
                        </a:graphicData>
                      </a:graphic>
                    </wp:inline>
                  </w:drawing>
                </mc:Choice>
                <mc:Fallback/>
              </mc:AlternateContent>
            </w:r>
          </w:p>
          <w:p>
            <w:pPr>
              <w:pStyle w:val="heading 1"/>
              <w:outlineLvl w:val="0"/>
            </w:pPr>
            <w:r>
              <w:t>Base Registration Response (BRR)</w:t>
            </w:r>
          </w:p>
          <w:p>
            <w:pPr/>
            <w:r>
              <w:t xml:space="preserve">In response to </w:t>
            </w:r>
            <w:r>
              <w:t xml:space="preserve">submission of </w:t>
            </w:r>
            <w:r>
              <w:t xml:space="preserve">Settlement Details, the </w:t>
            </w:r>
            <w:r>
              <w:t xml:space="preserve">Shipper will be notified of the </w:t>
            </w:r>
            <w:r>
              <w:t xml:space="preserve">outcome </w:t>
            </w:r>
            <w:r>
              <w:t xml:space="preserve">(accepted or rejected) </w:t>
            </w:r>
            <w:r>
              <w:t xml:space="preserve">via the new </w:t>
            </w:r>
            <w:r>
              <w:t xml:space="preserve">Base Registration Response </w:t>
            </w:r>
            <w:r>
              <w:t xml:space="preserve">file </w:t>
            </w:r>
            <w:r>
              <w:t>(BRR)</w:t>
            </w:r>
            <w:r>
              <w:t>.</w:t>
            </w:r>
          </w:p>
          <w:p>
            <w:pPr/>
          </w:p>
          <w:p>
            <w:pPr>
              <w:rPr>
                <w:u w:val="single"/>
              </w:rPr>
            </w:pPr>
            <w:r>
              <w:rPr>
                <w:color w:val="1E15D1"/>
                <w:u w:val="single"/>
              </w:rPr>
              <w:t>New Hierarchy</w:t>
            </w:r>
          </w:p>
          <w:p>
            <w:pPr/>
            <w:hyperlink r:id="R87076209e0ad44cf">
              <w:r>
                <w:rPr>
                  <w:rStyle w:val="Hyperlink"/>
                </w:rPr>
                <w:t xml:space="preserve">BRR </w:t>
              </w:r>
              <w:r>
                <w:rPr>
                  <w:rStyle w:val="Hyperlink"/>
                </w:rPr>
                <w:t>Hierarchy.xlxs</w:t>
              </w:r>
            </w:hyperlink>
          </w:p>
          <w:p>
            <w:pPr/>
          </w:p>
          <w:p>
            <w:pPr/>
            <w:r>
              <w:rPr>
                <w:color w:val="1E15D1"/>
                <w:u w:val="single"/>
              </w:rPr>
              <w:t xml:space="preserve">New File Segments - </w:t>
            </w:r>
            <w:r>
              <w:rPr>
                <w:color w:val="1E15D1"/>
                <w:u w:val="single"/>
              </w:rPr>
              <w:t>Response to BRN Submission</w:t>
            </w:r>
          </w:p>
          <w:p>
            <w:pPr/>
            <w:hyperlink r:id="R1e511bc9bbf14e49">
              <w:r>
                <w:rPr>
                  <w:rStyle w:val="Hyperlink"/>
                </w:rPr>
                <w:t>RT_T88_BRN_CANCELLATION_RESPONSE.docx</w:t>
              </w:r>
            </w:hyperlink>
          </w:p>
          <w:p>
            <w:pPr/>
            <w:hyperlink r:id="Ra439e8811cd4498c">
              <w:r>
                <w:rPr>
                  <w:rStyle w:val="Hyperlink"/>
                </w:rPr>
                <w:t>RT_T93_ACCEPTED_RESPONSE.docx</w:t>
              </w:r>
            </w:hyperlink>
          </w:p>
          <w:p>
            <w:pPr/>
            <w:hyperlink r:id="R00b27c62f2d54794">
              <w:r>
                <w:rPr>
                  <w:rStyle w:val="Hyperlink"/>
                </w:rPr>
                <w:t>RT_T95_REJECT_BRN_RESPONSE_FOR_RRN.docx</w:t>
              </w:r>
            </w:hyperlink>
          </w:p>
          <w:p>
            <w:pPr/>
            <w:hyperlink r:id="R7637ecacea944514">
              <w:r>
                <w:rPr>
                  <w:rStyle w:val="Hyperlink"/>
                </w:rPr>
                <w:t>RT_T94_REJECT_BRN_RESPONSE_NO_RRN.docx</w:t>
              </w:r>
            </w:hyperlink>
            <w:r>
              <w:t xml:space="preserve"> </w:t>
            </w:r>
          </w:p>
          <w:p>
            <w:pPr/>
          </w:p>
          <w:p>
            <w:pPr/>
            <w:r>
              <w:rPr>
                <w:color w:val="1E15D1"/>
                <w:u w:val="single"/>
              </w:rPr>
              <w:t>Rejection Codes</w:t>
            </w:r>
          </w:p>
          <w:p>
            <w:pPr/>
            <w:r>
              <w:t xml:space="preserve">There are </w:t>
            </w:r>
            <w:r>
              <w:t>three</w:t>
            </w:r>
            <w:r>
              <w:t xml:space="preserve"> </w:t>
            </w:r>
            <w:r>
              <w:t>new rejecti</w:t>
            </w:r>
            <w:r>
              <w:t>on codes associated with the BRR</w:t>
            </w:r>
            <w:r>
              <w:t xml:space="preserve"> file</w:t>
            </w:r>
            <w:r>
              <w:t xml:space="preserve"> and the </w:t>
            </w:r>
            <w:r>
              <w:t>existing</w:t>
            </w:r>
            <w:r>
              <w:t xml:space="preserve"> CNF rejection codes have been reused where applicable (see attached file </w:t>
            </w:r>
            <w:hyperlink r:id="Rc0c309fdedcd4a7e">
              <w:r>
                <w:rPr>
                  <w:rStyle w:val="Hyperlink"/>
                </w:rPr>
                <w:t>Shipper Rejection Codes V6.1FA</w:t>
              </w:r>
            </w:hyperlink>
            <w:r>
              <w:t>)</w:t>
            </w:r>
          </w:p>
          <w:p>
            <w:pPr>
              <w:pStyle w:val="heading 1"/>
              <w:outlineLvl w:val="0"/>
            </w:pPr>
            <w:r>
              <w:t>Settlement Association File (ASN)</w:t>
            </w:r>
          </w:p>
          <w:p>
            <w:pPr/>
          </w:p>
          <w:p>
            <w:pPr>
              <w:rPr>
                <w:u w:val="single"/>
              </w:rPr>
            </w:pPr>
            <w:r>
              <w:rPr>
                <w:color w:val="1E15D1"/>
                <w:u w:val="single"/>
              </w:rPr>
              <w:t>New Hierarchy</w:t>
            </w:r>
          </w:p>
          <w:p>
            <w:pPr>
              <w:rPr>
                <w:rFonts w:cs="Arial"/>
                <w:sz w:val="20"/>
                <w:szCs w:val="20"/>
              </w:rPr>
            </w:pPr>
            <w:hyperlink r:id="R25926641fe274fce">
              <w:r>
                <w:rPr>
                  <w:rStyle w:val="Hyperlink"/>
                  <w:rFonts w:cs="Arial"/>
                  <w:sz w:val="20"/>
                  <w:szCs w:val="20"/>
                </w:rPr>
                <w:t xml:space="preserve">ASN </w:t>
              </w:r>
              <w:r>
                <w:rPr>
                  <w:rStyle w:val="Hyperlink"/>
                  <w:rFonts w:cs="Arial"/>
                  <w:sz w:val="20"/>
                  <w:szCs w:val="20"/>
                </w:rPr>
                <w:t>Hierarchy.xlxs</w:t>
              </w:r>
            </w:hyperlink>
          </w:p>
          <w:p>
            <w:pPr>
              <w:rPr>
                <w:rFonts w:cs="Arial"/>
                <w:sz w:val="20"/>
                <w:szCs w:val="20"/>
              </w:rPr>
            </w:pPr>
          </w:p>
          <w:p>
            <w:pPr>
              <w:rPr>
                <w:color w:val="1E15D1"/>
                <w:u w:val="single"/>
              </w:rPr>
            </w:pPr>
            <w:r>
              <w:rPr>
                <w:color w:val="1E15D1"/>
                <w:u w:val="single"/>
              </w:rPr>
              <w:t xml:space="preserve">New File Segments </w:t>
            </w:r>
            <w:r>
              <w:rPr>
                <w:color w:val="1E15D1"/>
                <w:u w:val="single"/>
              </w:rPr>
              <w:t xml:space="preserve">– </w:t>
            </w:r>
          </w:p>
          <w:p>
            <w:pPr>
              <w:rPr>
                <w:color w:val="FF0000"/>
                <w:rFonts w:cs="Arial"/>
                <w:sz w:val="20"/>
                <w:szCs w:val="20"/>
              </w:rPr>
            </w:pPr>
            <w:r>
              <w:rPr>
                <w:rStyle w:val="Hyperlink"/>
                <w:color w:val="FF0000"/>
                <w:rFonts w:cs="Arial"/>
                <w:sz w:val="20"/>
                <w:szCs w:val="20"/>
              </w:rPr>
              <w:fldChar w:fldCharType="begin"/>
            </w:r>
            <w:r>
              <w:rPr>
                <w:rStyle w:val="Hyperlink"/>
                <w:color w:val="FF0000"/>
                <w:rFonts w:cs="Arial"/>
                <w:sz w:val="20"/>
                <w:szCs w:val="20"/>
              </w:rPr>
              <w:instrText xml:space="preserve"> HYPERLINK  "https://www.xoserve.com/media/7526/rt_t99_association_record11fr.pdf"</w:instrText>
            </w:r>
            <w:r>
              <w:rPr>
                <w:rStyle w:val="Hyperlink"/>
                <w:color w:val="FF0000"/>
                <w:rFonts w:cs="Arial"/>
                <w:sz w:val="20"/>
                <w:szCs w:val="20"/>
              </w:rPr>
              <w:fldChar w:fldCharType="separate"/>
            </w:r>
            <w:r>
              <w:rPr>
                <w:rStyle w:val="Hyperlink"/>
                <w:rFonts w:cs="Arial"/>
                <w:sz w:val="20"/>
                <w:szCs w:val="20"/>
              </w:rPr>
              <w:t>RT_T99_BRN_ASSOCIATION.docx</w:t>
            </w:r>
            <w:r>
              <w:rPr>
                <w:rStyle w:val="Hyperlink"/>
                <w:color w:val="FF0000"/>
                <w:rFonts w:cs="Arial"/>
                <w:sz w:val="20"/>
                <w:szCs w:val="20"/>
              </w:rPr>
              <w:fldChar w:fldCharType="end"/>
            </w:r>
            <w:bookmarkStart w:id="0" w:name="_GoBack"/>
            <w:bookmarkEnd w:id="0"/>
          </w:p>
          <w:p>
            <w:pPr>
              <w:rPr>
                <w:rFonts w:cs="Arial"/>
                <w:sz w:val="20"/>
                <w:szCs w:val="20"/>
              </w:rPr>
            </w:pPr>
          </w:p>
          <w:p>
            <w:pPr>
              <w:rPr>
                <w:color w:val="1E15D1"/>
                <w:u w:val="single"/>
              </w:rPr>
            </w:pPr>
            <w:r>
              <w:rPr>
                <w:color w:val="1E15D1"/>
                <w:u w:val="single"/>
              </w:rPr>
              <w:t>Business Rules</w:t>
            </w:r>
          </w:p>
          <w:p>
            <w:pPr>
              <w:numPr>
                <w:ilvl w:val="0"/>
                <w:numId w:val="3"/>
              </w:numPr>
              <w:pStyle w:val="List Paragraph"/>
            </w:pPr>
            <w:r>
              <w:t xml:space="preserve">Where Settlement Details are not provided by the </w:t>
            </w:r>
            <w:r>
              <w:t>Proposing</w:t>
            </w:r>
            <w:r>
              <w:t xml:space="preserve"> </w:t>
            </w:r>
            <w:r>
              <w:t>Shipper</w:t>
            </w:r>
            <w:r>
              <w:t xml:space="preserve"> the ASN will contain default values as defined in UNC.</w:t>
            </w:r>
          </w:p>
          <w:p>
            <w:pPr>
              <w:rPr>
                <w:u w:val="single"/>
              </w:rPr>
              <w:ind w:left="352"/>
            </w:pPr>
            <w:r>
              <w:rPr>
                <w:u w:val="single"/>
              </w:rPr>
              <w:t>Default Values</w:t>
            </w:r>
          </w:p>
          <w:p>
            <w:pPr>
              <w:numPr>
                <w:ilvl w:val="1"/>
                <w:numId w:val="4"/>
              </w:numPr>
              <w:pStyle w:val="List Paragraph"/>
            </w:pPr>
            <w:r>
              <w:t>Settlement Class – If the AQ is above 58,600,000 kWh or where it is a mandatory Class 1 site then the meter point will default to Class 1 else it will be defaulted to Class 4.</w:t>
            </w:r>
          </w:p>
          <w:p>
            <w:pPr>
              <w:numPr>
                <w:ilvl w:val="1"/>
                <w:numId w:val="4"/>
              </w:numPr>
              <w:pStyle w:val="List Paragraph"/>
            </w:pPr>
            <w:r>
              <w:t>DM SOQ / DM SHQ – The previous Shipper’s values will be carried forward.</w:t>
            </w:r>
          </w:p>
          <w:p>
            <w:pPr>
              <w:numPr>
                <w:ilvl w:val="1"/>
                <w:numId w:val="4"/>
              </w:numPr>
              <w:pStyle w:val="List Paragraph"/>
            </w:pPr>
            <w:r>
              <w:t>Meter Read Frequency – This will be derived based on the prevailing AQ value in line with existing UNC rules.</w:t>
            </w:r>
          </w:p>
          <w:p>
            <w:pPr>
              <w:numPr>
                <w:ilvl w:val="1"/>
                <w:numId w:val="4"/>
              </w:numPr>
              <w:pStyle w:val="List Paragraph"/>
            </w:pPr>
            <w:r>
              <w:t>Seasonal LSP Data – Will be carried forward if registration is effective prior to the anniversary of SLSP being effective.</w:t>
            </w:r>
          </w:p>
          <w:p>
            <w:pPr>
              <w:numPr>
                <w:ilvl w:val="1"/>
                <w:numId w:val="4"/>
              </w:numPr>
              <w:pStyle w:val="List Paragraph"/>
            </w:pPr>
            <w:r>
              <w:t>Optional Transportation Rates – This will not be carried forward and will cease to be applied.</w:t>
            </w:r>
          </w:p>
          <w:p>
            <w:pPr>
              <w:numPr>
                <w:ilvl w:val="1"/>
                <w:numId w:val="4"/>
              </w:numPr>
              <w:pStyle w:val="List Paragraph"/>
            </w:pPr>
            <w:r>
              <w:t>PSR / End Consumer Details – This will not be carried forward to the new registration period.</w:t>
            </w:r>
          </w:p>
          <w:p>
            <w:pPr>
              <w:numPr>
                <w:ilvl w:val="1"/>
                <w:numId w:val="4"/>
              </w:numPr>
              <w:pStyle w:val="List Paragraph"/>
            </w:pPr>
            <w:r>
              <w:t xml:space="preserve">LSP Emergency Contact Details – These will continue to be provided to the Transporter in relation to the new </w:t>
            </w:r>
            <w:r>
              <w:t>registration but</w:t>
            </w:r>
            <w:r>
              <w:t xml:space="preserve"> will not be visible to the incoming Shipper.</w:t>
            </w:r>
          </w:p>
          <w:p>
            <w:pPr>
              <w:numPr>
                <w:ilvl w:val="0"/>
                <w:numId w:val="3"/>
              </w:numPr>
              <w:pStyle w:val="List Paragraph"/>
            </w:pPr>
            <w:r>
              <w:t xml:space="preserve">Where </w:t>
            </w:r>
            <w:r>
              <w:t>UK Link</w:t>
            </w:r>
            <w:r>
              <w:t xml:space="preserve"> has been unable to create </w:t>
            </w:r>
            <w:r>
              <w:t>an</w:t>
            </w:r>
            <w:r>
              <w:t xml:space="preserve"> association</w:t>
            </w:r>
            <w:r>
              <w:t xml:space="preserve"> </w:t>
            </w:r>
            <w:r>
              <w:t xml:space="preserve">between the BRN and a </w:t>
            </w:r>
            <w:r>
              <w:t xml:space="preserve">CSS Registration or Change of Shipper Event, </w:t>
            </w:r>
            <w:r>
              <w:t>the ASN will contain default values as defined in UNC.</w:t>
            </w:r>
            <w:r>
              <w:t xml:space="preserve"> </w:t>
            </w:r>
            <w:r>
              <w:t>In thi</w:t>
            </w:r>
            <w:r>
              <w:t>s case a</w:t>
            </w:r>
            <w:r>
              <w:t xml:space="preserve"> </w:t>
            </w:r>
            <w:r>
              <w:t>rejected BRN</w:t>
            </w:r>
            <w:r>
              <w:t xml:space="preserve"> notification </w:t>
            </w:r>
            <w:r>
              <w:t>message will not be issued.</w:t>
            </w:r>
          </w:p>
          <w:p>
            <w:pPr>
              <w:numPr>
                <w:ilvl w:val="0"/>
                <w:numId w:val="3"/>
              </w:numPr>
              <w:pStyle w:val="List Paragraph"/>
            </w:pPr>
            <w:r>
              <w:t xml:space="preserve">If the Effective Date of a </w:t>
            </w:r>
            <w:r>
              <w:t xml:space="preserve">CSS </w:t>
            </w:r>
            <w:r>
              <w:t>Registration</w:t>
            </w:r>
            <w:r>
              <w:t xml:space="preserve"> or Change of Shipper Event </w:t>
            </w:r>
            <w:r>
              <w:t xml:space="preserve">received from CSS </w:t>
            </w:r>
            <w:r>
              <w:t xml:space="preserve">is beyond </w:t>
            </w:r>
            <w:r>
              <w:t xml:space="preserve">the </w:t>
            </w:r>
            <w:r>
              <w:t xml:space="preserve">BRN </w:t>
            </w:r>
            <w:r>
              <w:t xml:space="preserve">validity </w:t>
            </w:r>
            <w:r>
              <w:t>period</w:t>
            </w:r>
            <w:r>
              <w:t xml:space="preserve"> then </w:t>
            </w:r>
            <w:r>
              <w:t>the ASN will contain default values as defined in UNC.</w:t>
            </w:r>
          </w:p>
          <w:p>
            <w:pPr>
              <w:rPr>
                <w:rFonts w:cs="Arial"/>
                <w:sz w:val="20"/>
                <w:szCs w:val="20"/>
              </w:rPr>
              <w:numPr>
                <w:ilvl w:val="0"/>
                <w:numId w:val="3"/>
              </w:numPr>
              <w:pStyle w:val="List Paragraph"/>
            </w:pPr>
            <w:r>
              <w:t>If the</w:t>
            </w:r>
            <w:r>
              <w:t xml:space="preserve"> Pending </w:t>
            </w:r>
            <w:r>
              <w:t>S</w:t>
            </w:r>
            <w:r>
              <w:t xml:space="preserve">ynchronisation message </w:t>
            </w:r>
            <w:r>
              <w:t xml:space="preserve">is </w:t>
            </w:r>
            <w:r>
              <w:t>received more than one calendar day prior to the supplier registration effective</w:t>
            </w:r>
            <w:r>
              <w:t xml:space="preserve"> date</w:t>
            </w:r>
            <w:r>
              <w:t xml:space="preserve"> UK Link </w:t>
            </w:r>
            <w:r>
              <w:t>will</w:t>
            </w:r>
            <w:r>
              <w:t xml:space="preserve">, in the </w:t>
            </w:r>
            <w:r>
              <w:t>absence of a valid BRN,</w:t>
            </w:r>
            <w:r>
              <w:t xml:space="preserve"> </w:t>
            </w:r>
            <w:r>
              <w:t>del</w:t>
            </w:r>
            <w:r>
              <w:t>a</w:t>
            </w:r>
            <w:r>
              <w:t xml:space="preserve">y </w:t>
            </w:r>
            <w:r>
              <w:t>sending of the ASN file for</w:t>
            </w:r>
            <w:r>
              <w:t xml:space="preserve"> a configurable</w:t>
            </w:r>
            <w:r>
              <w:t xml:space="preserve"> </w:t>
            </w:r>
            <w:r>
              <w:t>period of time</w:t>
            </w:r>
            <w:r>
              <w:t xml:space="preserve"> [</w:t>
            </w:r>
            <w:r>
              <w:t xml:space="preserve">currently </w:t>
            </w:r>
            <w:r>
              <w:t>1 hour].</w:t>
            </w:r>
          </w:p>
          <w:p>
            <w:pPr>
              <w:rPr>
                <w:rFonts w:cs="Arial"/>
                <w:sz w:val="20"/>
                <w:szCs w:val="20"/>
              </w:rPr>
              <w:numPr>
                <w:ilvl w:val="0"/>
                <w:numId w:val="3"/>
              </w:numPr>
              <w:pStyle w:val="List Paragraph"/>
            </w:pPr>
            <w:r>
              <w:t>If a BRN hasn’t been associated prior to the deadline</w:t>
            </w:r>
            <w:r>
              <w:t xml:space="preserve"> a</w:t>
            </w:r>
            <w:r>
              <w:t>nd the</w:t>
            </w:r>
            <w:r>
              <w:t xml:space="preserve"> </w:t>
            </w:r>
            <w:r>
              <w:t>S</w:t>
            </w:r>
            <w:r>
              <w:t>hipper identifie</w:t>
            </w:r>
            <w:r>
              <w:t>s</w:t>
            </w:r>
            <w:r>
              <w:t xml:space="preserve"> changes to the BRN values after the cut-off time</w:t>
            </w:r>
            <w:r>
              <w:t>,</w:t>
            </w:r>
            <w:r>
              <w:t xml:space="preserve"> </w:t>
            </w:r>
            <w:r>
              <w:t xml:space="preserve">then </w:t>
            </w:r>
            <w:r>
              <w:t xml:space="preserve">the Registered Shipper </w:t>
            </w:r>
            <w:r>
              <w:t>would need</w:t>
            </w:r>
            <w:r>
              <w:t xml:space="preserve"> to </w:t>
            </w:r>
            <w:r>
              <w:t xml:space="preserve">make </w:t>
            </w:r>
            <w:r>
              <w:t>update</w:t>
            </w:r>
            <w:r>
              <w:t>s</w:t>
            </w:r>
            <w:r>
              <w:t xml:space="preserve"> via the</w:t>
            </w:r>
            <w:r>
              <w:rPr>
                <w:rFonts w:cs="Arial"/>
                <w:sz w:val="20"/>
                <w:szCs w:val="20"/>
              </w:rPr>
              <w:t xml:space="preserve"> existing SPA update files</w:t>
            </w:r>
            <w:r>
              <w:rPr>
                <w:rFonts w:cs="Arial"/>
                <w:sz w:val="20"/>
                <w:szCs w:val="20"/>
              </w:rPr>
              <w:t xml:space="preserve"> (once the CSS Registration/Change o</w:t>
            </w:r>
            <w:r>
              <w:rPr>
                <w:rFonts w:cs="Arial"/>
                <w:sz w:val="20"/>
                <w:szCs w:val="20"/>
              </w:rPr>
              <w:t>r</w:t>
            </w:r>
            <w:r>
              <w:rPr>
                <w:rFonts w:cs="Arial"/>
                <w:sz w:val="20"/>
                <w:szCs w:val="20"/>
              </w:rPr>
              <w:t xml:space="preserve"> Shipper </w:t>
            </w:r>
            <w:r>
              <w:rPr>
                <w:rFonts w:cs="Arial"/>
                <w:sz w:val="20"/>
                <w:szCs w:val="20"/>
              </w:rPr>
              <w:t xml:space="preserve">Event </w:t>
            </w:r>
            <w:r>
              <w:rPr>
                <w:rFonts w:cs="Arial"/>
                <w:sz w:val="20"/>
                <w:szCs w:val="20"/>
              </w:rPr>
              <w:t>is Live)</w:t>
            </w:r>
            <w:r>
              <w:rPr>
                <w:rFonts w:cs="Arial"/>
                <w:sz w:val="20"/>
                <w:szCs w:val="20"/>
              </w:rPr>
              <w:t>.</w:t>
            </w:r>
          </w:p>
          <w:p>
            <w:pPr>
              <w:rPr>
                <w:b w:val="1"/>
                <w:bCs w:val="1"/>
                <w:color w:val="3E5AA8"/>
                <w:rFonts w:cs="Arial" w:eastAsia="Arial"/>
                <w:lang w:val="en-US"/>
                <w:sz w:val="28"/>
                <w:szCs w:val="28"/>
              </w:rPr>
              <w:spacing w:before="240" w:lineRule="auto" w:line="276"/>
            </w:pPr>
            <w:r>
              <w:rPr>
                <w:b w:val="1"/>
                <w:bCs w:val="1"/>
                <w:color w:val="3E5AA8"/>
                <w:rFonts w:cs="Arial" w:eastAsia="Arial"/>
                <w:sz w:val="28"/>
                <w:szCs w:val="28"/>
              </w:rPr>
              <w:t>Rejection Codes</w:t>
            </w:r>
          </w:p>
          <w:p>
            <w:pPr>
              <w:rPr>
                <w:rFonts w:cs="Arial" w:eastAsia="Arial"/>
                <w:lang w:val="en-US"/>
                <w:sz w:val="20"/>
                <w:szCs w:val="20"/>
              </w:rPr>
              <w:spacing w:after="200" w:lineRule="auto" w:line="276"/>
            </w:pPr>
            <w:hyperlink r:id="R7c2f98c0c8e249a2">
              <w:r>
                <w:rPr>
                  <w:rStyle w:val="Hyperlink"/>
                  <w:rFonts w:cs="Arial" w:eastAsia="Arial"/>
                  <w:sz w:val="20"/>
                  <w:szCs w:val="20"/>
                </w:rPr>
                <w:t>Shipper Rejection Codes V6.1FA.xlsx</w:t>
              </w:r>
            </w:hyperlink>
          </w:p>
          <w:p>
            <w:pPr>
              <w:rPr>
                <w:rFonts w:cs="Arial"/>
                <w:sz w:val="20"/>
                <w:szCs w:val="20"/>
              </w:rPr>
            </w:pPr>
          </w:p>
        </w:tc>
      </w:tr>
      <w:tr>
        <w:trPr>
          <w:trHeight w:hRule="atLeast" w:val="403"/>
        </w:trPr>
        <w:tc>
          <w:tcPr>
            <w:tcW w:type="pct" w:w="5000"/>
            <w:vAlign w:val="center"/>
          </w:tcPr>
          <w:p>
            <w:pPr>
              <w:pStyle w:val="heading 1"/>
              <w:spacing w:before="240"/>
              <w:outlineLvl w:val="0"/>
            </w:pPr>
          </w:p>
        </w:tc>
      </w:tr>
    </w:tbl>
    <w:p>
      <w:pPr>
        <w:pStyle w:val="heading 1"/>
      </w:pPr>
      <w:r>
        <w:t>Associated Changes</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rFonts w:cs="Arial"/>
              </w:rPr>
            </w:pPr>
            <w:r>
              <w:rPr>
                <w:rFonts w:cs="Arial"/>
              </w:rPr>
              <w:t>XRN4922 CSSC Shipper BRD</w:t>
            </w:r>
          </w:p>
          <w:p>
            <w:pPr>
              <w:rPr>
                <w:rFonts w:cs="Arial"/>
              </w:rPr>
            </w:pPr>
            <w:r>
              <w:rPr>
                <w:rFonts w:cs="Arial"/>
              </w:rPr>
              <w:t>XRN4921 CSSC GT/iGT BRD (for awareness only)</w:t>
            </w:r>
          </w:p>
        </w:tc>
      </w:tr>
    </w:tbl>
    <w:p>
      <w:pPr>
        <w:pStyle w:val="heading 1"/>
      </w:pPr>
      <w:r>
        <w:t>DSG</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N/A</w:t>
            </w:r>
          </w:p>
        </w:tc>
      </w:tr>
    </w:tbl>
    <w:p>
      <w:pPr>
        <w:pStyle w:val="heading 1"/>
      </w:pPr>
      <w:r>
        <w:t>Implementation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CSS Implementation Date (TBC)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i w:val="1"/>
                <w:iCs w:val="1"/>
              </w:rPr>
            </w:pPr>
            <w:r>
              <w:rPr>
                <w:rFonts w:cs="Arial"/>
              </w:rPr>
              <w:t>For approval</w:t>
            </w:r>
          </w:p>
        </w:tc>
      </w:tr>
    </w:tbl>
    <w:p>
      <w:pPr/>
    </w:p>
    <w:p>
      <w:pPr/>
      <w:r>
        <w:t xml:space="preserve">Please see the following page for representation comments template; responses to </w:t>
      </w:r>
      <w:hyperlink r:id="Rda9e71640b114b9a">
        <w:r>
          <w:rPr>
            <w:rStyle w:val="Hyperlink"/>
          </w:rPr>
          <w:t>uklink@xoserve.com</w:t>
        </w:r>
      </w:hyperlink>
      <w:r>
        <w:t xml:space="preserve"> </w:t>
      </w:r>
    </w:p>
    <w:p>
      <w:pP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02392277738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Within the Business Rules on page 4 it is stated: "A BRN received after 1500hr on D-1 won’t be applied to a CSS Registration or Change of Shipper Event effective the start of the next day". </w:t>
            </w:r>
            <w:r>
              <w:rPr>
                <w:rFonts w:cs="Arial"/>
              </w:rPr>
              <w:br w:type="textWrapping"/>
            </w:r>
            <w:r>
              <w:rPr>
                <w:rFonts w:cs="Arial"/>
              </w:rPr>
              <w:t>Please can you clarify whether in a scenario where we send the BRN after 1500hr D-1, this BRN will be discounted/rejected, or will it be applied for this switch the next day (after the switch is in Active state, etc)?</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BRN will not be rejected and will remain valid for 60 days.  If a BRN hasn’t been associated prior to the deadline and the Shipper requires changes to the default values, then, as the Registered Shipper, they would need to make updates via the existing SPA update files (once the CSS Registration/Change or Shipper Event is Live).</w:t>
            </w:r>
          </w:p>
        </w:tc>
      </w:tr>
    </w:tbl>
    <w:p>
      <w:pPr/>
    </w:p>
    <w:p>
      <w:pPr/>
      <w:r>
        <w:t xml:space="preserve">Please send the completed </w:t>
      </w:r>
      <w:r>
        <w:t>representation response to</w:t>
      </w:r>
      <w:r>
        <w:t xml:space="preserve"> </w:t>
      </w:r>
      <w:hyperlink r:id="R8408a7215afe4d95">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Bryan Hale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bryan.hale@centrica.com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07971069822</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Updates Required</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Will this rejection apply to BRN files?</w:t>
            </w:r>
            <w:r>
              <w:rPr>
                <w:rFonts w:cs="Arial"/>
              </w:rPr>
              <w:br w:type="textWrapping"/>
            </w:r>
            <w:r>
              <w:rPr>
                <w:rFonts w:cs="Arial"/>
              </w:rPr>
              <w:br w:type="textWrapping"/>
            </w:r>
            <w:r>
              <w:rPr>
                <w:rFonts w:cs="Arial"/>
              </w:rPr>
              <w:t>SHI00012</w:t>
            </w:r>
            <w:r>
              <w:rPr>
                <w:rFonts w:cs="Arial"/>
              </w:rPr>
              <w:tab/>
            </w:r>
            <w:r>
              <w:rPr>
                <w:rFonts w:cs="Arial"/>
              </w:rPr>
              <w:t>System User prevented from requesting Confirmations</w:t>
            </w:r>
            <w:r>
              <w:rPr>
                <w:rFonts w:cs="Arial"/>
              </w:rPr>
              <w:tab/>
            </w:r>
            <w:r>
              <w:rPr>
                <w:rFonts w:cs="Arial"/>
              </w:rPr>
              <w:t xml:space="preserve"> </w:t>
            </w:r>
            <w:r>
              <w:rPr>
                <w:rFonts w:cs="Arial"/>
              </w:rPr>
              <w:tab/>
            </w:r>
            <w:r>
              <w:rPr>
                <w:rFonts w:cs="Arial"/>
              </w:rPr>
              <w:t>Rejection Code</w:t>
            </w:r>
            <w:r>
              <w:rPr>
                <w:rFonts w:cs="Arial"/>
              </w:rPr>
              <w:tab/>
            </w:r>
            <w:r>
              <w:rPr>
                <w:rFonts w:cs="Arial"/>
              </w:rPr>
              <w:t>CNF,CSS,RCI,BRN</w:t>
            </w:r>
            <w:r>
              <w:rPr>
                <w:rFonts w:cs="Arial"/>
              </w:rPr>
              <w:tab/>
            </w:r>
            <w:r>
              <w:rPr>
                <w:rFonts w:cs="Arial"/>
              </w:rPr>
              <w:t>CFR,CRS,OCI,BRR</w:t>
            </w:r>
            <w:r>
              <w:rPr>
                <w:rFonts w:cs="Arial"/>
              </w:rPr>
              <w:br w:type="textWrapping"/>
            </w:r>
            <w:r>
              <w:rPr>
                <w:rFonts w:cs="Arial"/>
              </w:rPr>
              <w:br w:type="textWrapping"/>
            </w:r>
            <w:r>
              <w:rPr>
                <w:rFonts w:cs="Arial"/>
              </w:rPr>
              <w:t>Please can the rejection codes be linked to the business rules.  For example which rejection will be sent if the business rule “The BRN will be rejected for Class 1 &amp; 2 if no Transporter Nomination Reference is provided in the T90 Record.”</w:t>
            </w:r>
            <w:r>
              <w:rPr>
                <w:rFonts w:cs="Arial"/>
              </w:rPr>
              <w:br w:type="textWrapping"/>
            </w:r>
            <w:r>
              <w:rPr>
                <w:rFonts w:cs="Arial"/>
              </w:rPr>
              <w:br w:type="textWrapping"/>
            </w:r>
            <w:r>
              <w:rPr>
                <w:rFonts w:cs="Arial"/>
              </w:rPr>
              <w:t>If the BRN expires during a registration, defaults will be applied.  Assume this triggers an updated ASN</w:t>
            </w:r>
            <w:r>
              <w:rPr>
                <w:rFonts w:cs="Arial"/>
              </w:rPr>
              <w:br w:type="textWrapping"/>
            </w:r>
            <w:r>
              <w:rPr>
                <w:rFonts w:cs="Arial"/>
              </w:rPr>
              <w:br w:type="textWrapping"/>
            </w:r>
            <w:r>
              <w:rPr>
                <w:rFonts w:cs="Arial"/>
              </w:rPr>
              <w:t>Please can the CSS_REFERENCE_NUMBER in the T99 be renamed CSS_REGISTRATION_ID.  This aligns with name of the field in the CSS Interface and avoids confusion.  I believe the T99 record is the only place this field exists.</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“Will this rejection apply to BRN files? SHI00012 System User prevented from requesting Confirmations</w:t>
            </w:r>
            <w:r>
              <w:rPr>
                <w:rFonts w:cs="Arial"/>
              </w:rPr>
              <w:br w:type="textWrapping"/>
            </w:r>
            <w:r>
              <w:rPr>
                <w:rFonts w:cs="Arial"/>
              </w:rPr>
              <w:br w:type="textWrapping"/>
            </w:r>
            <w:r>
              <w:rPr>
                <w:rFonts w:cs="Arial"/>
              </w:rPr>
              <w:t>Rejection Code CNF,CSS,RCI,BRN                CFR,CRS,OCI,BRR”</w:t>
            </w:r>
            <w:r>
              <w:rPr>
                <w:rFonts w:cs="Arial"/>
              </w:rPr>
              <w:br w:type="textWrapping"/>
            </w:r>
            <w:r>
              <w:rPr>
                <w:rFonts w:cs="Arial"/>
              </w:rPr>
              <w:br w:type="textWrapping"/>
            </w:r>
            <w:r>
              <w:rPr>
                <w:rFonts w:cs="Arial"/>
              </w:rPr>
              <w:t>Yes</w:t>
            </w:r>
            <w:r>
              <w:rPr>
                <w:rFonts w:cs="Arial"/>
              </w:rPr>
              <w:br w:type="textWrapping"/>
            </w:r>
            <w:r>
              <w:rPr>
                <w:rFonts w:cs="Arial"/>
              </w:rPr>
              <w:br w:type="textWrapping"/>
            </w:r>
            <w:r>
              <w:rPr>
                <w:rFonts w:cs="Arial"/>
              </w:rPr>
              <w:t>“Please can the rejection codes be linked to the business rules.  For example which rejection will be sent if the business rule “The BRN will be rejected for Class 1 &amp; 2 if no Transporter Nomination Reference is provided in the T90 Record.””</w:t>
            </w:r>
            <w:r>
              <w:rPr>
                <w:rFonts w:cs="Arial"/>
              </w:rPr>
              <w:br w:type="textWrapping"/>
            </w:r>
            <w:r>
              <w:rPr>
                <w:rFonts w:cs="Arial"/>
              </w:rPr>
              <w:br w:type="textWrapping"/>
            </w:r>
            <w:r>
              <w:rPr>
                <w:rFonts w:cs="Arial"/>
              </w:rPr>
              <w:t>Noted however there are large number of existing business rules which can be determined from the mapping provided in the Shipper Rejection Code V6.1FA spreadsheet</w:t>
            </w:r>
            <w:r>
              <w:rPr>
                <w:rFonts w:cs="Arial"/>
              </w:rPr>
              <w:br w:type="textWrapping"/>
            </w:r>
            <w:r>
              <w:rPr>
                <w:rFonts w:cs="Arial"/>
              </w:rPr>
              <w:br w:type="textWrapping"/>
            </w:r>
            <w:r>
              <w:rPr>
                <w:rFonts w:cs="Arial"/>
              </w:rPr>
              <w:t>“If the BRN expires during a registration, defaults will be applied.  Assume this triggers an updated ASN”</w:t>
            </w:r>
            <w:r>
              <w:rPr>
                <w:rFonts w:cs="Arial"/>
              </w:rPr>
              <w:br w:type="textWrapping"/>
            </w:r>
            <w:r>
              <w:rPr>
                <w:rFonts w:cs="Arial"/>
              </w:rPr>
              <w:br w:type="textWrapping"/>
            </w:r>
            <w:r>
              <w:rPr>
                <w:rFonts w:cs="Arial"/>
              </w:rPr>
              <w:t>5.9.8</w:t>
            </w:r>
            <w:r>
              <w:rPr>
                <w:rFonts w:cs="Arial"/>
              </w:rPr>
              <w:tab/>
            </w:r>
            <w:r>
              <w:rPr>
                <w:rFonts w:cs="Arial"/>
              </w:rPr>
              <w:t>Where the CDSP lapse a Settlement Detail Notification (BRN) the CDSP will not notify the Shipper who submitted the Settlement Detail.</w:t>
            </w:r>
            <w:r>
              <w:rPr>
                <w:rFonts w:cs="Arial"/>
              </w:rPr>
              <w:br w:type="textWrapping"/>
            </w:r>
            <w:r>
              <w:rPr>
                <w:rFonts w:cs="Arial"/>
              </w:rPr>
              <w:t>Source:  Switching Programme Consequential Change - Shipper BRD</w:t>
            </w:r>
            <w:r>
              <w:rPr>
                <w:rFonts w:cs="Arial"/>
              </w:rPr>
              <w:br w:type="textWrapping"/>
            </w:r>
            <w:r>
              <w:rPr>
                <w:rFonts w:cs="Arial"/>
              </w:rPr>
              <w:br w:type="textWrapping"/>
            </w:r>
            <w:r>
              <w:rPr>
                <w:rFonts w:cs="Arial"/>
              </w:rPr>
              <w:t>“Please can the CSS_REFERENCE_NUMBER in the T99 be renamed CSS_REGISTRATION_ID.  This aligns with name of the field in the CSS Interface and avoids confusion.  I believe the T99 record is the only place this field exists.”</w:t>
            </w:r>
            <w:r>
              <w:rPr>
                <w:rFonts w:cs="Arial"/>
              </w:rPr>
              <w:br w:type="textWrapping"/>
            </w:r>
            <w:r>
              <w:rPr>
                <w:rFonts w:cs="Arial"/>
              </w:rPr>
              <w:br w:type="textWrapping"/>
            </w:r>
            <w:r>
              <w:rPr>
                <w:rFonts w:cs="Arial"/>
              </w:rPr>
              <w:t>Yes. These attributes have been renamed in the T99 segment.</w:t>
            </w:r>
          </w:p>
        </w:tc>
      </w:tr>
    </w:tbl>
    <w:p>
      <w:pPr/>
    </w:p>
    <w:p>
      <w:pPr/>
      <w:r>
        <w:t xml:space="preserve">Please send the completed </w:t>
      </w:r>
      <w:r>
        <w:t>representation response to</w:t>
      </w:r>
      <w:r>
        <w:t xml:space="preserve"> </w:t>
      </w:r>
      <w:hyperlink r:id="Ra43ea5ecb1fa48b8">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Gazprom Marketing &amp; Trading Retail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Lisa Saycell</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lisa.saycell@gazprom-energy.com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01618290077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The BRN business rules do not cover validation of the LSP Emergency Contact Details.  This is highlighted in the Shipper BRD document 2457.5 which one is correct?</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Added  5.9.10</w:t>
            </w:r>
            <w:r>
              <w:rPr>
                <w:rFonts w:cs="Arial"/>
              </w:rPr>
              <w:tab/>
            </w:r>
            <w:r>
              <w:rPr>
                <w:rFonts w:cs="Arial"/>
              </w:rPr>
              <w:t>Where there is a mandatory requirement for large site contact details to be provided (e.g. emergency contacts) and these have not be provided within the Settlement Detail Notification (BRN), then the notification shall be rejected and the requested settlement data will not be considered.</w:t>
            </w:r>
          </w:p>
        </w:tc>
      </w:tr>
    </w:tbl>
    <w:p>
      <w:pPr/>
    </w:p>
    <w:p>
      <w:pPr/>
      <w:r>
        <w:t xml:space="preserve">Please send the completed </w:t>
      </w:r>
      <w:r>
        <w:t>representation response to</w:t>
      </w:r>
      <w:r>
        <w:t xml:space="preserve"> </w:t>
      </w:r>
      <w:hyperlink r:id="R5123d71d5e054a5b">
        <w:r>
          <w:rPr>
            <w:rStyle w:val="Hyperlink"/>
          </w:rPr>
          <w:t>uklink@xoserve.com</w:t>
        </w:r>
      </w:hyperlink>
      <w:r>
        <w:t xml:space="preserve"> </w:t>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6"/>
    <w:multiLevelType w:val="hybridMultilevel"/>
    <w:name w:val="ListStyle6"/>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1">
    <w:styleLink w:val="ListStyle13"/>
    <w:multiLevelType w:val="hybridMultilevel"/>
    <w:name w:val="ListStyle13"/>
    <w:lvl w:ilvl="0">
      <w:numFmt w:val="bullet"/>
      <w:lvlText w:val="-"/>
      <w:lvlJc w:val="left"/>
      <w:pPr>
        <w:ind w:hanging="360" w:left="720"/>
      </w:pPr>
      <w:rPr>
        <w:rFonts w:ascii="Arial" w:hAnsi="Arial" w:cs="Arial" w:eastAsia="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19"/>
    <w:multiLevelType w:val="hybridMultilevel"/>
    <w:name w:val="ListStyle19"/>
    <w:lvl w:ilvl="0">
      <w:numFmt w:val="bullet"/>
      <w:lvlText w:val="-"/>
      <w:lvlJc w:val="left"/>
      <w:pPr>
        <w:ind w:hanging="360" w:left="360"/>
      </w:pPr>
      <w:rPr>
        <w:rFonts w:ascii="Arial" w:hAnsi="Arial" w:cs="Arial" w:eastAsia="Arial"/>
      </w:rPr>
    </w:lvl>
    <w:lvl w:ilvl="1">
      <w:numFmt w:val="bullet"/>
      <w:start w:val="1"/>
      <w:lvlText w:val=""/>
      <w:lvlJc w:val="left"/>
      <w:pPr>
        <w:ind w:hanging="360" w:left="1080"/>
      </w:pPr>
      <w:rPr>
        <w:rFonts w:ascii="Symbol" w:hAnsi="Symbol"/>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character" w:styleId="eop">
    <w:name w:val="eop"/>
    <w:qFormat/>
    <w:basedOn w:val="Default Paragraph Font"/>
  </w:style>
  <w:style w:type="character" w:styleId="List Paragraph Char">
    <w:name w:val="List Paragraph Char"/>
    <w:qFormat/>
    <w:basedOn w:val="Default Paragraph Font"/>
  </w:style>
  <w:style w:type="character" w:styleId="No Spacing Char">
    <w:name w:val="No Spacing Char"/>
    <w:qFormat/>
    <w:rPr>
      <w:rFonts w:ascii="Arial" w:hAnsi="Arial"/>
    </w:rPr>
  </w:style>
  <w:style w:type="paragraph" w:styleId="footnote text">
    <w:name w:val="footnote text"/>
    <w:qFormat/>
    <w:basedOn w:val="Normal"/>
    <w:pPr>
      <w:spacing w:after="0" w:lineRule="auto" w:line="240"/>
    </w:pPr>
    <w:rPr>
      <w:sz w:val="20"/>
      <w:szCs w:val="20"/>
    </w:rPr>
  </w:style>
  <w:style w:type="character" w:styleId="Footnote Text Char">
    <w:name w:val="Footnote Text Char"/>
    <w:qFormat/>
    <w:basedOn w:val="Default Paragraph Font"/>
    <w:rPr>
      <w:rFonts w:ascii="Arial" w:hAnsi="Arial"/>
      <w:sz w:val="20"/>
      <w:szCs w:val="20"/>
    </w:rPr>
  </w:style>
  <w:style w:type="character" w:styleId="footnote reference">
    <w:name w:val="footnote reference"/>
    <w:qFormat/>
    <w:basedOn w:val="Default Paragraph Font"/>
    <w:rPr>
      <w:vertAlign w:val="superscript"/>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toc 1">
    <w:name w:val="toc 1"/>
    <w:qFormat/>
    <w:basedOn w:val="Normal"/>
    <w:pPr>
      <w:spacing w:after="100"/>
    </w:pPr>
  </w:style>
  <w:style w:type="paragraph" w:styleId="toc 2">
    <w:name w:val="toc 2"/>
    <w:qFormat/>
    <w:basedOn w:val="Normal"/>
    <w:pPr>
      <w:ind w:left="220"/>
      <w:spacing w:after="100"/>
    </w:pPr>
  </w:style>
  <w:style w:type="paragraph" w:styleId="TOC Heading">
    <w:name w:val="TOC Heading"/>
    <w:qFormat/>
    <w:basedOn w:val="heading 1"/>
    <w:rPr>
      <w:color w:val="2E437E"/>
      <w:rFonts w:ascii="Arial" w:hAnsi="Arial"/>
      <w:lang w:val="en-US"/>
    </w:rPr>
  </w:style>
  <w:style w:type="character" w:styleId="Unresolved Mention">
    <w:name w:val="Unresolved Mention"/>
    <w:qFormat/>
    <w:basedOn w:val="Default Paragraph Font"/>
    <w:rPr>
      <w:shd w:val="clear" w:fill="E1DFDD"/>
      <w:color w:val="605E5C"/>
    </w:rPr>
  </w:style>
  <w:style w:type="numbering" w:styleId="ListStyle6">
    <w:name w:val="ListStyle6"/>
    <w:qFormat/>
  </w:style>
  <w:style w:type="numbering" w:styleId="ListStyle13">
    <w:name w:val="ListStyle13"/>
    <w:qFormat/>
  </w:style>
  <w:style w:type="numbering" w:styleId="ListStyle19">
    <w:name w:val="ListStyle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353/brn_hierarchyv10fr.xlsx" TargetMode="External" Id="R27eff8bf576040ad" /><Relationship Type="http://schemas.openxmlformats.org/officeDocument/2006/relationships/hyperlink" Target="https://www.xoserve.com/media/7354/rt_t90_base_registration_nomination_for_rrn-10fr.pdf" TargetMode="External" Id="Rb9049ee16df94c2d" /><Relationship Type="http://schemas.openxmlformats.org/officeDocument/2006/relationships/hyperlink" Target="https://www.xoserve.com/media/7355/rt_t91_brn_for_no_rrn10fr.pdf" TargetMode="External" Id="Ra6b1f6a68a024249" /><Relationship Type="http://schemas.openxmlformats.org/officeDocument/2006/relationships/hyperlink" Target="https://www.xoserve.com/media/7356/rt_t87_brn_cancellation10fr.pdf" TargetMode="External" Id="Rd9d105d7377445f7" /><Relationship Type="http://schemas.openxmlformats.org/officeDocument/2006/relationships/image" Target="media/bgsd22kp.jpeg" Id="Rbd26b0401ec64987" /><Relationship Type="http://schemas.openxmlformats.org/officeDocument/2006/relationships/image" Target="media/0n0zrxtn.jpeg" Id="R297727d786a94214" /><Relationship Type="http://schemas.openxmlformats.org/officeDocument/2006/relationships/hyperlink" Target="https://www.xoserve.com/media/7357/brr_hierarchyv10fr.xlsx" TargetMode="External" Id="R87076209e0ad44cf" /><Relationship Type="http://schemas.openxmlformats.org/officeDocument/2006/relationships/hyperlink" Target="https://www.xoserve.com/media/7358/rt_t88_brn_cancellation_response10fr.pdf" TargetMode="External" Id="R1e511bc9bbf14e49" /><Relationship Type="http://schemas.openxmlformats.org/officeDocument/2006/relationships/hyperlink" Target="https://www.xoserve.com/media/7359/rt_t93_brn_accepted_response-10fr.pdf" TargetMode="External" Id="Ra439e8811cd4498c" /><Relationship Type="http://schemas.openxmlformats.org/officeDocument/2006/relationships/hyperlink" Target="https://www.xoserve.com/media/7360/rt_t95_reject_brn_response_for_rrn-10fr.pdf" TargetMode="External" Id="R00b27c62f2d54794" /><Relationship Type="http://schemas.openxmlformats.org/officeDocument/2006/relationships/hyperlink" Target="https://www.xoserve.com/media/7361/rt_t94_reject_brn_response_no_rrn-10fr_.pdf" TargetMode="External" Id="R7637ecacea944514" /><Relationship Type="http://schemas.openxmlformats.org/officeDocument/2006/relationships/hyperlink" Target="https://www.xoserve.com/media/7363/shipper-rejection-codes-v61.xlsx" TargetMode="External" Id="Rc0c309fdedcd4a7e" /><Relationship Type="http://schemas.openxmlformats.org/officeDocument/2006/relationships/hyperlink" Target="https://www.xoserve.com/media/7364/asn_hierarchy-v10fr.xlsx" TargetMode="External" Id="R25926641fe274fce" /><Relationship Type="http://schemas.openxmlformats.org/officeDocument/2006/relationships/hyperlink" Target="https://www.xoserve.com/media/7363/shipper-rejection-codes-v61.xlsx" TargetMode="External" Id="R7c2f98c0c8e249a2" /><Relationship Type="http://schemas.openxmlformats.org/officeDocument/2006/relationships/hyperlink" Target="mailto:uklink@xoserve.com" TargetMode="External" Id="Rda9e71640b114b9a" /><Relationship Type="http://schemas.openxmlformats.org/officeDocument/2006/relationships/hyperlink" Target="mailto:uklink@xoserve.com" TargetMode="External" Id="R8408a7215afe4d95" /><Relationship Type="http://schemas.openxmlformats.org/officeDocument/2006/relationships/hyperlink" Target="mailto:uklink@xoserve.com" TargetMode="External" Id="Ra43ea5ecb1fa48b8" /><Relationship Type="http://schemas.openxmlformats.org/officeDocument/2006/relationships/hyperlink" Target="mailto:uklink@xoserve.com" TargetMode="External" Id="R5123d71d5e054a5b" /><Relationship Type="http://schemas.openxmlformats.org/officeDocument/2006/relationships/styles" Target="styles.xml" Id="Rfd5a21a194c34cdc" /><Relationship Type="http://schemas.openxmlformats.org/officeDocument/2006/relationships/fontTable" Target="fontTable.xml" Id="R1629e319dfd241fc" /><Relationship Type="http://schemas.openxmlformats.org/officeDocument/2006/relationships/numbering" Target="numbering.xml" Id="Recca61dd579346c4" /><Relationship Type="http://schemas.openxmlformats.org/officeDocument/2006/relationships/settings" Target="settings.xml" Id="R7590f0358200409e" /><Relationship Type="http://schemas.openxmlformats.org/officeDocument/2006/relationships/webSettings" Target="webSettings.xml" Id="R34bee0335c1f4553" /></Relationships>
</file>

<file path=docProps/app.xml><?xml version="1.0" encoding="utf-8"?>
<Properties xmlns="http://schemas.openxmlformats.org/officeDocument/2006/extended-properties" xmlns:vt="http://schemas.openxmlformats.org/officeDocument/2006/docPropsVTypes">
  <Application>Document .Net v.5.5.4.14</Application>
  <Pages>8</Pages>
  <Words>1820</Words>
  <Characters>10374</Characters>
  <CharactersWithSpaces>12170</CharactersWithSpaces>
  <Lines>86</Lin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2019-10-14T12:19:00Z</dcterms:created>
  <dcterms:modified xsi:type="dcterms:W3CDTF">2019-11-01T16:44:00Z</dcterms:modified>
</cp:coreProperties>
</file>

<file path=docProps/custom.xml><?xml version="1.0" encoding="utf-8"?>
<Properties xmlns="http://schemas.openxmlformats.org/officeDocument/2006/custom-properties" xmlns:vt="http://schemas.openxmlformats.org/officeDocument/2006/docPropsVTypes"/>
</file>