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f4d1c5ccb1c74c84" /><Relationship Type="http://schemas.openxmlformats.org/package/2006/relationships/metadata/core-properties" Target="/docProps/core.xml" Id="R761eec7689c94948" /><Relationship Type="http://schemas.openxmlformats.org/officeDocument/2006/relationships/extended-properties" Target="/docProps/app.xml" Id="R2d4f2d2a3f164c83" /><Relationship Type="http://schemas.openxmlformats.org/officeDocument/2006/relationships/custom-properties" Target="/docProps/custom.xml" Id="R24737221a0334e1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2457.6 –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Supply Meter Point Updates, Stakeholder Data and Meter Reads</w:t>
            </w:r>
          </w:p>
        </w:tc>
      </w:tr>
      <w:tr>
        <w:trPr>
          <w:trHeight w:hRule="atLeast" w:val="403"/>
        </w:trPr>
        <w:tc>
          <w:tcPr>
            <w:shd w:val="clear" w:fill="B3EDFB"/>
            <w:tcW w:type="pct" w:w="1209"/>
            <w:vAlign w:val="center"/>
          </w:tcPr>
          <w:p>
            <w:pPr>
              <w:rPr>
                <w:rFonts w:cs="Arial"/>
              </w:rPr>
              <w:jc w:val="right"/>
            </w:pPr>
            <w:bookmarkStart w:id="0" w:name="_GoBack"/>
            <w:r>
              <w:rPr>
                <w:rFonts w:cs="Arial"/>
              </w:rPr>
              <w:t>Comm Date:</w:t>
            </w:r>
          </w:p>
        </w:tc>
        <w:tc>
          <w:tcPr>
            <w:tcW w:type="pct" w:w="3790"/>
            <w:vAlign w:val="center"/>
          </w:tcPr>
          <w:p>
            <w:pPr>
              <w:rPr>
                <w:rFonts w:cs="Arial"/>
              </w:rPr>
            </w:pPr>
            <w:r>
              <w:rPr>
                <w:rFonts w:cs="Arial"/>
              </w:rPr>
              <w:t>14</w:t>
            </w:r>
            <w:r>
              <w:rPr>
                <w:rFonts w:cs="Arial"/>
              </w:rPr>
              <w:t>/</w:t>
            </w:r>
            <w:r>
              <w:rPr>
                <w:rFonts w:cs="Arial"/>
              </w:rPr>
              <w:t>10</w:t>
            </w:r>
            <w:r>
              <w:rPr>
                <w:rFonts w:cs="Arial"/>
              </w:rPr>
              <w:t>/2019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shd w:val="clear" w:fill="FFFFFF"/>
            <w:tcW w:type="pct" w:w="3790"/>
            <w:vAlign w:val="center"/>
          </w:tcPr>
          <w:p>
            <w:pPr>
              <w:rPr>
                <w:rFonts w:cs="Arial"/>
              </w:rPr>
            </w:pPr>
            <w:r>
              <w:rPr>
                <w:rFonts w:cs="Arial"/>
              </w:rPr>
              <w:t>28</w:t>
            </w:r>
            <w:r>
              <w:rPr>
                <w:rFonts w:cs="Arial"/>
              </w:rPr>
              <w:t>/10/2019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All Shipper Users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Neil Rogers</w:t>
            </w:r>
          </w:p>
        </w:tc>
      </w:tr>
    </w:tbl>
    <w:p>
      <w:pPr/>
      <w:r>
        <w:br w:type="page"/>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 xml:space="preserve">These changes relate to the overall development of XRN4627 [Ofgem Switching Programme - Shipper Consequential Change] </w:t>
            </w:r>
          </w:p>
          <w:p>
            <w:pPr/>
          </w:p>
          <w:p>
            <w:pPr/>
            <w:r>
              <w:t xml:space="preserve">Ofgem has introduced the Switching Programme to deliver faster switching – including the capability for next-day switching and improved reliability of the switching process through better management and oversight of industry data. This document along with </w:t>
            </w:r>
            <w:r>
              <w:t>several</w:t>
            </w:r>
            <w:r>
              <w:t xml:space="preserve"> </w:t>
            </w:r>
            <w:r>
              <w:t xml:space="preserve">other </w:t>
            </w:r>
            <w:r>
              <w:t>associated Change Packs (see Associated Changes below) details the consequential change required to ensure that Xoserve’s systems and processes (including the wider gas industry processes and interactions) can be updated to support the changes introduced.</w:t>
            </w:r>
          </w:p>
          <w:p>
            <w:pPr/>
          </w:p>
          <w:p>
            <w:pPr/>
            <w:r>
              <w:t xml:space="preserve">The changes to the </w:t>
            </w:r>
            <w:r>
              <w:rPr>
                <w:rFonts w:cs="Arial"/>
              </w:rPr>
              <w:t xml:space="preserve">Supply Meter Point Updates, Stakeholder Data and Meter Reads </w:t>
            </w:r>
            <w:r>
              <w:t>processes described in this change pack will be applicable to all site</w:t>
            </w:r>
            <w:r>
              <w:t>s</w:t>
            </w:r>
            <w:r>
              <w:t xml:space="preserve"> except those that are not i</w:t>
            </w:r>
            <w:r>
              <w:t>n</w:t>
            </w:r>
            <w:r>
              <w:t xml:space="preserve"> scope of CSS.  Sites not is scope of CSS will be identified in a new validation in UK Link:</w:t>
            </w:r>
          </w:p>
          <w:p>
            <w:pPr/>
          </w:p>
          <w:p>
            <w:pPr/>
            <w:r>
              <w:t xml:space="preserve">Changes cover the </w:t>
            </w:r>
            <w:r>
              <w:t>remaining</w:t>
            </w:r>
            <w:r>
              <w:t xml:space="preserve"> impacted topic areas</w:t>
            </w:r>
            <w:r>
              <w:t xml:space="preserve"> </w:t>
            </w:r>
            <w:r>
              <w:t xml:space="preserve">covered in the scope of </w:t>
            </w:r>
            <w:r>
              <w:t>the Extraordinary</w:t>
            </w:r>
            <w:r>
              <w:t xml:space="preserve"> CSSC DSG</w:t>
            </w:r>
            <w:r>
              <w:t xml:space="preserve"> </w:t>
            </w:r>
            <w:r>
              <w:t xml:space="preserve">meetings </w:t>
            </w:r>
            <w:r>
              <w:t xml:space="preserve">not </w:t>
            </w:r>
            <w:r>
              <w:t>yet detailed</w:t>
            </w:r>
            <w:r>
              <w:t xml:space="preserve"> in CSSC Change Pack</w:t>
            </w:r>
            <w:r>
              <w:t>s</w:t>
            </w:r>
            <w:r>
              <w:t xml:space="preserve"> 1 through 3.</w:t>
            </w:r>
          </w:p>
          <w:p>
            <w:pPr>
              <w:numPr>
                <w:ilvl w:val="0"/>
                <w:numId w:val="1"/>
              </w:numPr>
              <w:pStyle w:val="List Paragraph"/>
            </w:pPr>
            <w:r>
              <w:t>RGMA</w:t>
            </w:r>
          </w:p>
          <w:p>
            <w:pPr>
              <w:numPr>
                <w:ilvl w:val="0"/>
                <w:numId w:val="1"/>
              </w:numPr>
              <w:pStyle w:val="List Paragraph"/>
            </w:pPr>
            <w:r>
              <w:t>SPA Updates</w:t>
            </w:r>
          </w:p>
          <w:p>
            <w:pPr>
              <w:numPr>
                <w:ilvl w:val="0"/>
                <w:numId w:val="1"/>
              </w:numPr>
              <w:pStyle w:val="List Paragraph"/>
            </w:pPr>
            <w:r>
              <w:t>Stakeholder &amp; Master Data</w:t>
            </w:r>
          </w:p>
          <w:p>
            <w:pPr>
              <w:numPr>
                <w:ilvl w:val="0"/>
                <w:numId w:val="1"/>
              </w:numPr>
              <w:pStyle w:val="List Paragraph"/>
            </w:pPr>
            <w:r>
              <w:t>Meter reads</w:t>
            </w:r>
          </w:p>
          <w:p>
            <w:pPr>
              <w:numPr>
                <w:ilvl w:val="0"/>
                <w:numId w:val="1"/>
              </w:numPr>
              <w:pStyle w:val="List Paragraph"/>
            </w:pPr>
            <w:r>
              <w:t>MAM/MAP</w:t>
            </w:r>
          </w:p>
          <w:p>
            <w:pPr>
              <w:numPr>
                <w:ilvl w:val="0"/>
                <w:numId w:val="1"/>
              </w:numPr>
              <w:pStyle w:val="List Paragraph"/>
            </w:pPr>
            <w:r>
              <w:t>Address Data</w:t>
            </w:r>
          </w:p>
          <w:p>
            <w:pPr>
              <w:numPr>
                <w:ilvl w:val="0"/>
                <w:numId w:val="1"/>
              </w:numPr>
              <w:pStyle w:val="List Paragraph"/>
            </w:pPr>
            <w:r>
              <w:t>RMP Status</w:t>
            </w:r>
          </w:p>
          <w:p>
            <w:pPr/>
          </w:p>
          <w:p>
            <w:pPr/>
            <w:r>
              <w:t>This change pack does not cover consequential changes for:</w:t>
            </w:r>
          </w:p>
          <w:p>
            <w:pPr>
              <w:numPr>
                <w:ilvl w:val="0"/>
                <w:numId w:val="2"/>
              </w:numPr>
              <w:pStyle w:val="List Paragraph"/>
            </w:pPr>
            <w:r>
              <w:t>LPG installations</w:t>
            </w:r>
          </w:p>
          <w:p>
            <w:pPr>
              <w:numPr>
                <w:ilvl w:val="0"/>
                <w:numId w:val="2"/>
              </w:numPr>
              <w:pStyle w:val="List Paragraph"/>
            </w:pPr>
            <w:r>
              <w:t>SSMP Installations</w:t>
            </w:r>
          </w:p>
          <w:p>
            <w:pPr>
              <w:numPr>
                <w:ilvl w:val="0"/>
                <w:numId w:val="2"/>
              </w:numPr>
              <w:pStyle w:val="List Paragraph"/>
            </w:pPr>
            <w:r>
              <w:rPr>
                <w:rStyle w:val="normaltextrun"/>
                <w:shd w:val="clear" w:fill="FFFFFF"/>
                <w:rFonts w:cs="Arial"/>
              </w:rPr>
              <w:t>Supplier exempt</w:t>
            </w:r>
            <w:r>
              <w:rPr>
                <w:rStyle w:val="normaltextrun"/>
              </w:rPr>
              <w:t xml:space="preserve"> sites</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Supply Meter Point Updates, Stakeholder Data and Meter Reads</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SAP ISU</w:t>
            </w:r>
            <w:r>
              <w:t>, AMT Market Flow</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t>Shipper</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File Format – see below</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r>
              <w:rPr>
                <w:color w:val="000000"/>
                <w:rFonts w:cs="Arial"/>
                <w:kern w:val="24"/>
              </w:rPr>
              <w:t>UBR</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rPr>
                <w:color w:val="000000"/>
                <w:rFonts w:cs="Arial"/>
                <w:kern w:val="24"/>
              </w:rPr>
              <w:t>Validation changes</w:t>
            </w:r>
          </w:p>
        </w:tc>
      </w:tr>
      <w:tr>
        <w:trPr>
          <w:trHeight w:hRule="atLeast" w:val="403"/>
        </w:trPr>
        <w:tc>
          <w:tcPr>
            <w:shd w:val="clear" w:fill="FFFFFF"/>
            <w:tcW w:type="pct" w:w="596"/>
            <w:vAlign w:val="center"/>
          </w:tcPr>
          <w:p>
            <w:pPr>
              <w:jc w:val="center"/>
            </w:pPr>
            <w:r>
              <w:rPr>
                <w:color w:val="000000"/>
                <w:rFonts w:cs="Arial"/>
                <w:kern w:val="24"/>
              </w:rPr>
              <w:t>UMR</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rPr>
                <w:color w:val="000000"/>
                <w:rFonts w:cs="Arial"/>
                <w:kern w:val="24"/>
              </w:rPr>
              <w:t>Validation changes</w:t>
            </w:r>
          </w:p>
        </w:tc>
      </w:tr>
      <w:tr>
        <w:trPr>
          <w:trHeight w:hRule="atLeast" w:val="403"/>
        </w:trPr>
        <w:tc>
          <w:tcPr>
            <w:shd w:val="clear" w:fill="FFFFFF"/>
            <w:tcW w:type="pct" w:w="596"/>
            <w:vAlign w:val="center"/>
          </w:tcPr>
          <w:p>
            <w:pPr>
              <w:jc w:val="center"/>
            </w:pPr>
            <w:r>
              <w:rPr>
                <w:color w:val="000000"/>
                <w:rFonts w:cs="Arial"/>
                <w:kern w:val="24"/>
              </w:rPr>
              <w:t>MBR</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t xml:space="preserve">Process </w:t>
            </w:r>
            <w:r>
              <w:rPr>
                <w:color w:val="000000"/>
                <w:rFonts w:cs="Arial"/>
                <w:kern w:val="24"/>
              </w:rPr>
              <w:t>changes</w:t>
            </w:r>
          </w:p>
        </w:tc>
      </w:tr>
      <w:tr>
        <w:trPr>
          <w:trHeight w:hRule="atLeast" w:val="403"/>
        </w:trPr>
        <w:tc>
          <w:tcPr>
            <w:shd w:val="clear" w:fill="FFFFFF"/>
            <w:tcW w:type="pct" w:w="596"/>
            <w:vAlign w:val="center"/>
          </w:tcPr>
          <w:p>
            <w:pPr>
              <w:jc w:val="center"/>
            </w:pPr>
            <w:r>
              <w:rPr>
                <w:color w:val="000000"/>
                <w:rFonts w:cs="Arial"/>
                <w:kern w:val="24"/>
              </w:rPr>
              <w:t>GEA</w:t>
            </w: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r>
              <w:rPr>
                <w:color w:val="000000"/>
                <w:rFonts w:cs="Arial"/>
                <w:kern w:val="24"/>
              </w:rPr>
              <w:t>Validation changes</w:t>
            </w:r>
          </w:p>
        </w:tc>
      </w:tr>
    </w:tbl>
    <w:p>
      <w:pPr/>
    </w:p>
    <w:p>
      <w:pPr/>
    </w:p>
    <w:tbl>
      <w:tblPr>
        <w:tblStyle w:val="Table Grid"/>
        <w:tblW w:type="pct" w:w="5000"/>
        <w:tblLook w:firstColumn="1" w:firstRow="1" w:lastColumn="0" w:lastRow="0" w:noHBand="0" w:noVBand="1"/>
      </w:tblPr>
      <w:tblGrid>
        <w:gridCol w:w="9016"/>
      </w:tblGrid>
      <w:tr>
        <w:trPr>
          <w:trHeight w:hRule="atLeast" w:val="403"/>
        </w:trPr>
        <w:tc>
          <w:tcPr>
            <w:tcW w:type="pct" w:w="5000"/>
            <w:vAlign w:val="center"/>
          </w:tcPr>
          <w:p>
            <w:pPr>
              <w:pStyle w:val="heading 1"/>
              <w:outlineLvl w:val="0"/>
            </w:pPr>
            <w:r>
              <w:t>Change Design Description</w:t>
            </w:r>
          </w:p>
          <w:p>
            <w:pPr>
              <w:pStyle w:val="heading 1"/>
              <w:spacing w:before="240"/>
              <w:outlineLvl w:val="0"/>
            </w:pPr>
          </w:p>
          <w:p>
            <w:pPr>
              <w:pStyle w:val="heading 1"/>
              <w:spacing w:before="240"/>
              <w:outlineLvl w:val="0"/>
            </w:pPr>
            <w:r>
              <w:t>Settlement Details</w:t>
            </w:r>
          </w:p>
          <w:p>
            <w:pPr>
              <w:spacing w:before="120" w:after="100" w:afterAutospacing="1"/>
            </w:pPr>
            <w:r>
              <w:t>Summary of File Format changes</w:t>
            </w:r>
          </w:p>
          <w:tbl>
            <w:tblPr>
              <w:tblStyle w:val="Table Grid"/>
              <w:tblW w:type="auto" w:w="0"/>
              <w:tblLook w:firstColumn="0" w:firstRow="1" w:lastColumn="0" w:lastRow="0" w:noHBand="0" w:noVBand="1"/>
            </w:tblPr>
            <w:tblGrid>
              <w:gridCol w:w="991"/>
              <w:gridCol w:w="1236"/>
              <w:gridCol w:w="1513"/>
              <w:gridCol w:w="5050"/>
            </w:tblGrid>
            <w:tr>
              <w:trPr>
                <w:trHeight w:hRule="atLeast" w:val="584"/>
              </w:trPr>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File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Record Name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Type</w:t>
                  </w:r>
                </w:p>
              </w:tc>
              <w:tc>
                <w:tcPr>
                  <w:tcW w:type="auto" w:w="0"/>
                  <w:tcBorders>
                    <w:left w:val="single" w:sz="4" w:space="0" w:color="auto"/>
                    <w:top w:val="single" w:sz="4" w:space="0" w:color="auto"/>
                    <w:right w:val="single" w:sz="4" w:space="0" w:color="auto"/>
                    <w:bottom w:val="single" w:sz="4" w:space="0" w:color="auto"/>
                  </w:tcBorders>
                </w:tcPr>
                <w:p>
                  <w:pPr>
                    <w:rPr>
                      <w:rFonts w:cs="Arial" w:eastAsia="Times New Roman"/>
                    </w:rPr>
                    <w:jc w:val="center"/>
                  </w:pPr>
                  <w:r>
                    <w:rPr>
                      <w:b w:val="1"/>
                      <w:bCs w:val="1"/>
                      <w:rFonts w:cs="Arial" w:eastAsia="Times New Roman"/>
                      <w:kern w:val="24"/>
                    </w:rPr>
                    <w:t>Change Summary</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UBR</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Validation Change</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Validation changes to support new opening read submission rules</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cs="Arial"/>
                      <w:kern w:val="24"/>
                      <w:sz w:val="21"/>
                      <w:szCs w:val="21"/>
                    </w:rPr>
                  </w:pPr>
                  <w:r>
                    <w:rPr>
                      <w:color w:val="000000"/>
                      <w:rFonts w:cs="Arial"/>
                      <w:kern w:val="24"/>
                    </w:rPr>
                    <w:t>UMR</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cs="Arial"/>
                      <w:kern w:val="24"/>
                      <w:sz w:val="21"/>
                      <w:szCs w:val="21"/>
                    </w:rPr>
                  </w:pPr>
                  <w:r>
                    <w:rPr>
                      <w:color w:val="000000"/>
                      <w:rFonts w:ascii="Arial"/>
                      <w:kern w:val="24"/>
                    </w:rPr>
                    <w:t>-</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sz w:val="21"/>
                      <w:szCs w:val="21"/>
                    </w:rPr>
                  </w:pPr>
                  <w:r>
                    <w:rPr>
                      <w:color w:val="000000"/>
                      <w:rFonts w:ascii="Arial"/>
                      <w:kern w:val="24"/>
                    </w:rPr>
                    <w:t>Validation Change</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ascii="Arial"/>
                      <w:kern w:val="24"/>
                    </w:rPr>
                    <w:t>Validation changes to support new opening read submission rules</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cs="Arial"/>
                      <w:kern w:val="24"/>
                      <w:sz w:val="21"/>
                      <w:szCs w:val="21"/>
                    </w:rPr>
                  </w:pPr>
                  <w:r>
                    <w:rPr>
                      <w:color w:val="000000"/>
                      <w:rFonts w:cs="Arial"/>
                      <w:kern w:val="24"/>
                    </w:rPr>
                    <w:t>MBR</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cs="Arial"/>
                      <w:kern w:val="24"/>
                      <w:sz w:val="21"/>
                      <w:szCs w:val="21"/>
                    </w:rPr>
                  </w:pPr>
                  <w:r>
                    <w:rPr>
                      <w:color w:val="000000"/>
                      <w:rFonts w:ascii="Arial"/>
                      <w:kern w:val="24"/>
                    </w:rPr>
                    <w:t>-</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sz w:val="21"/>
                      <w:szCs w:val="21"/>
                    </w:rPr>
                  </w:pPr>
                  <w:r>
                    <w:rPr>
                      <w:color w:val="000000"/>
                      <w:rFonts w:ascii="Arial"/>
                      <w:kern w:val="24"/>
                    </w:rPr>
                    <w:t>Process Change</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ascii="Arial"/>
                      <w:kern w:val="24"/>
                    </w:rPr>
                    <w:t>Process changes to generate and issue estimated opening read files in line with updated opening read rules</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GEA</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Validation Change</w:t>
                  </w: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r>
                    <w:rPr>
                      <w:color w:val="000000"/>
                      <w:rFonts w:cs="Arial"/>
                      <w:kern w:val="24"/>
                    </w:rPr>
                    <w:t>Validation change to reject any supplier updates for sites managed by CSS</w:t>
                  </w: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r>
            <w:tr>
              <w:trPr>
                <w:trHeight w:hRule="atLeast" w:val="584"/>
              </w:trPr>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cs="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c>
                <w:tcPr>
                  <w:tcW w:type="auto" w:w="0"/>
                  <w:vAlign w:val="center"/>
                  <w:tcBorders>
                    <w:left w:val="single" w:sz="4" w:space="0" w:color="auto"/>
                    <w:top w:val="single" w:sz="4" w:space="0" w:color="auto"/>
                    <w:right w:val="single" w:sz="4" w:space="0" w:color="auto"/>
                    <w:bottom w:val="single" w:sz="4" w:space="0" w:color="auto"/>
                  </w:tcBorders>
                </w:tcPr>
                <w:p>
                  <w:pPr>
                    <w:rPr>
                      <w:color w:val="000000"/>
                      <w:rFonts w:ascii="Arial"/>
                      <w:kern w:val="24"/>
                    </w:rPr>
                  </w:pPr>
                </w:p>
              </w:tc>
            </w:tr>
          </w:tbl>
          <w:p>
            <w:pPr/>
          </w:p>
          <w:p>
            <w:pPr>
              <w:pStyle w:val="heading 1"/>
              <w:spacing w:before="240"/>
              <w:outlineLvl w:val="0"/>
            </w:pPr>
            <w:r>
              <w:t>Supply Meter Point Updates</w:t>
            </w:r>
          </w:p>
          <w:p>
            <w:pPr/>
          </w:p>
          <w:p>
            <w:pPr>
              <w:rPr>
                <w:u w:val="single"/>
              </w:rPr>
            </w:pPr>
            <w:r>
              <w:rPr>
                <w:color w:val="1E15D1"/>
                <w:u w:val="single"/>
              </w:rPr>
              <w:t>RGMA</w:t>
            </w:r>
          </w:p>
          <w:p>
            <w:pPr/>
            <w:r>
              <w:t xml:space="preserve">Any RGMA updates received from a </w:t>
            </w:r>
            <w:r>
              <w:t>Proposing</w:t>
            </w:r>
            <w:r>
              <w:t xml:space="preserve"> </w:t>
            </w:r>
            <w:r>
              <w:t>Shipper in relation to their pending registrati</w:t>
            </w:r>
            <w:r>
              <w:t xml:space="preserve">on (switch) request prior to UK Link receiving a </w:t>
            </w:r>
            <w:r>
              <w:t>Secured</w:t>
            </w:r>
            <w:r>
              <w:t xml:space="preserve">-Active synch message from </w:t>
            </w:r>
            <w:r>
              <w:t>CSS to UK Link will be rejected</w:t>
            </w:r>
            <w:r>
              <w:t>.</w:t>
            </w:r>
          </w:p>
          <w:p>
            <w:pPr/>
            <w:r>
              <w:t xml:space="preserve">Any RGMA updates received from a </w:t>
            </w:r>
            <w:r>
              <w:t>Proposing</w:t>
            </w:r>
            <w:r>
              <w:t xml:space="preserve"> Shipper in relation to their pending </w:t>
            </w:r>
            <w:r>
              <w:t xml:space="preserve">Change of Shipper Event prior to UK Link setting the status to ‘CO’ </w:t>
            </w:r>
            <w:r>
              <w:t>will be rejected</w:t>
            </w:r>
            <w:r>
              <w:t>.</w:t>
            </w:r>
          </w:p>
          <w:p>
            <w:pPr/>
          </w:p>
          <w:p>
            <w:pPr/>
            <w:r>
              <w:t>Any Market Sector Code updates received via RGMA flows will not be applied.</w:t>
            </w:r>
          </w:p>
          <w:p>
            <w:pPr/>
          </w:p>
          <w:p>
            <w:pPr/>
            <w:r>
              <w:rPr>
                <w:color w:val="1E15D1"/>
                <w:u w:val="single"/>
              </w:rPr>
              <w:t>SPA Updates</w:t>
            </w:r>
          </w:p>
          <w:p>
            <w:pPr/>
            <w:r>
              <w:t xml:space="preserve">MAM </w:t>
            </w:r>
            <w:r>
              <w:t>updates</w:t>
            </w:r>
            <w:r>
              <w:t xml:space="preserve"> received from a </w:t>
            </w:r>
            <w:r>
              <w:t>Proposing</w:t>
            </w:r>
            <w:r>
              <w:t xml:space="preserve"> </w:t>
            </w:r>
            <w:r>
              <w:t>Shipper in relation to their pending registration can only be provided from the point that the registration status reaches ‘secured’ (equivalent of current world ‘CO’</w:t>
            </w:r>
            <w:r>
              <w:t>. ‘CO’ status is now 1700hrs D-1</w:t>
            </w:r>
            <w:r>
              <w:t>).</w:t>
            </w:r>
          </w:p>
          <w:p>
            <w:pPr/>
            <w:r>
              <w:t xml:space="preserve">Any </w:t>
            </w:r>
            <w:r>
              <w:t>MAM</w:t>
            </w:r>
            <w:r>
              <w:t xml:space="preserve"> updates received from a </w:t>
            </w:r>
            <w:r>
              <w:t>Proposing</w:t>
            </w:r>
            <w:r>
              <w:t xml:space="preserve"> Shipper in relation to their pending </w:t>
            </w:r>
            <w:r>
              <w:t xml:space="preserve">Change of Shipper Event prior to UK Link setting the status to ‘CO’ </w:t>
            </w:r>
            <w:r>
              <w:t>will be rejected</w:t>
            </w:r>
            <w:r>
              <w:t>.</w:t>
            </w:r>
          </w:p>
          <w:p>
            <w:pPr/>
            <w:r>
              <w:t>GEA file wil</w:t>
            </w:r>
            <w:r>
              <w:t>l</w:t>
            </w:r>
            <w:r>
              <w:t xml:space="preserve"> be rejected if a Supplier update is received for sites within scope of CSS.</w:t>
            </w:r>
            <w:r>
              <w:t xml:space="preserve"> </w:t>
            </w:r>
            <w:r>
              <w:t>Rejection Code CSS00002 “</w:t>
            </w:r>
            <w:r>
              <w:t>Supplier change cannot be submitted for CSS sites via GEA process</w:t>
            </w:r>
            <w:r>
              <w:t>”</w:t>
            </w:r>
          </w:p>
          <w:p>
            <w:pPr/>
          </w:p>
          <w:p>
            <w:pPr>
              <w:pStyle w:val="heading 1"/>
              <w:spacing w:before="240"/>
              <w:outlineLvl w:val="0"/>
            </w:pPr>
            <w:r>
              <w:t>Stakeholder &amp; Master Data</w:t>
            </w:r>
          </w:p>
          <w:p>
            <w:pPr/>
            <w:r>
              <w:t>UK Link</w:t>
            </w:r>
            <w:r>
              <w:t xml:space="preserve"> </w:t>
            </w:r>
            <w:r>
              <w:t xml:space="preserve">will </w:t>
            </w:r>
            <w:r>
              <w:t xml:space="preserve">maintain details of </w:t>
            </w:r>
            <w:r>
              <w:t xml:space="preserve">both </w:t>
            </w:r>
            <w:r>
              <w:t xml:space="preserve">Shipper </w:t>
            </w:r>
            <w:r>
              <w:t>-</w:t>
            </w:r>
            <w:r>
              <w:t xml:space="preserve"> </w:t>
            </w:r>
            <w:r>
              <w:t>G</w:t>
            </w:r>
            <w:r>
              <w:t xml:space="preserve">as Supplier </w:t>
            </w:r>
            <w:r>
              <w:t xml:space="preserve">and </w:t>
            </w:r>
            <w:r>
              <w:t xml:space="preserve">Shipper </w:t>
            </w:r>
            <w:r>
              <w:t>-</w:t>
            </w:r>
            <w:r>
              <w:t xml:space="preserve"> Gas Transporter (GT/iGT) alliances within UK Link</w:t>
            </w:r>
            <w:r>
              <w:t xml:space="preserve"> </w:t>
            </w:r>
            <w:r>
              <w:t xml:space="preserve">and will notify the Central Switching Service provider of </w:t>
            </w:r>
            <w:r>
              <w:t>any revisions. Following the acceptance of a stakeholder update by CSS a notification shall be issued to the requestor to advise that the amendment has been applied.</w:t>
            </w:r>
          </w:p>
          <w:p>
            <w:pPr/>
          </w:p>
          <w:p>
            <w:pPr>
              <w:pStyle w:val="heading 1"/>
              <w:spacing w:before="240"/>
              <w:outlineLvl w:val="0"/>
            </w:pPr>
            <w:r>
              <w:t>Meter Reads</w:t>
            </w:r>
          </w:p>
          <w:p>
            <w:pPr>
              <w:rPr>
                <w:color w:val="1E15D1"/>
                <w:u w:val="single"/>
              </w:rPr>
            </w:pPr>
            <w:r>
              <w:rPr>
                <w:color w:val="1E15D1"/>
                <w:u w:val="single"/>
              </w:rPr>
              <w:t>Business Rules</w:t>
            </w:r>
          </w:p>
          <w:p>
            <w:pPr>
              <w:numPr>
                <w:ilvl w:val="0"/>
                <w:numId w:val="3"/>
              </w:numPr>
              <w:pStyle w:val="List Paragraph"/>
            </w:pPr>
            <w:r>
              <w:t xml:space="preserve">UK Link </w:t>
            </w:r>
            <w:r>
              <w:t>will require an</w:t>
            </w:r>
            <w:r>
              <w:t xml:space="preserve"> opening reading from the </w:t>
            </w:r>
            <w:r>
              <w:t>Proposing</w:t>
            </w:r>
            <w:r>
              <w:t xml:space="preserve"> </w:t>
            </w:r>
            <w:r>
              <w:t>S</w:t>
            </w:r>
            <w:r>
              <w:t xml:space="preserve">hipper on the back of a CSS Registration </w:t>
            </w:r>
            <w:r>
              <w:t>S</w:t>
            </w:r>
            <w:r>
              <w:t>ecured</w:t>
            </w:r>
            <w:r>
              <w:t>-Active</w:t>
            </w:r>
            <w:r>
              <w:t xml:space="preserve"> </w:t>
            </w:r>
            <w:r>
              <w:t xml:space="preserve">synch message </w:t>
            </w:r>
            <w:r>
              <w:t xml:space="preserve">and Change of Shipper Event (including re-confirmations) </w:t>
            </w:r>
            <w:r>
              <w:t>and</w:t>
            </w:r>
            <w:r>
              <w:t xml:space="preserve"> where not provided, UK Link </w:t>
            </w:r>
            <w:r>
              <w:t>will</w:t>
            </w:r>
            <w:r>
              <w:t xml:space="preserve"> generate an estimated reading.</w:t>
            </w:r>
          </w:p>
          <w:p>
            <w:pPr>
              <w:numPr>
                <w:ilvl w:val="0"/>
                <w:numId w:val="3"/>
              </w:numPr>
              <w:pStyle w:val="List Paragraph"/>
            </w:pPr>
            <w:r>
              <w:t xml:space="preserve">UK Link will </w:t>
            </w:r>
            <w:r>
              <w:t>notify the Proposing</w:t>
            </w:r>
            <w:r>
              <w:t xml:space="preserve"> </w:t>
            </w:r>
            <w:r>
              <w:t>S</w:t>
            </w:r>
            <w:r>
              <w:t xml:space="preserve">hippers </w:t>
            </w:r>
            <w:r>
              <w:t xml:space="preserve">of </w:t>
            </w:r>
            <w:r>
              <w:t>the last valid reading held in UK Link for their gaining meter point to support their validation of the opening reading</w:t>
            </w:r>
            <w:r>
              <w:t>.</w:t>
            </w:r>
          </w:p>
          <w:p>
            <w:pPr>
              <w:numPr>
                <w:ilvl w:val="0"/>
                <w:numId w:val="3"/>
              </w:numPr>
              <w:pStyle w:val="List Paragraph"/>
            </w:pPr>
            <w:r>
              <w:t xml:space="preserve">A </w:t>
            </w:r>
            <w:r>
              <w:t xml:space="preserve">Proposing </w:t>
            </w:r>
            <w:r>
              <w:t xml:space="preserve">Shipper may obtain a reading from D+1 to D+10 for Settlement Class 3 and Class 4 </w:t>
            </w:r>
            <w:r>
              <w:t>M</w:t>
            </w:r>
            <w:r>
              <w:t xml:space="preserve">eter </w:t>
            </w:r>
            <w:r>
              <w:t>P</w:t>
            </w:r>
            <w:r>
              <w:t xml:space="preserve">oints </w:t>
            </w:r>
            <w:r>
              <w:t>which will be used to estimate a reading for D.</w:t>
            </w:r>
          </w:p>
          <w:p>
            <w:pPr>
              <w:numPr>
                <w:ilvl w:val="0"/>
                <w:numId w:val="3"/>
              </w:numPr>
              <w:pStyle w:val="List Paragraph"/>
            </w:pPr>
            <w:r>
              <w:t xml:space="preserve">RGMA reads received from the Proposing shipper within the read submission window for a date between the day after the Effective Date (D+1) and ten business days after the </w:t>
            </w:r>
            <w:r>
              <w:t>Effective Date (D+10) will be used to estimate the read for the Effective Date (D).</w:t>
            </w:r>
          </w:p>
          <w:p>
            <w:pPr>
              <w:numPr>
                <w:ilvl w:val="0"/>
                <w:numId w:val="3"/>
              </w:numPr>
              <w:pStyle w:val="List Paragraph"/>
            </w:pPr>
            <w:r>
              <w:t xml:space="preserve">Readings received with a reading date between D+1 and D+10 and a reading reason of either O or N </w:t>
            </w:r>
            <w:r>
              <w:t xml:space="preserve">for class 4 and a reading reason of N for class 3 </w:t>
            </w:r>
            <w:r>
              <w:t>will used to trigger the estimation of the opening reading for D.</w:t>
            </w:r>
          </w:p>
          <w:p>
            <w:pPr>
              <w:numPr>
                <w:ilvl w:val="0"/>
                <w:numId w:val="3"/>
              </w:numPr>
              <w:pStyle w:val="List Paragraph"/>
            </w:pPr>
            <w:r>
              <w:t>T</w:t>
            </w:r>
            <w:r>
              <w:t xml:space="preserve">he  </w:t>
            </w:r>
            <w:r>
              <w:t>estimated</w:t>
            </w:r>
            <w:r>
              <w:t xml:space="preserve"> reading will be provided to the relevant Shippers in the MBR file</w:t>
            </w:r>
            <w:r>
              <w:t xml:space="preserve"> for class 3 and 4 meter points and in the MDR file for class 1 and 2 meter points.’</w:t>
            </w:r>
            <w:r>
              <w:t>.</w:t>
            </w:r>
          </w:p>
          <w:p>
            <w:pPr>
              <w:numPr>
                <w:ilvl w:val="0"/>
                <w:numId w:val="3"/>
              </w:numPr>
              <w:pStyle w:val="List Paragraph"/>
            </w:pPr>
            <w:r>
              <w:t xml:space="preserve">Only reads for the Effective Date (D) from the </w:t>
            </w:r>
            <w:r>
              <w:t>Proposing S</w:t>
            </w:r>
            <w:r>
              <w:t>hipper can be used as a transfer read.</w:t>
            </w:r>
          </w:p>
          <w:p>
            <w:pPr>
              <w:numPr>
                <w:ilvl w:val="0"/>
                <w:numId w:val="3"/>
              </w:numPr>
              <w:pStyle w:val="List Paragraph"/>
            </w:pPr>
            <w:r>
              <w:t>Reads submitted by the Incoming Shipper for the date before the Effective Date (D) will be rejected and a rejection code generated.</w:t>
            </w:r>
          </w:p>
          <w:p>
            <w:pPr>
              <w:numPr>
                <w:ilvl w:val="0"/>
                <w:numId w:val="3"/>
              </w:numPr>
              <w:pStyle w:val="List Paragraph"/>
            </w:pPr>
            <w:r>
              <w:t xml:space="preserve">The </w:t>
            </w:r>
            <w:r>
              <w:t xml:space="preserve">Inner </w:t>
            </w:r>
            <w:r>
              <w:t xml:space="preserve">Tolerance validation </w:t>
            </w:r>
            <w:r>
              <w:t>will</w:t>
            </w:r>
            <w:r>
              <w:t xml:space="preserve"> not be applied to an opening meter reading or to any other reading provided that would be used to</w:t>
            </w:r>
            <w:r>
              <w:t xml:space="preserve"> generate an estimated opening reading when submitted by the </w:t>
            </w:r>
            <w:r>
              <w:t>Proposing</w:t>
            </w:r>
            <w:r>
              <w:t xml:space="preserve"> </w:t>
            </w:r>
            <w:r>
              <w:t>S</w:t>
            </w:r>
            <w:r>
              <w:t>hipper within the read submission window.</w:t>
            </w:r>
          </w:p>
          <w:p>
            <w:pPr>
              <w:rPr>
                <w:color w:val="FF0000"/>
              </w:rPr>
              <w:numPr>
                <w:ilvl w:val="0"/>
                <w:numId w:val="3"/>
              </w:numPr>
              <w:pStyle w:val="List Paragraph"/>
            </w:pPr>
            <w:r>
              <w:t xml:space="preserve">For a </w:t>
            </w:r>
            <w:r>
              <w:t>Change of S</w:t>
            </w:r>
            <w:r>
              <w:t xml:space="preserve">hipper event where the </w:t>
            </w:r>
            <w:r>
              <w:t>S</w:t>
            </w:r>
            <w:r>
              <w:t xml:space="preserve">hipper does not provide a read for the effective date, estimation </w:t>
            </w:r>
            <w:r>
              <w:t>will</w:t>
            </w:r>
            <w:r>
              <w:t xml:space="preserve"> use reads available for the period prior to D from the previous shipper or reads provided by the proposing shipper within the read submission window; reads from a subsequent shipper </w:t>
            </w:r>
            <w:r>
              <w:t>will</w:t>
            </w:r>
            <w:r>
              <w:t xml:space="preserve"> not be used for estimation of a previous outstanding transfer read.</w:t>
            </w:r>
            <w:r>
              <w:t xml:space="preserve"> </w:t>
            </w:r>
            <w:r>
              <w:t>We are aware that some challenges to this rule have been raised, we therefore ask th</w:t>
            </w:r>
            <w:r>
              <w:t>at</w:t>
            </w:r>
            <w:r>
              <w:t xml:space="preserve"> specific representations </w:t>
            </w:r>
            <w:r>
              <w:t>are</w:t>
            </w:r>
            <w:r>
              <w:t xml:space="preserve"> provided </w:t>
            </w:r>
            <w:r>
              <w:t>for</w:t>
            </w:r>
            <w:r>
              <w:t xml:space="preserve"> this. Please note that changes to this rule will not have any impact on the UK Link manual produces, (e.g. file formats or rejection messages).</w:t>
            </w:r>
          </w:p>
          <w:p>
            <w:pPr>
              <w:pStyle w:val="heading 1"/>
              <w:spacing w:before="240" w:lineRule="auto" w:line="276"/>
              <w:outlineLvl w:val="0"/>
            </w:pPr>
            <w:r>
              <w:t>Rejection</w:t>
            </w:r>
            <w:r>
              <w:t xml:space="preserve"> Codes</w:t>
            </w:r>
          </w:p>
          <w:p>
            <w:pPr/>
            <w:hyperlink r:id="Rd3d8affb4e604501">
              <w:r>
                <w:rPr>
                  <w:rStyle w:val="Hyperlink"/>
                  <w:rFonts w:cs="Arial" w:eastAsia="Arial"/>
                  <w:sz w:val="20"/>
                  <w:szCs w:val="20"/>
                </w:rPr>
                <w:t>Shipper Rejection Codes V6.1FA.xlsx</w:t>
              </w:r>
            </w:hyperlink>
          </w:p>
          <w:p>
            <w:pPr>
              <w:rPr>
                <w:rFonts w:cs="Arial"/>
                <w:sz w:val="20"/>
                <w:szCs w:val="20"/>
              </w:rPr>
            </w:pPr>
            <w:hyperlink r:id="Rbc75ccc7cd6b4cf9">
              <w:r>
                <w:rPr>
                  <w:rStyle w:val="Hyperlink"/>
                  <w:rFonts w:cs="Arial" w:eastAsia="Arial"/>
                  <w:sz w:val="20"/>
                  <w:szCs w:val="20"/>
                </w:rPr>
                <w:t xml:space="preserve">UK </w:t>
              </w:r>
              <w:r>
                <w:rPr>
                  <w:rStyle w:val="Hyperlink"/>
                  <w:rFonts w:cs="Arial" w:eastAsia="Arial"/>
                  <w:sz w:val="20"/>
                  <w:szCs w:val="20"/>
                </w:rPr>
                <w:t>Link_IGT</w:t>
              </w:r>
              <w:r>
                <w:rPr>
                  <w:rStyle w:val="Hyperlink"/>
                  <w:rFonts w:cs="Arial" w:eastAsia="Arial"/>
                  <w:sz w:val="20"/>
                  <w:szCs w:val="20"/>
                </w:rPr>
                <w:t xml:space="preserve"> File Format Rejection Codes and Descriptions V0.1L.docx</w:t>
              </w:r>
            </w:hyperlink>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rFonts w:cs="Arial"/>
              </w:rPr>
            </w:pPr>
            <w:r>
              <w:rPr>
                <w:rFonts w:cs="Arial"/>
              </w:rPr>
              <w:t>XRN4922 CSSC Shipper BRD</w:t>
            </w:r>
          </w:p>
          <w:p>
            <w:pPr>
              <w:rPr>
                <w:rFonts w:cs="Arial"/>
              </w:rPr>
            </w:pPr>
            <w:r>
              <w:rPr>
                <w:rFonts w:cs="Arial"/>
              </w:rPr>
              <w:t>XRN4921 CSSC GT/</w:t>
            </w:r>
            <w:r>
              <w:rPr>
                <w:rFonts w:cs="Arial"/>
              </w:rPr>
              <w:t>i</w:t>
            </w:r>
            <w:r>
              <w:rPr>
                <w:rFonts w:cs="Arial"/>
              </w:rPr>
              <w:t>GT</w:t>
            </w:r>
            <w:r>
              <w:rPr>
                <w:rFonts w:cs="Arial"/>
              </w:rPr>
              <w:t xml:space="preserve"> BRD </w:t>
            </w:r>
            <w:r>
              <w:rPr>
                <w:rFonts w:cs="Arial"/>
              </w:rPr>
              <w:t>(for awareness only)</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r>
        <w:t xml:space="preserve">Please see the following page for representation comments template; responses to </w:t>
      </w:r>
      <w:hyperlink r:id="Rccb268c64b7f4fb7">
        <w:r>
          <w:rPr>
            <w:rStyle w:val="Hyperlink"/>
          </w:rPr>
          <w:t>uklink@xoserve.com</w:t>
        </w:r>
      </w:hyperlink>
      <w:r>
        <w:t xml:space="preserve"> </w:t>
      </w:r>
    </w:p>
    <w:p>
      <w:pP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a51cf9c65fb14da7">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Gazprom Marketing &amp; Trading Retail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Lisa Saycell</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lisa.saycell@gazprom-energy.com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01618290077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Questions on the business rules:</w:t>
            </w:r>
            <w:r>
              <w:rPr>
                <w:rFonts w:cs="Arial"/>
              </w:rPr>
              <w:br w:type="textWrapping"/>
            </w:r>
            <w:r>
              <w:rPr>
                <w:rFonts w:cs="Arial"/>
              </w:rPr>
              <w:t>What is the cut-off day for submission of the opening read for validation following a change of shipper or supplier event?</w:t>
            </w:r>
            <w:r>
              <w:rPr>
                <w:rFonts w:cs="Arial"/>
              </w:rPr>
              <w:br w:type="textWrapping"/>
            </w:r>
            <w:r>
              <w:rPr>
                <w:rFonts w:cs="Arial"/>
              </w:rPr>
              <w:br w:type="textWrapping"/>
            </w:r>
            <w:r>
              <w:rPr>
                <w:rFonts w:cs="Arial"/>
              </w:rPr>
              <w:t>Following a change of supplier or supplier event, what day will the MBR be produced?</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The cut off day for submission of the opening read for validation following a change of shipper or supplier event is D+10 for Class 3 &amp; 4</w:t>
            </w:r>
            <w:r>
              <w:rPr>
                <w:rFonts w:cs="Arial"/>
              </w:rPr>
              <w:br w:type="textWrapping"/>
            </w:r>
            <w:r>
              <w:rPr>
                <w:rFonts w:cs="Arial"/>
              </w:rPr>
              <w:br w:type="textWrapping"/>
            </w:r>
            <w:r>
              <w:rPr>
                <w:rFonts w:cs="Arial"/>
              </w:rPr>
              <w:t>MBR is produced after the submission window (i.e., after D+10) unless opening read estimation is triggered earlier by an event such as subsequent transfer, class change, RGMA etc.</w:t>
            </w:r>
          </w:p>
        </w:tc>
      </w:tr>
    </w:tbl>
    <w:p>
      <w:pPr/>
    </w:p>
    <w:p>
      <w:pPr/>
      <w:r>
        <w:t xml:space="preserve">Please send the completed </w:t>
      </w:r>
      <w:r>
        <w:t>representation response to</w:t>
      </w:r>
      <w:r>
        <w:t xml:space="preserve"> </w:t>
      </w:r>
      <w:hyperlink r:id="R37e1b0d296924bf9">
        <w:r>
          <w:rPr>
            <w:rStyle w:val="Hyperlink"/>
          </w:rPr>
          <w:t>uklink@xoserve.com</w:t>
        </w:r>
      </w:hyperlink>
      <w:r>
        <w:t xml:space="preserve"> </w:t>
      </w:r>
    </w:p>
    <w:p>
      <w:pPr/>
    </w:p>
    <w:p>
      <w:pPr/>
      <w:r>
        <w:br w:type="page"/>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7"/>
    <w:multiLevelType w:val="hybridMultilevel"/>
    <w:name w:val="ListStyle17"/>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14"/>
    <w:multiLevelType w:val="hybridMultilevel"/>
    <w:name w:val="ListStyle14"/>
    <w:lvl w:ilvl="0">
      <w:numFmt w:val="bullet"/>
      <w:lvlText w:val="-"/>
      <w:lvlJc w:val="left"/>
      <w:pPr>
        <w:ind w:hanging="360" w:left="720"/>
      </w:pPr>
      <w:rPr>
        <w:rFonts w:ascii="Arial" w:hAnsi="Arial" w:cs="Arial" w:eastAsia="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21"/>
    <w:multiLevelType w:val="hybridMultilevel"/>
    <w:name w:val="ListStyle21"/>
    <w:lvl w:ilvl="0">
      <w:numFmt w:val="bullet"/>
      <w:lvlText w:val="-"/>
      <w:lvlJc w:val="left"/>
      <w:pPr>
        <w:ind w:hanging="360" w:left="360"/>
      </w:pPr>
      <w:rPr>
        <w:rFonts w:ascii="Arial" w:hAnsi="Arial" w:cs="Arial" w:eastAsia="Aria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character" w:styleId="Unresolved Mention">
    <w:name w:val="Unresolved Mention"/>
    <w:qFormat/>
    <w:basedOn w:val="Default Paragraph Font"/>
    <w:rPr>
      <w:shd w:val="clear" w:fill="E1DFDD"/>
      <w:color w:val="605E5C"/>
    </w:rPr>
  </w:style>
  <w:style w:type="numbering" w:styleId="ListStyle17">
    <w:name w:val="ListStyle17"/>
    <w:qFormat/>
  </w:style>
  <w:style w:type="numbering" w:styleId="ListStyle14">
    <w:name w:val="ListStyle14"/>
    <w:qFormat/>
  </w:style>
  <w:style w:type="numbering" w:styleId="ListStyle21">
    <w:name w:val="ListStyle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345/shipper-rejection-codes-v61fa.xlsx" TargetMode="External" Id="Rd3d8affb4e604501" /><Relationship Type="http://schemas.openxmlformats.org/officeDocument/2006/relationships/hyperlink" Target="https://www.xoserve.com/media/7349/uk-link_igt-file-format-rejection-codes-and-descriptions-v02fa.pdf" TargetMode="External" Id="Rbc75ccc7cd6b4cf9" /><Relationship Type="http://schemas.openxmlformats.org/officeDocument/2006/relationships/hyperlink" Target="mailto:uklink@xoserve.com" TargetMode="External" Id="Rccb268c64b7f4fb7" /><Relationship Type="http://schemas.openxmlformats.org/officeDocument/2006/relationships/hyperlink" Target="mailto:uklink@xoserve.com" TargetMode="External" Id="Ra51cf9c65fb14da7" /><Relationship Type="http://schemas.openxmlformats.org/officeDocument/2006/relationships/hyperlink" Target="mailto:uklink@xoserve.com" TargetMode="External" Id="R37e1b0d296924bf9" /><Relationship Type="http://schemas.openxmlformats.org/officeDocument/2006/relationships/styles" Target="styles.xml" Id="Rda0d5a756e7f46cf" /><Relationship Type="http://schemas.openxmlformats.org/officeDocument/2006/relationships/fontTable" Target="fontTable.xml" Id="R1c7b591d09e545c5" /><Relationship Type="http://schemas.openxmlformats.org/officeDocument/2006/relationships/numbering" Target="numbering.xml" Id="Rea6e660679274b20" /><Relationship Type="http://schemas.openxmlformats.org/officeDocument/2006/relationships/settings" Target="settings.xml" Id="R94832aff5b934de6" /><Relationship Type="http://schemas.openxmlformats.org/officeDocument/2006/relationships/webSettings" Target="webSettings.xml" Id="Rb534cd99107740fe" /></Relationships>
</file>

<file path=docProps/app.xml><?xml version="1.0" encoding="utf-8"?>
<Properties xmlns="http://schemas.openxmlformats.org/officeDocument/2006/extended-properties" xmlns:vt="http://schemas.openxmlformats.org/officeDocument/2006/docPropsVTypes">
  <Application>Document .Net v.5.5.4.14</Application>
  <Pages>8</Pages>
  <Words>1276</Words>
  <Characters>7277</Characters>
  <CharactersWithSpaces>8536</CharactersWithSpaces>
  <Lines>60</Lin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2019-10-14T12:33:00Z</dcterms:created>
  <dcterms:modified xsi:type="dcterms:W3CDTF">2019-10-14T12:57:00Z</dcterms:modified>
</cp:coreProperties>
</file>

<file path=docProps/custom.xml><?xml version="1.0" encoding="utf-8"?>
<Properties xmlns="http://schemas.openxmlformats.org/officeDocument/2006/custom-properties" xmlns:vt="http://schemas.openxmlformats.org/officeDocument/2006/docPropsVTypes"/>
</file>