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5e3221fead1e41a1" /><Relationship Type="http://schemas.openxmlformats.org/package/2006/relationships/metadata/core-properties" Target="/docProps/core.xml" Id="Rb9ad4bbb28554899" /><Relationship Type="http://schemas.openxmlformats.org/officeDocument/2006/relationships/extended-properties" Target="/docProps/app.xml" Id="R871eb527788542b8" /><Relationship Type="http://schemas.openxmlformats.org/officeDocument/2006/relationships/custom-properties" Target="/docProps/custom.xml" Id="R922ffeb4f39249c0"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D: High Level Solution Options</w:t>
      </w:r>
      <w:bookmarkStart w:id="0" w:name="_GoBack"/>
      <w:bookmarkEnd w:id="0"/>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557"/>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rFonts w:cs="Arial"/>
              </w:rPr>
            </w:pPr>
            <w:hyperlink r:id="R27a2e34a45af4e4c">
              <w:r>
                <w:rPr>
                  <w:rStyle w:val="Hyperlink"/>
                  <w:rFonts w:cs="Arial"/>
                </w:rPr>
                <w:t>Link to CP</w:t>
              </w:r>
            </w:hyperlink>
          </w:p>
          <w:p>
            <w:pPr>
              <w:rPr>
                <w:b w:val="1"/>
                <w:bCs w:val="1"/>
                <w:rFonts w:cs="Arial"/>
              </w:rPr>
            </w:pPr>
          </w:p>
          <w:p>
            <w:pPr>
              <w:rPr>
                <w:b w:val="1"/>
                <w:bCs w:val="1"/>
                <w:rFonts w:cs="Arial"/>
              </w:rPr>
            </w:pPr>
            <w:r>
              <w:rPr>
                <w:b w:val="1"/>
                <w:bCs w:val="1"/>
                <w:rFonts w:cs="Arial"/>
              </w:rPr>
              <w:t>Overview</w:t>
            </w:r>
          </w:p>
          <w:p>
            <w:pPr>
              <w:rPr>
                <w:rFonts w:cs="Arial"/>
              </w:rPr>
            </w:pPr>
          </w:p>
          <w:p>
            <w:pPr>
              <w:rPr>
                <w:rFonts w:cs="Arial"/>
              </w:rPr>
            </w:pPr>
            <w:r>
              <w:rPr>
                <w:rFonts w:cs="Arial"/>
              </w:rPr>
              <w:t>XRN</w:t>
            </w:r>
            <w:r>
              <w:rPr>
                <w:rFonts w:cs="Arial"/>
              </w:rPr>
              <w:t xml:space="preserve">4801 </w:t>
            </w:r>
            <w:r>
              <w:rPr>
                <w:rFonts w:cs="Arial"/>
              </w:rPr>
              <w:t>was raised to look at adding additional data items to Data Enquiry Service</w:t>
            </w:r>
            <w:r>
              <w:rPr>
                <w:rFonts w:cs="Arial"/>
              </w:rPr>
              <w:t xml:space="preserve"> (DES)</w:t>
            </w:r>
            <w:r>
              <w:rPr>
                <w:rFonts w:cs="Arial"/>
              </w:rPr>
              <w:t xml:space="preserve"> to </w:t>
            </w:r>
            <w:r>
              <w:rPr>
                <w:rFonts w:cs="Arial"/>
              </w:rPr>
              <w:t>assist</w:t>
            </w:r>
            <w:r>
              <w:rPr>
                <w:rFonts w:cs="Arial"/>
              </w:rPr>
              <w:t xml:space="preserve"> Shippers with resolving</w:t>
            </w:r>
            <w:r>
              <w:rPr>
                <w:rFonts w:cs="Arial"/>
              </w:rPr>
              <w:t xml:space="preserve"> and improving</w:t>
            </w:r>
            <w:r>
              <w:rPr>
                <w:rFonts w:cs="Arial"/>
              </w:rPr>
              <w:t xml:space="preserve"> operational queries</w:t>
            </w:r>
            <w:r>
              <w:rPr>
                <w:rFonts w:cs="Arial"/>
              </w:rPr>
              <w:t xml:space="preserve">.  </w:t>
            </w:r>
            <w:r>
              <w:rPr>
                <w:rFonts w:cs="Arial"/>
              </w:rPr>
              <w:t>This delivery will help Shipper users resolve their operational queries more quickly and efficiently without the need to contact Xoserve to obtain this information.</w:t>
            </w:r>
          </w:p>
          <w:p>
            <w:pPr>
              <w:rPr>
                <w:rFonts w:cs="Arial"/>
              </w:rPr>
            </w:pPr>
          </w:p>
          <w:p>
            <w:pPr>
              <w:rPr>
                <w:rFonts w:cs="Arial"/>
              </w:rPr>
            </w:pPr>
            <w:r>
              <w:rPr>
                <w:rFonts w:cs="Arial"/>
              </w:rPr>
              <w:t>Due to DES being a</w:t>
            </w:r>
            <w:r>
              <w:rPr>
                <w:rFonts w:cs="Arial"/>
              </w:rPr>
              <w:t>n</w:t>
            </w:r>
            <w:r>
              <w:rPr>
                <w:rFonts w:cs="Arial"/>
              </w:rPr>
              <w:t xml:space="preserve"> established and recognised service used by multiple industry participants, we are only proposing </w:t>
            </w:r>
            <w:r>
              <w:rPr>
                <w:rFonts w:cs="Arial"/>
              </w:rPr>
              <w:t xml:space="preserve">one solution option for XRN4801. </w:t>
            </w:r>
            <w:r>
              <w:rPr>
                <w:rFonts w:cs="Arial"/>
              </w:rPr>
              <w:t xml:space="preserve"> </w:t>
            </w:r>
          </w:p>
          <w:p>
            <w:pPr>
              <w:rPr>
                <w:rFonts w:cs="Arial"/>
              </w:rPr>
            </w:pPr>
          </w:p>
          <w:p>
            <w:pPr>
              <w:rPr>
                <w:rFonts w:cs="Arial"/>
              </w:rPr>
            </w:pPr>
            <w:r>
              <w:rPr>
                <w:rFonts w:cs="Arial"/>
              </w:rPr>
              <w:t>As part of this change, below details will be made available on the Data Enquiry (DES) screens:</w:t>
            </w:r>
            <w:r>
              <w:rPr>
                <w:rFonts w:cs="Arial"/>
              </w:rPr>
              <w:t xml:space="preserve"> </w:t>
            </w:r>
          </w:p>
          <w:p>
            <w:pPr>
              <w:rPr>
                <w:rFonts w:cs="Arial"/>
              </w:rPr>
            </w:pPr>
          </w:p>
          <w:p>
            <w:pPr>
              <w:rPr>
                <w:rFonts w:cs="Arial"/>
              </w:rPr>
            </w:pPr>
            <w:r>
              <w:rPr>
                <w:rFonts w:cs="Arial"/>
              </w:rPr>
              <w:t>• Original Meter Reading and associated Replacement Meter Reading (P)</w:t>
            </w:r>
            <w:r>
              <w:rPr>
                <w:rFonts w:cs="Arial"/>
              </w:rPr>
              <w:br w:type="textWrapping"/>
            </w:r>
            <w:r>
              <w:rPr>
                <w:rFonts w:cs="Arial"/>
              </w:rPr>
              <w:t xml:space="preserve">• Last actual read recorded prior to transfer of ownership (C) </w:t>
            </w:r>
          </w:p>
          <w:p>
            <w:pPr>
              <w:rPr>
                <w:rFonts w:cs="Arial"/>
              </w:rPr>
            </w:pPr>
            <w:r>
              <w:rPr>
                <w:rFonts w:cs="Arial"/>
              </w:rPr>
              <w:t>• Corrector: Reading Units (P),</w:t>
            </w:r>
            <w:r>
              <w:rPr>
                <w:rFonts w:cs="Arial"/>
              </w:rPr>
              <w:t xml:space="preserve"> </w:t>
            </w:r>
            <w:r>
              <w:rPr>
                <w:rFonts w:cs="Arial"/>
              </w:rPr>
              <w:t>Imperial/Metric Indicator (C)</w:t>
            </w:r>
            <w:r>
              <w:rPr>
                <w:rFonts w:cs="Arial"/>
              </w:rPr>
              <w:br w:type="textWrapping"/>
            </w:r>
            <w:r>
              <w:rPr>
                <w:rFonts w:cs="Arial"/>
              </w:rPr>
              <w:t>• Uncorrected read on all reads shown in the read history with a convertor (P)</w:t>
            </w:r>
            <w:r>
              <w:rPr>
                <w:rFonts w:cs="Arial"/>
              </w:rPr>
              <w:br w:type="textWrapping"/>
            </w:r>
            <w:r>
              <w:rPr>
                <w:rFonts w:cs="Arial"/>
              </w:rPr>
              <w:t>• Convertor Asset: Dials - both uncorrected and corrected (C)</w:t>
            </w:r>
          </w:p>
          <w:p>
            <w:pPr>
              <w:rPr>
                <w:rFonts w:cs="Arial"/>
              </w:rPr>
            </w:pPr>
            <w:r>
              <w:rPr>
                <w:rFonts w:cs="Arial"/>
              </w:rPr>
              <w:t xml:space="preserve">• Supplier End Date (C), </w:t>
            </w:r>
          </w:p>
          <w:p>
            <w:pPr>
              <w:rPr>
                <w:rFonts w:cs="Arial"/>
              </w:rPr>
            </w:pPr>
            <w:r>
              <w:rPr>
                <w:rFonts w:cs="Arial"/>
              </w:rPr>
              <w:t>• End User Category (C),</w:t>
            </w:r>
            <w:r>
              <w:rPr>
                <w:rFonts w:cs="Arial"/>
              </w:rPr>
              <w:t xml:space="preserve"> </w:t>
            </w:r>
          </w:p>
          <w:p>
            <w:pPr>
              <w:rPr>
                <w:rFonts w:cs="Arial"/>
              </w:rPr>
            </w:pPr>
            <w:r>
              <w:rPr>
                <w:rFonts w:cs="Arial"/>
              </w:rPr>
              <w:t xml:space="preserve">• ASP Name (C), </w:t>
            </w:r>
          </w:p>
          <w:p>
            <w:pPr>
              <w:rPr>
                <w:rFonts w:cs="Arial"/>
              </w:rPr>
            </w:pPr>
            <w:r>
              <w:rPr>
                <w:rFonts w:cs="Arial"/>
              </w:rPr>
              <w:t>• MAP ID (C)</w:t>
            </w:r>
            <w:r>
              <w:rPr>
                <w:rFonts w:cs="Arial"/>
              </w:rPr>
              <w:t>,</w:t>
            </w:r>
          </w:p>
          <w:p>
            <w:pPr>
              <w:rPr>
                <w:rFonts w:cs="Arial"/>
              </w:rPr>
            </w:pPr>
            <w:r>
              <w:rPr>
                <w:rFonts w:cs="Arial"/>
              </w:rPr>
              <w:t>• Last JOB rejection (C),</w:t>
            </w:r>
          </w:p>
          <w:p>
            <w:pPr>
              <w:rPr>
                <w:rFonts w:cs="Arial"/>
              </w:rPr>
            </w:pPr>
            <w:r>
              <w:rPr>
                <w:rFonts w:cs="Arial"/>
              </w:rPr>
              <w:t>• Last UPD rejection (C),</w:t>
            </w:r>
          </w:p>
          <w:p>
            <w:pPr>
              <w:rPr>
                <w:rFonts w:cs="Arial"/>
              </w:rPr>
            </w:pPr>
            <w:r>
              <w:rPr>
                <w:rFonts w:cs="Arial"/>
              </w:rPr>
              <w:t>• Active Read (P),</w:t>
            </w:r>
          </w:p>
          <w:p>
            <w:pPr>
              <w:rPr>
                <w:rFonts w:cs="Arial"/>
              </w:rPr>
            </w:pPr>
            <w:r>
              <w:rPr>
                <w:rFonts w:cs="Arial"/>
              </w:rPr>
              <w:t xml:space="preserve">• Inactive Read (P) </w:t>
            </w:r>
          </w:p>
          <w:p>
            <w:pPr>
              <w:rPr>
                <w:rFonts w:cs="Arial"/>
              </w:rPr>
            </w:pPr>
            <w:r>
              <w:rPr>
                <w:rFonts w:cs="Arial"/>
              </w:rPr>
              <w:t>• Corrective Meter Exchanges (as per current exchange rules)</w:t>
            </w:r>
          </w:p>
          <w:p>
            <w:pPr>
              <w:rPr>
                <w:rFonts w:cs="Arial"/>
              </w:rPr>
            </w:pPr>
            <w:r>
              <w:rPr>
                <w:rFonts w:cs="Arial"/>
              </w:rPr>
              <w:t xml:space="preserve">• Final read (FINC/FINX) to Display as D in DES (currently D-1) for </w:t>
            </w:r>
            <w:r>
              <w:rPr>
                <w:rFonts w:cs="Arial"/>
              </w:rPr>
              <w:t>C</w:t>
            </w:r>
            <w:r>
              <w:rPr>
                <w:rFonts w:cs="Arial"/>
              </w:rPr>
              <w:t>lass 3</w:t>
            </w:r>
            <w:r>
              <w:rPr>
                <w:rFonts w:cs="Arial"/>
              </w:rPr>
              <w:t xml:space="preserve"> Supply M</w:t>
            </w:r>
            <w:r>
              <w:rPr>
                <w:rFonts w:cs="Arial"/>
              </w:rPr>
              <w:t xml:space="preserve">eter </w:t>
            </w:r>
            <w:r>
              <w:rPr>
                <w:rFonts w:cs="Arial"/>
              </w:rPr>
              <w:t>P</w:t>
            </w:r>
            <w:r>
              <w:rPr>
                <w:rFonts w:cs="Arial"/>
              </w:rPr>
              <w:t>oints when an RGMA update is received for an asset</w:t>
            </w:r>
            <w:r>
              <w:rPr>
                <w:rFonts w:cs="Arial"/>
              </w:rPr>
              <w:t xml:space="preserve"> </w:t>
            </w:r>
            <w:r>
              <w:rPr>
                <w:rFonts w:cs="Arial"/>
              </w:rPr>
              <w:t xml:space="preserve">removal or exchange </w:t>
            </w:r>
            <w:r>
              <w:rPr>
                <w:rFonts w:cs="Arial"/>
              </w:rPr>
              <w:t>and also</w:t>
            </w:r>
            <w:r>
              <w:rPr>
                <w:rFonts w:cs="Arial"/>
              </w:rPr>
              <w:t xml:space="preserve"> any other billing critical updates received via RGMA </w:t>
            </w:r>
          </w:p>
          <w:p>
            <w:pPr>
              <w:rPr>
                <w:rFonts w:cs="Arial"/>
              </w:rPr>
            </w:pPr>
            <w:r>
              <w:rPr>
                <w:rFonts w:cs="Arial"/>
              </w:rPr>
              <w:t>• FICC (</w:t>
            </w:r>
            <w:r>
              <w:rPr>
                <w:rFonts w:cs="Arial"/>
              </w:rPr>
              <w:t>C</w:t>
            </w:r>
            <w:r>
              <w:rPr>
                <w:rFonts w:cs="Arial"/>
              </w:rPr>
              <w:t xml:space="preserve">lass </w:t>
            </w:r>
            <w:r>
              <w:rPr>
                <w:rFonts w:cs="Arial"/>
              </w:rPr>
              <w:t>C</w:t>
            </w:r>
            <w:r>
              <w:rPr>
                <w:rFonts w:cs="Arial"/>
              </w:rPr>
              <w:t xml:space="preserve">hange </w:t>
            </w:r>
            <w:r>
              <w:rPr>
                <w:rFonts w:cs="Arial"/>
              </w:rPr>
              <w:t>R</w:t>
            </w:r>
            <w:r>
              <w:rPr>
                <w:rFonts w:cs="Arial"/>
              </w:rPr>
              <w:t>ead) read to Display as D in DES (currently D-1) for any class change</w:t>
            </w:r>
          </w:p>
          <w:p>
            <w:pPr>
              <w:rPr>
                <w:rFonts w:cs="Arial"/>
              </w:rPr>
            </w:pPr>
          </w:p>
          <w:p>
            <w:pPr>
              <w:rPr>
                <w:rFonts w:cs="Arial"/>
                <w:i w:val="1"/>
                <w:iCs w:val="1"/>
              </w:rPr>
            </w:pPr>
            <w:r>
              <w:rPr>
                <w:rFonts w:cs="Arial"/>
                <w:i w:val="1"/>
                <w:iCs w:val="1"/>
              </w:rPr>
              <w:t>(P – Portfolio View; C – Community View)</w:t>
            </w:r>
          </w:p>
          <w:p>
            <w:pPr>
              <w:rPr>
                <w:rFonts w:cs="Arial"/>
              </w:rPr>
            </w:pPr>
          </w:p>
          <w:p>
            <w:pPr>
              <w:rPr>
                <w:rFonts w:cs="Arial"/>
              </w:rPr>
            </w:pPr>
          </w:p>
          <w:p>
            <w:pPr>
              <w:rPr>
                <w:rFonts w:cs="Arial"/>
              </w:rPr>
            </w:pPr>
            <w:r>
              <w:rPr>
                <w:rFonts w:cs="Arial"/>
              </w:rPr>
              <w:t xml:space="preserve">For </w:t>
            </w:r>
            <w:r>
              <w:rPr>
                <w:rFonts w:cs="Arial"/>
              </w:rPr>
              <w:t>information</w:t>
            </w:r>
            <w:r>
              <w:rPr>
                <w:rFonts w:cs="Arial"/>
              </w:rPr>
              <w:t>, to facilitate this change</w:t>
            </w:r>
            <w:r>
              <w:rPr>
                <w:rFonts w:cs="Arial"/>
              </w:rPr>
              <w:t>,</w:t>
            </w:r>
            <w:r>
              <w:rPr>
                <w:rFonts w:cs="Arial"/>
              </w:rPr>
              <w:t xml:space="preserve"> a request will be made to </w:t>
            </w:r>
            <w:r>
              <w:rPr>
                <w:rFonts w:cs="Arial"/>
              </w:rPr>
              <w:t>Contract Management Committee</w:t>
            </w:r>
            <w:r>
              <w:rPr>
                <w:rFonts w:cs="Arial"/>
              </w:rPr>
              <w:t xml:space="preserve"> for the </w:t>
            </w:r>
            <w:r>
              <w:rPr>
                <w:rFonts w:cs="Arial"/>
              </w:rPr>
              <w:t xml:space="preserve">required </w:t>
            </w:r>
            <w:r>
              <w:rPr>
                <w:rFonts w:cs="Arial"/>
              </w:rPr>
              <w:t>amendments to the Data Permissions Matrix</w:t>
            </w:r>
            <w:r>
              <w:rPr>
                <w:rFonts w:cs="Arial"/>
              </w:rPr>
              <w:t xml:space="preserve">, something that may descope </w:t>
            </w:r>
            <w:r>
              <w:rPr>
                <w:rFonts w:cs="Arial"/>
              </w:rPr>
              <w:t>requirements if any objections are raised.</w:t>
            </w:r>
          </w:p>
          <w:p>
            <w:pPr>
              <w:rPr>
                <w:rFonts w:cs="Arial"/>
              </w:rPr>
            </w:pPr>
          </w:p>
          <w:p>
            <w:pPr>
              <w:rPr>
                <w:b w:val="1"/>
                <w:bCs w:val="1"/>
                <w:rFonts w:cs="Arial"/>
              </w:rPr>
            </w:pPr>
            <w:hyperlink r:id="R04cbc16cee084ca5">
              <w:r>
                <w:rPr>
                  <w:rStyle w:val="Hyperlink"/>
                  <w:b w:val="1"/>
                  <w:bCs w:val="1"/>
                  <w:rFonts w:cs="Arial"/>
                </w:rPr>
                <w:t xml:space="preserve">Please see link to </w:t>
              </w:r>
              <w:r>
                <w:rPr>
                  <w:rStyle w:val="Hyperlink"/>
                  <w:b w:val="1"/>
                  <w:bCs w:val="1"/>
                  <w:rFonts w:cs="Arial"/>
                </w:rPr>
                <w:t>HLSO Documentation</w:t>
              </w:r>
            </w:hyperlink>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Solution Option</w:t>
            </w:r>
            <w:r>
              <w:rPr>
                <w:rFonts w:cs="Arial"/>
              </w:rPr>
              <w:t xml:space="preserve"> 1</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Solution Option 1</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sdt>
            <w:sdtPr>
              <w:rPr>
                <w:rFonts w:cs="Arial" w:eastAsia="Times New Roman"/>
              </w:rPr>
              <w:id w:val="549498403"/>
              <w:date w:fullDate="2020-01-27T00:00:00Z">
                <w:dateFormat w:val="dd/MM/yyyy"/>
                <w:lid w:val="en-GB"/>
                <w:storeMappedDataAs w:val="dateTime"/>
                <w:calendar w:val="gregorian"/>
              </w:date>
            </w:sdtPr>
            <w:sdtContent>
              <w:p>
                <w:pPr/>
                <w:r>
                  <w:rPr>
                    <w:rFonts w:cs="Arial" w:eastAsia="Times New Roman"/>
                  </w:rPr>
                  <w:t>27/01/2020</w:t>
                </w:r>
              </w:p>
            </w:sdtContent>
          </w:sdt>
        </w:tc>
      </w:tr>
    </w:tbl>
    <w:p>
      <w:pPr/>
    </w:p>
    <w:p>
      <w:pPr/>
      <w:r>
        <w:br w:type="page"/>
      </w: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This change will add useful information to DES and we question whether same information is/will be available in the Xoserve APIs, if not we would vote to defer this implementation until they are aligned to each other, however on the assumption that they are aligned we vote to approve for now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w:t>
            </w:r>
            <w:r>
              <w:rPr>
                <w:rFonts w:cs="Arial"/>
              </w:rPr>
              <w:br w:type="textWrapping"/>
            </w:r>
            <w:r>
              <w:rPr>
                <w:rFonts w:cs="Arial"/>
              </w:rPr>
              <w:br w:type="textWrapping"/>
            </w:r>
            <w:r>
              <w:rPr>
                <w:rFonts w:cs="Arial"/>
              </w:rPr>
              <w:t>Regarding your question relating to the alignment of API access, as it currently stands the data to be added to DES as part of XRN4801 will not be made available via API.</w:t>
            </w:r>
            <w:r>
              <w:rPr>
                <w:rFonts w:cs="Arial"/>
              </w:rPr>
              <w:br w:type="textWrapping"/>
            </w:r>
            <w:r>
              <w:rPr>
                <w:rFonts w:cs="Arial"/>
              </w:rPr>
              <w:br w:type="textWrapping"/>
            </w:r>
            <w:r>
              <w:rPr>
                <w:rFonts w:cs="Arial"/>
              </w:rPr>
              <w:t>We will feed this into ChMC for a final decision.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Npower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Alison Price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alison.price@npower.com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07557202065</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We support the solution put forward in the HLIA</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2386ae44ca1941f1"/>
      <w:footerReference w:type="default" r:id="Rd6156b182f9646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CP_DraftV5.0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4fc94037e63c438b"/>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4801-additional-information-to-be-made-viewable-on-des/" TargetMode="External" Id="R27a2e34a45af4e4c" /><Relationship Type="http://schemas.openxmlformats.org/officeDocument/2006/relationships/hyperlink" Target="https://www.xoserve.com/media/7913/xrn4801-high-level-solution-option-assessment-v10.pdf" TargetMode="External" Id="R04cbc16cee084ca5" /><Relationship Type="http://schemas.openxmlformats.org/officeDocument/2006/relationships/header" Target="header1.xml" Id="R2386ae44ca1941f1" /><Relationship Type="http://schemas.openxmlformats.org/officeDocument/2006/relationships/footer" Target="footer1.xml" Id="Rd6156b182f9646db" /><Relationship Type="http://schemas.openxmlformats.org/officeDocument/2006/relationships/customXml" Target="/customXml/item1.xml" Id="Ra45a3918170f445d" /><Relationship Type="http://schemas.openxmlformats.org/officeDocument/2006/relationships/customXml" Target="/customXml/item2.xml" Id="R8c4752c2eb8042a5" /><Relationship Type="http://schemas.openxmlformats.org/officeDocument/2006/relationships/customXml" Target="/customXml/item3.xml" Id="R0663aed9105c4fca" /><Relationship Type="http://schemas.openxmlformats.org/officeDocument/2006/relationships/customXml" Target="/customXml/item4.xml" Id="R915cd7c12104404a" /><Relationship Type="http://schemas.openxmlformats.org/officeDocument/2006/relationships/styles" Target="styles.xml" Id="R410cb235af584b91" /><Relationship Type="http://schemas.openxmlformats.org/officeDocument/2006/relationships/fontTable" Target="fontTable.xml" Id="R2996c511d63c405d" /><Relationship Type="http://schemas.openxmlformats.org/officeDocument/2006/relationships/settings" Target="settings.xml" Id="R07de18fd4a6a4790" /><Relationship Type="http://schemas.openxmlformats.org/officeDocument/2006/relationships/webSettings" Target="webSettings.xml" Id="R47bdb1421d404754" /></Relationships>
</file>

<file path=word/_rels/header1.xml.rels>&#65279;<?xml version="1.0" encoding="utf-8"?><Relationships xmlns="http://schemas.openxmlformats.org/package/2006/relationships"><Relationship Type="http://schemas.openxmlformats.org/officeDocument/2006/relationships/image" Target="media/zxshxnkp.png" Id="R4fc94037e63c438b" /></Relationships>
</file>

<file path=customXml/_rels/item1.xml.rels>&#65279;<?xml version="1.0" encoding="utf-8"?><Relationships xmlns="http://schemas.openxmlformats.org/package/2006/relationships"><Relationship Type="http://schemas.openxmlformats.org/officeDocument/2006/relationships/customXmlProps" Target="itemProps1.xml" Id="Rfdb1d73b90b540e5" /></Relationships>
</file>

<file path=customXml/_rels/item2.xml.rels>&#65279;<?xml version="1.0" encoding="utf-8"?><Relationships xmlns="http://schemas.openxmlformats.org/package/2006/relationships"><Relationship Type="http://schemas.openxmlformats.org/officeDocument/2006/relationships/customXmlProps" Target="itemProps2.xml" Id="Rb087fb8641fe4f87" /></Relationships>
</file>

<file path=customXml/_rels/item3.xml.rels>&#65279;<?xml version="1.0" encoding="utf-8"?><Relationships xmlns="http://schemas.openxmlformats.org/package/2006/relationships"><Relationship Type="http://schemas.openxmlformats.org/officeDocument/2006/relationships/customXmlProps" Target="itemProps3.xml" Id="R9e4a04d4cad040b1" /></Relationships>
</file>

<file path=customXml/_rels/item4.xml.rels>&#65279;<?xml version="1.0" encoding="utf-8"?><Relationships xmlns="http://schemas.openxmlformats.org/package/2006/relationships"><Relationship Type="http://schemas.openxmlformats.org/officeDocument/2006/relationships/customXmlProps" Target="itemProps4.xml" Id="R04095936de99467d"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27B77B7F39148B9CB17AE711C8D35" ma:contentTypeVersion="0" ma:contentTypeDescription="Create a new document." ma:contentTypeScope="" ma:versionID="159d718f6c29ca5e1f84b5e6d7132f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1348-6C02-499D-B77F-8DC2A8CD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4220CE9-7F5D-4D85-8777-C73DF982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3</Pages>
  <Words>526</Words>
  <Characters>2999</Characters>
  <CharactersWithSpaces>3518</CharactersWithSpaces>
  <Lines>24</Lin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LeResche, Jaimee</cp:lastModifiedBy>
  <dcterms:created xsi:type="dcterms:W3CDTF">2020-01-13T11:37:00Z</dcterms:created>
  <dcterms:modified xsi:type="dcterms:W3CDTF">2020-01-13T11:37:00Z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0x0101006E927B77B7F39148B9CB17AE711C8D35</vt:lpwstr>
  </property>
</Properties>
</file>