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C3C4" w14:textId="77777777" w:rsidR="00DB017B" w:rsidRDefault="0036342A">
      <w:pPr>
        <w:pStyle w:val="Title"/>
      </w:pPr>
      <w:r>
        <w:t>High Level Solution Options Change Pack</w:t>
      </w:r>
    </w:p>
    <w:p w14:paraId="0B69EB2E" w14:textId="77777777" w:rsidR="00DB017B" w:rsidRDefault="0036342A">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DB017B" w14:paraId="53E83C50" w14:textId="77777777">
        <w:trPr>
          <w:trHeight w:val="403"/>
        </w:trPr>
        <w:tc>
          <w:tcPr>
            <w:tcW w:w="1223" w:type="pct"/>
            <w:shd w:val="clear" w:color="auto" w:fill="B3EDFB"/>
            <w:vAlign w:val="center"/>
          </w:tcPr>
          <w:p w14:paraId="7970074B" w14:textId="77777777" w:rsidR="00DB017B" w:rsidRDefault="0036342A">
            <w:pPr>
              <w:jc w:val="right"/>
              <w:rPr>
                <w:rFonts w:cs="Arial"/>
              </w:rPr>
            </w:pPr>
            <w:r>
              <w:t>Comm Reference:</w:t>
            </w:r>
          </w:p>
        </w:tc>
        <w:tc>
          <w:tcPr>
            <w:tcW w:w="3777" w:type="pct"/>
            <w:vAlign w:val="center"/>
          </w:tcPr>
          <w:p w14:paraId="59D4CDCE" w14:textId="77777777" w:rsidR="00DB017B" w:rsidRDefault="0036342A">
            <w:pPr>
              <w:rPr>
                <w:rFonts w:cs="Arial"/>
              </w:rPr>
            </w:pPr>
            <w:r>
              <w:rPr>
                <w:rFonts w:cs="Arial"/>
                <w:sz w:val="20"/>
                <w:szCs w:val="20"/>
                <w:shd w:val="clear" w:color="auto" w:fill="FFFFFF"/>
              </w:rPr>
              <w:t>3165</w:t>
            </w:r>
            <w:r>
              <w:rPr>
                <w:rFonts w:cs="Arial"/>
                <w:sz w:val="20"/>
                <w:szCs w:val="20"/>
              </w:rPr>
              <w:t>.3 - VO - PO</w:t>
            </w:r>
          </w:p>
        </w:tc>
      </w:tr>
      <w:tr w:rsidR="00DB017B" w14:paraId="4270D8C6" w14:textId="77777777">
        <w:trPr>
          <w:trHeight w:val="403"/>
        </w:trPr>
        <w:tc>
          <w:tcPr>
            <w:tcW w:w="1223" w:type="pct"/>
            <w:shd w:val="clear" w:color="auto" w:fill="B3EDFB"/>
            <w:vAlign w:val="center"/>
          </w:tcPr>
          <w:p w14:paraId="0F5EB929" w14:textId="77777777" w:rsidR="00DB017B" w:rsidRDefault="0036342A">
            <w:pPr>
              <w:jc w:val="right"/>
              <w:rPr>
                <w:rFonts w:cs="Arial"/>
              </w:rPr>
            </w:pPr>
            <w:r>
              <w:t>Comm Title:</w:t>
            </w:r>
          </w:p>
        </w:tc>
        <w:tc>
          <w:tcPr>
            <w:tcW w:w="3777" w:type="pct"/>
            <w:vAlign w:val="center"/>
          </w:tcPr>
          <w:p w14:paraId="3FF2032E" w14:textId="77777777" w:rsidR="00DB017B" w:rsidRDefault="0036342A">
            <w:pPr>
              <w:rPr>
                <w:rFonts w:cs="Arial"/>
              </w:rPr>
            </w:pPr>
            <w:r>
              <w:rPr>
                <w:rFonts w:cs="Arial"/>
              </w:rPr>
              <w:t>XRN5604 - Shipper Agreed Read (SAR) exceptions process (Mod 0811S) – Solution Options</w:t>
            </w:r>
          </w:p>
        </w:tc>
      </w:tr>
      <w:tr w:rsidR="00DB017B" w14:paraId="76400812" w14:textId="77777777">
        <w:trPr>
          <w:trHeight w:val="403"/>
        </w:trPr>
        <w:tc>
          <w:tcPr>
            <w:tcW w:w="1223" w:type="pct"/>
            <w:shd w:val="clear" w:color="auto" w:fill="B3EDFB"/>
            <w:vAlign w:val="center"/>
          </w:tcPr>
          <w:p w14:paraId="7E38EE54" w14:textId="77777777" w:rsidR="00DB017B" w:rsidRDefault="0036342A">
            <w:pPr>
              <w:jc w:val="right"/>
              <w:rPr>
                <w:rFonts w:cs="Arial"/>
              </w:rPr>
            </w:pPr>
            <w:r>
              <w:t>Comm Date:</w:t>
            </w:r>
          </w:p>
        </w:tc>
        <w:tc>
          <w:tcPr>
            <w:tcW w:w="3777" w:type="pct"/>
            <w:vAlign w:val="center"/>
          </w:tcPr>
          <w:sdt>
            <w:sdtPr>
              <w:rPr>
                <w:rFonts w:cs="Arial"/>
              </w:rPr>
              <w:id w:val="-1238475608"/>
              <w:date w:fullDate="2023-04-17T00:00:00Z">
                <w:dateFormat w:val="dd/MM/yyyy"/>
                <w:lid w:val="en-GB"/>
                <w:storeMappedDataAs w:val="dateTime"/>
                <w:calendar w:val="gregorian"/>
              </w:date>
            </w:sdtPr>
            <w:sdtEndPr/>
            <w:sdtContent>
              <w:p w14:paraId="691C1AE1" w14:textId="77777777" w:rsidR="00DB017B" w:rsidRDefault="0036342A">
                <w:r>
                  <w:rPr>
                    <w:rFonts w:cs="Arial"/>
                  </w:rPr>
                  <w:t>17/04/2023</w:t>
                </w:r>
              </w:p>
            </w:sdtContent>
          </w:sdt>
        </w:tc>
      </w:tr>
    </w:tbl>
    <w:p w14:paraId="11828EAE" w14:textId="77777777" w:rsidR="00DB017B" w:rsidRDefault="00DB017B"/>
    <w:p w14:paraId="58A871AA" w14:textId="77777777" w:rsidR="00DB017B" w:rsidRDefault="0036342A">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DB017B" w14:paraId="5A6843D0" w14:textId="77777777">
        <w:trPr>
          <w:trHeight w:val="403"/>
        </w:trPr>
        <w:tc>
          <w:tcPr>
            <w:tcW w:w="1223" w:type="pct"/>
            <w:shd w:val="clear" w:color="auto" w:fill="B3EDFB"/>
            <w:vAlign w:val="center"/>
          </w:tcPr>
          <w:p w14:paraId="511D7966" w14:textId="77777777" w:rsidR="00DB017B" w:rsidRDefault="0036342A">
            <w:pPr>
              <w:jc w:val="right"/>
              <w:rPr>
                <w:rFonts w:cs="Arial"/>
              </w:rPr>
            </w:pPr>
            <w:r>
              <w:rPr>
                <w:rFonts w:cs="Arial"/>
              </w:rPr>
              <w:t>Action Required:</w:t>
            </w:r>
          </w:p>
        </w:tc>
        <w:tc>
          <w:tcPr>
            <w:tcW w:w="3777" w:type="pct"/>
            <w:vAlign w:val="center"/>
          </w:tcPr>
          <w:p w14:paraId="72C71472" w14:textId="77777777" w:rsidR="00DB017B" w:rsidRDefault="0036342A">
            <w:pPr>
              <w:rPr>
                <w:rFonts w:cs="Arial"/>
              </w:rPr>
            </w:pPr>
            <w:r>
              <w:rPr>
                <w:rFonts w:cs="Arial"/>
              </w:rPr>
              <w:t>For Representation</w:t>
            </w:r>
          </w:p>
        </w:tc>
      </w:tr>
      <w:tr w:rsidR="00DB017B" w14:paraId="25B540D5" w14:textId="77777777">
        <w:trPr>
          <w:trHeight w:val="403"/>
        </w:trPr>
        <w:tc>
          <w:tcPr>
            <w:tcW w:w="1223" w:type="pct"/>
            <w:shd w:val="clear" w:color="auto" w:fill="B3EDFB"/>
            <w:vAlign w:val="center"/>
          </w:tcPr>
          <w:p w14:paraId="6CFE59B4" w14:textId="77777777" w:rsidR="00DB017B" w:rsidRDefault="0036342A">
            <w:pPr>
              <w:jc w:val="right"/>
              <w:rPr>
                <w:rFonts w:cs="Arial"/>
              </w:rPr>
            </w:pPr>
            <w:r>
              <w:rPr>
                <w:rFonts w:cs="Arial"/>
              </w:rPr>
              <w:t>Close Out Date:</w:t>
            </w:r>
          </w:p>
        </w:tc>
        <w:tc>
          <w:tcPr>
            <w:tcW w:w="3777" w:type="pct"/>
            <w:vAlign w:val="center"/>
          </w:tcPr>
          <w:sdt>
            <w:sdtPr>
              <w:rPr>
                <w:rFonts w:cs="Arial"/>
              </w:rPr>
              <w:id w:val="2100211890"/>
              <w:date w:fullDate="2023-05-02T00:00:00Z">
                <w:dateFormat w:val="dd/MM/yyyy"/>
                <w:lid w:val="en-GB"/>
                <w:storeMappedDataAs w:val="dateTime"/>
                <w:calendar w:val="gregorian"/>
              </w:date>
            </w:sdtPr>
            <w:sdtEndPr/>
            <w:sdtContent>
              <w:p w14:paraId="74C431BE" w14:textId="77777777" w:rsidR="00DB017B" w:rsidRDefault="0036342A">
                <w:r>
                  <w:rPr>
                    <w:rFonts w:cs="Arial"/>
                  </w:rPr>
                  <w:t>02/05/2023</w:t>
                </w:r>
              </w:p>
            </w:sdtContent>
          </w:sdt>
        </w:tc>
      </w:tr>
    </w:tbl>
    <w:p w14:paraId="3584FA21" w14:textId="77777777" w:rsidR="00DB017B" w:rsidRDefault="0036342A">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DB017B" w14:paraId="52E3B7AF" w14:textId="77777777">
        <w:trPr>
          <w:trHeight w:val="403"/>
        </w:trPr>
        <w:tc>
          <w:tcPr>
            <w:tcW w:w="1223" w:type="pct"/>
            <w:shd w:val="clear" w:color="auto" w:fill="B3EDFB"/>
            <w:vAlign w:val="center"/>
          </w:tcPr>
          <w:p w14:paraId="497C9A28" w14:textId="77777777" w:rsidR="00DB017B" w:rsidRDefault="0036342A">
            <w:pPr>
              <w:jc w:val="right"/>
              <w:rPr>
                <w:rFonts w:cs="Arial"/>
              </w:rPr>
            </w:pPr>
            <w:r>
              <w:rPr>
                <w:rFonts w:cs="Arial"/>
              </w:rPr>
              <w:t xml:space="preserve">Xoserve Reference Number: </w:t>
            </w:r>
          </w:p>
        </w:tc>
        <w:tc>
          <w:tcPr>
            <w:tcW w:w="3777" w:type="pct"/>
            <w:vAlign w:val="center"/>
          </w:tcPr>
          <w:p w14:paraId="4C32C606" w14:textId="77777777" w:rsidR="00DB017B" w:rsidRDefault="0036342A">
            <w:pPr>
              <w:rPr>
                <w:rFonts w:eastAsia="Arial" w:cs="Arial"/>
              </w:rPr>
            </w:pPr>
            <w:hyperlink r:id="rId11">
              <w:r>
                <w:rPr>
                  <w:rStyle w:val="Hyperlink"/>
                  <w:rFonts w:eastAsia="Arial" w:cs="Arial"/>
                </w:rPr>
                <w:t>XRN5604</w:t>
              </w:r>
            </w:hyperlink>
          </w:p>
        </w:tc>
      </w:tr>
      <w:tr w:rsidR="00DB017B" w14:paraId="2826F3DB" w14:textId="77777777">
        <w:trPr>
          <w:trHeight w:val="403"/>
        </w:trPr>
        <w:tc>
          <w:tcPr>
            <w:tcW w:w="1223" w:type="pct"/>
            <w:shd w:val="clear" w:color="auto" w:fill="B3EDFB"/>
            <w:vAlign w:val="center"/>
          </w:tcPr>
          <w:p w14:paraId="050A96CF" w14:textId="77777777" w:rsidR="00DB017B" w:rsidRDefault="0036342A">
            <w:pPr>
              <w:jc w:val="right"/>
              <w:rPr>
                <w:rFonts w:cs="Arial"/>
              </w:rPr>
            </w:pPr>
            <w:r>
              <w:rPr>
                <w:rFonts w:cs="Arial"/>
              </w:rPr>
              <w:t>*ChMC Constituency Impacted:</w:t>
            </w:r>
          </w:p>
        </w:tc>
        <w:tc>
          <w:tcPr>
            <w:tcW w:w="3777" w:type="pct"/>
            <w:vAlign w:val="center"/>
          </w:tcPr>
          <w:p w14:paraId="02483BB3" w14:textId="77777777" w:rsidR="00DB017B" w:rsidRDefault="0036342A">
            <w:pPr>
              <w:rPr>
                <w:rFonts w:cs="Arial"/>
              </w:rPr>
            </w:pPr>
            <w:r>
              <w:rPr>
                <w:rFonts w:cs="Arial"/>
              </w:rPr>
              <w:t>Shipper – All Classes</w:t>
            </w:r>
          </w:p>
        </w:tc>
      </w:tr>
      <w:tr w:rsidR="00DB017B" w14:paraId="2EF3631B" w14:textId="77777777">
        <w:trPr>
          <w:trHeight w:val="403"/>
        </w:trPr>
        <w:tc>
          <w:tcPr>
            <w:tcW w:w="1223" w:type="pct"/>
            <w:shd w:val="clear" w:color="auto" w:fill="B3EDFB"/>
            <w:vAlign w:val="center"/>
          </w:tcPr>
          <w:p w14:paraId="7965EA61" w14:textId="77777777" w:rsidR="00DB017B" w:rsidRDefault="0036342A">
            <w:pPr>
              <w:jc w:val="right"/>
              <w:rPr>
                <w:rFonts w:cs="Arial"/>
              </w:rPr>
            </w:pPr>
            <w:r>
              <w:rPr>
                <w:rFonts w:cs="Arial"/>
              </w:rPr>
              <w:t xml:space="preserve">Change Owner: </w:t>
            </w:r>
          </w:p>
        </w:tc>
        <w:tc>
          <w:tcPr>
            <w:tcW w:w="3777" w:type="pct"/>
            <w:vAlign w:val="center"/>
          </w:tcPr>
          <w:p w14:paraId="55DD8991" w14:textId="77777777" w:rsidR="00DB017B" w:rsidRDefault="0036342A">
            <w:pPr>
              <w:rPr>
                <w:rFonts w:cs="Arial"/>
              </w:rPr>
            </w:pPr>
            <w:hyperlink r:id="rId12">
              <w:r>
                <w:rPr>
                  <w:rStyle w:val="Hyperlink"/>
                  <w:rFonts w:cs="Arial"/>
                </w:rPr>
                <w:t>uklink@xoserve.com</w:t>
              </w:r>
            </w:hyperlink>
            <w:r>
              <w:rPr>
                <w:rFonts w:cs="Arial"/>
              </w:rPr>
              <w:t xml:space="preserve"> </w:t>
            </w:r>
          </w:p>
        </w:tc>
      </w:tr>
      <w:tr w:rsidR="00DB017B" w14:paraId="0B846C82" w14:textId="77777777">
        <w:trPr>
          <w:trHeight w:val="403"/>
        </w:trPr>
        <w:tc>
          <w:tcPr>
            <w:tcW w:w="1223" w:type="pct"/>
            <w:shd w:val="clear" w:color="auto" w:fill="B3EDFB"/>
            <w:vAlign w:val="center"/>
          </w:tcPr>
          <w:p w14:paraId="4A2DDE12" w14:textId="77777777" w:rsidR="00DB017B" w:rsidRDefault="0036342A">
            <w:pPr>
              <w:jc w:val="right"/>
              <w:rPr>
                <w:rFonts w:cs="Arial"/>
              </w:rPr>
            </w:pPr>
            <w:r>
              <w:rPr>
                <w:rFonts w:cs="Arial"/>
              </w:rPr>
              <w:t>Background and Context:</w:t>
            </w:r>
          </w:p>
        </w:tc>
        <w:tc>
          <w:tcPr>
            <w:tcW w:w="3777" w:type="pct"/>
            <w:vAlign w:val="center"/>
          </w:tcPr>
          <w:p w14:paraId="5CAD3B85" w14:textId="77777777" w:rsidR="00DB017B" w:rsidRDefault="0036342A">
            <w:pPr>
              <w:spacing w:before="120"/>
              <w:jc w:val="both"/>
            </w:pPr>
            <w:r>
              <w:t xml:space="preserve">Change XRN5604 has been raised to deliver the requirements of </w:t>
            </w:r>
            <w:hyperlink r:id="rId13">
              <w:r>
                <w:rPr>
                  <w:rStyle w:val="Hyperlink"/>
                </w:rPr>
                <w:t>Modificati</w:t>
              </w:r>
              <w:r>
                <w:rPr>
                  <w:rStyle w:val="Hyperlink"/>
                </w:rPr>
                <w:t>on 0811S - Shipper Agreed Read (SAR) exceptions process</w:t>
              </w:r>
            </w:hyperlink>
            <w:r>
              <w:t>. The modification is to provide a remedy for Shipper Agreed Reads (SARs) that have failed to be progressed (exceptions) within a reasonable period to be proactively managed by the Central Data Service</w:t>
            </w:r>
            <w:r>
              <w:t>s Provider (CDSP).</w:t>
            </w:r>
          </w:p>
          <w:p w14:paraId="7CD13521" w14:textId="77777777" w:rsidR="00DB017B" w:rsidRDefault="00DB017B">
            <w:pPr>
              <w:jc w:val="both"/>
            </w:pPr>
          </w:p>
          <w:p w14:paraId="00F02EB3" w14:textId="77777777" w:rsidR="00DB017B" w:rsidRDefault="0036342A">
            <w:pPr>
              <w:jc w:val="both"/>
            </w:pPr>
            <w:r>
              <w:t>Both Shippers should attempt to amend the transfer read in line with the SAR within 2 months after it was agreed. If this has not occurred, then under this change, the CDSP will be engaged for support to reconcile both sides, in line wi</w:t>
            </w:r>
            <w:r>
              <w:t>th the new agreed transfer read. When the CDSP needs to be contacted for support, the Shipper should provide them with suitable evidence of the new agreed transfer read. The CDSP will notify the non-submitting Shipper of the proposed new agreed transfer re</w:t>
            </w:r>
            <w:r>
              <w:t>ad and will, in the absence of any relevant objection, process this request accordingly.</w:t>
            </w:r>
          </w:p>
          <w:p w14:paraId="193C384F" w14:textId="77777777" w:rsidR="00DB017B" w:rsidRDefault="00DB017B">
            <w:pPr>
              <w:jc w:val="both"/>
            </w:pPr>
          </w:p>
          <w:p w14:paraId="3648F9C8" w14:textId="77777777" w:rsidR="00DB017B" w:rsidRDefault="0036342A">
            <w:pPr>
              <w:jc w:val="both"/>
            </w:pPr>
            <w:r>
              <w:t xml:space="preserve">Currently the incoming Shipper is responsible for replacing the estimated transfer read with the agreed SAR. If this fails to be accepted or is unable to be replaced </w:t>
            </w:r>
            <w:r>
              <w:t>due to incorrect history reads, then both parties should raise a Request for Adjustment (RFA) within 4 days of each other.</w:t>
            </w:r>
          </w:p>
          <w:p w14:paraId="28A32CC9" w14:textId="77777777" w:rsidR="00DB017B" w:rsidRDefault="00DB017B">
            <w:pPr>
              <w:jc w:val="both"/>
              <w:rPr>
                <w:rFonts w:ascii="Calibri" w:hAnsi="Calibri"/>
              </w:rPr>
            </w:pPr>
          </w:p>
          <w:p w14:paraId="16F9E2F4" w14:textId="77777777" w:rsidR="00DB017B" w:rsidRDefault="0036342A">
            <w:pPr>
              <w:spacing w:after="120"/>
              <w:jc w:val="both"/>
            </w:pPr>
            <w:r>
              <w:t xml:space="preserve">However, a Shipper may fail to submit an agreed SAR or raise the required </w:t>
            </w:r>
            <w:r>
              <w:t>RFAs, leading to imbalances for the corresponding Shipper involved in the site transfer.</w:t>
            </w:r>
          </w:p>
        </w:tc>
      </w:tr>
    </w:tbl>
    <w:p w14:paraId="72435DBD" w14:textId="77777777" w:rsidR="00DB017B" w:rsidRDefault="00DB017B"/>
    <w:p w14:paraId="1D700370" w14:textId="77777777" w:rsidR="00DB017B" w:rsidRDefault="0036342A">
      <w:pPr>
        <w:pStyle w:val="Heading1"/>
      </w:pPr>
      <w:r>
        <w:lastRenderedPageBreak/>
        <w:t>Solution Options</w:t>
      </w:r>
    </w:p>
    <w:tbl>
      <w:tblPr>
        <w:tblStyle w:val="TableGrid"/>
        <w:tblW w:w="5018" w:type="pct"/>
        <w:tblInd w:w="-34" w:type="dxa"/>
        <w:tblLayout w:type="fixed"/>
        <w:tblLook w:val="04A0" w:firstRow="1" w:lastRow="0" w:firstColumn="1" w:lastColumn="0" w:noHBand="0" w:noVBand="1"/>
      </w:tblPr>
      <w:tblGrid>
        <w:gridCol w:w="2567"/>
        <w:gridCol w:w="7927"/>
      </w:tblGrid>
      <w:tr w:rsidR="00DB017B" w14:paraId="492EC470" w14:textId="77777777">
        <w:trPr>
          <w:trHeight w:val="802"/>
        </w:trPr>
        <w:tc>
          <w:tcPr>
            <w:tcW w:w="1223" w:type="pct"/>
            <w:shd w:val="clear" w:color="auto" w:fill="B3EDFB"/>
            <w:vAlign w:val="center"/>
          </w:tcPr>
          <w:p w14:paraId="6D40A931" w14:textId="77777777" w:rsidR="00DB017B" w:rsidRDefault="0036342A">
            <w:pPr>
              <w:jc w:val="right"/>
              <w:rPr>
                <w:rFonts w:cs="Arial"/>
              </w:rPr>
            </w:pPr>
            <w:r>
              <w:rPr>
                <w:rFonts w:cs="Arial"/>
              </w:rPr>
              <w:t>Solution Option Summary:</w:t>
            </w:r>
          </w:p>
        </w:tc>
        <w:tc>
          <w:tcPr>
            <w:tcW w:w="3777" w:type="pct"/>
          </w:tcPr>
          <w:p w14:paraId="64A79DE8" w14:textId="77777777" w:rsidR="00DB017B" w:rsidRDefault="0036342A">
            <w:pPr>
              <w:spacing w:before="120"/>
              <w:jc w:val="both"/>
              <w:rPr>
                <w:rFonts w:cs="Arial"/>
              </w:rPr>
            </w:pPr>
            <w:r>
              <w:rPr>
                <w:rFonts w:cs="Arial"/>
              </w:rPr>
              <w:t xml:space="preserve">A single solution option is being proposed to meet the requirements of the Change Proposal. </w:t>
            </w:r>
          </w:p>
          <w:p w14:paraId="0D61B6B5" w14:textId="77777777" w:rsidR="00DB017B" w:rsidRDefault="0036342A">
            <w:pPr>
              <w:spacing w:before="120"/>
              <w:jc w:val="both"/>
              <w:rPr>
                <w:rFonts w:cs="Arial"/>
              </w:rPr>
            </w:pPr>
            <w:r>
              <w:rPr>
                <w:rFonts w:cs="Arial"/>
              </w:rPr>
              <w:t>The Customer Requirements Cata</w:t>
            </w:r>
            <w:r>
              <w:rPr>
                <w:rFonts w:cs="Arial"/>
              </w:rPr>
              <w:t>logue, which the solution option seeks to meet and was presented to the Delivery Sub-Group (DSG) members on 20</w:t>
            </w:r>
            <w:r>
              <w:rPr>
                <w:rFonts w:cs="Arial"/>
                <w:vertAlign w:val="superscript"/>
              </w:rPr>
              <w:t>th</w:t>
            </w:r>
            <w:r>
              <w:rPr>
                <w:rFonts w:cs="Arial"/>
              </w:rPr>
              <w:t xml:space="preserve"> March 2023, is available </w:t>
            </w:r>
            <w:hyperlink r:id="rId14">
              <w:r>
                <w:rPr>
                  <w:rStyle w:val="Hyperlink"/>
                  <w:rFonts w:cs="Arial"/>
                </w:rPr>
                <w:t>here</w:t>
              </w:r>
            </w:hyperlink>
            <w:r>
              <w:rPr>
                <w:rFonts w:cs="Arial"/>
              </w:rPr>
              <w:t>, and is attached below,</w:t>
            </w:r>
            <w:r>
              <w:rPr>
                <w:rFonts w:cs="Arial"/>
              </w:rPr>
              <w:t xml:space="preserve"> as is the detailed High Level Solution Option (HLSO) overview.</w:t>
            </w:r>
          </w:p>
          <w:p w14:paraId="78AB0708" w14:textId="77777777" w:rsidR="00DB017B" w:rsidRDefault="0036342A">
            <w:pPr>
              <w:spacing w:before="120"/>
              <w:jc w:val="both"/>
              <w:rPr>
                <w:rFonts w:cs="Arial"/>
              </w:rPr>
            </w:pPr>
            <w:r>
              <w:rPr>
                <w:rFonts w:cs="Arial"/>
                <w:szCs w:val="20"/>
              </w:rPr>
              <w:object w:dxaOrig="1596" w:dyaOrig="1033" w14:anchorId="1B6B3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15" o:title=""/>
                </v:shape>
                <o:OLEObject Type="Embed" ProgID="Excel.Sheet.12" ShapeID="_x0000_i1025" DrawAspect="Icon" ObjectID="_1745412544" r:id="rId16"/>
              </w:object>
            </w:r>
            <w:r>
              <w:rPr>
                <w:rFonts w:cs="Arial"/>
              </w:rPr>
              <w:t xml:space="preserve"> </w:t>
            </w:r>
            <w:r>
              <w:rPr>
                <w:rFonts w:cs="Arial"/>
              </w:rPr>
              <w:object w:dxaOrig="1539" w:dyaOrig="997" w14:anchorId="7A723BD2">
                <v:shape id="_x0000_i1026" type="#_x0000_t75" style="width:77.25pt;height:49.5pt" o:ole="">
                  <v:imagedata r:id="rId17" o:title=""/>
                </v:shape>
                <o:OLEObject Type="Embed" ProgID="PowerPoint.Show.12" ShapeID="_x0000_i1026" DrawAspect="Icon" ObjectID="_1745412545" r:id="rId18"/>
              </w:object>
            </w:r>
          </w:p>
          <w:p w14:paraId="5439B079" w14:textId="77777777" w:rsidR="00DB017B" w:rsidRDefault="00DB017B">
            <w:pPr>
              <w:jc w:val="both"/>
              <w:rPr>
                <w:rFonts w:cs="Arial"/>
                <w:b/>
                <w:bCs/>
              </w:rPr>
            </w:pPr>
          </w:p>
          <w:p w14:paraId="4433E175" w14:textId="77777777" w:rsidR="00DB017B" w:rsidRDefault="0036342A">
            <w:pPr>
              <w:jc w:val="both"/>
              <w:rPr>
                <w:rFonts w:cs="Arial"/>
                <w:b/>
                <w:bCs/>
              </w:rPr>
            </w:pPr>
            <w:r>
              <w:rPr>
                <w:rFonts w:cs="Arial"/>
                <w:b/>
                <w:bCs/>
              </w:rPr>
              <w:t>Solution Summary</w:t>
            </w:r>
          </w:p>
          <w:p w14:paraId="155D14A2" w14:textId="77777777" w:rsidR="00DB017B" w:rsidRDefault="0036342A">
            <w:pPr>
              <w:jc w:val="both"/>
              <w:rPr>
                <w:rFonts w:cs="Arial"/>
              </w:rPr>
            </w:pPr>
            <w:r>
              <w:rPr>
                <w:rFonts w:cs="Arial"/>
              </w:rPr>
              <w:t>To support the referral style approach defined within the UNC Modification Business Rules, it is proposed that a new</w:t>
            </w:r>
            <w:r>
              <w:rPr>
                <w:rFonts w:cs="Arial"/>
              </w:rPr>
              <w:t xml:space="preserve"> contact type be added to the Contact Management System (CMS). Within this contact, Shippers will be able to submit a Corrective Opening Meter Reading (COMR), be that the outgoing Shipper providing one where the incoming Shipper has failed to provide the S</w:t>
            </w:r>
            <w:r>
              <w:rPr>
                <w:rFonts w:cs="Arial"/>
              </w:rPr>
              <w:t>AR, or the incoming where the SAR breaches the Outer Tolerance/Market Breaker threshold. Initial validation can then be completed and, where the information provided is found to be valid the non-submitting Shipper will be issued a referral.</w:t>
            </w:r>
          </w:p>
          <w:p w14:paraId="2EED3723" w14:textId="77777777" w:rsidR="00DB017B" w:rsidRDefault="00DB017B">
            <w:pPr>
              <w:jc w:val="both"/>
              <w:rPr>
                <w:rFonts w:cs="Arial"/>
              </w:rPr>
            </w:pPr>
          </w:p>
          <w:p w14:paraId="5D68FA9A" w14:textId="77777777" w:rsidR="00DB017B" w:rsidRDefault="0036342A">
            <w:pPr>
              <w:jc w:val="both"/>
              <w:rPr>
                <w:rFonts w:cs="Arial"/>
              </w:rPr>
            </w:pPr>
            <w:r>
              <w:rPr>
                <w:rFonts w:cs="Arial"/>
              </w:rPr>
              <w:t>Initial valida</w:t>
            </w:r>
            <w:r>
              <w:rPr>
                <w:rFonts w:cs="Arial"/>
              </w:rPr>
              <w:t>tion:</w:t>
            </w:r>
          </w:p>
          <w:p w14:paraId="1F62CB53" w14:textId="77777777" w:rsidR="00DB017B" w:rsidRDefault="0036342A">
            <w:pPr>
              <w:pStyle w:val="ListParagraph"/>
              <w:numPr>
                <w:ilvl w:val="0"/>
                <w:numId w:val="1"/>
              </w:numPr>
              <w:jc w:val="both"/>
              <w:rPr>
                <w:rFonts w:cs="Arial"/>
              </w:rPr>
            </w:pPr>
            <w:r>
              <w:rPr>
                <w:rFonts w:cs="Arial"/>
              </w:rPr>
              <w:t>Supply Meter Point is Class 2, 3, or 4</w:t>
            </w:r>
          </w:p>
          <w:p w14:paraId="2C1EFFC7" w14:textId="77777777" w:rsidR="00DB017B" w:rsidRDefault="0036342A">
            <w:pPr>
              <w:pStyle w:val="ListParagraph"/>
              <w:numPr>
                <w:ilvl w:val="0"/>
                <w:numId w:val="1"/>
              </w:numPr>
              <w:jc w:val="both"/>
              <w:rPr>
                <w:rFonts w:cs="Arial"/>
              </w:rPr>
            </w:pPr>
            <w:r>
              <w:rPr>
                <w:rFonts w:cs="Arial"/>
              </w:rPr>
              <w:t>Raising Shipper is a party in the SMP transfer</w:t>
            </w:r>
          </w:p>
          <w:p w14:paraId="3C4739DA" w14:textId="77777777" w:rsidR="00DB017B" w:rsidRDefault="0036342A">
            <w:pPr>
              <w:pStyle w:val="ListParagraph"/>
              <w:numPr>
                <w:ilvl w:val="0"/>
                <w:numId w:val="1"/>
              </w:numPr>
              <w:jc w:val="both"/>
              <w:rPr>
                <w:rFonts w:cs="Arial"/>
              </w:rPr>
            </w:pPr>
            <w:r>
              <w:rPr>
                <w:rFonts w:cs="Arial"/>
              </w:rPr>
              <w:t>The opening read has been satisfied</w:t>
            </w:r>
          </w:p>
          <w:p w14:paraId="138341C1" w14:textId="77777777" w:rsidR="00DB017B" w:rsidRDefault="0036342A">
            <w:pPr>
              <w:pStyle w:val="ListParagraph"/>
              <w:numPr>
                <w:ilvl w:val="0"/>
                <w:numId w:val="1"/>
              </w:numPr>
              <w:jc w:val="both"/>
              <w:rPr>
                <w:rFonts w:cs="Arial"/>
              </w:rPr>
            </w:pPr>
            <w:r>
              <w:rPr>
                <w:rFonts w:cs="Arial"/>
              </w:rPr>
              <w:t>A Shipper Agreed Read has not already been entered into the Supply Point Register</w:t>
            </w:r>
          </w:p>
          <w:p w14:paraId="2D7E4F9F" w14:textId="77777777" w:rsidR="00DB017B" w:rsidRDefault="0036342A">
            <w:pPr>
              <w:pStyle w:val="ListParagraph"/>
              <w:numPr>
                <w:ilvl w:val="0"/>
                <w:numId w:val="1"/>
              </w:numPr>
              <w:jc w:val="both"/>
              <w:rPr>
                <w:rFonts w:cs="Arial"/>
              </w:rPr>
            </w:pPr>
            <w:r>
              <w:rPr>
                <w:rFonts w:cs="Arial"/>
              </w:rPr>
              <w:t>The Shipper transfer took place greater than 2 months prior to the submission</w:t>
            </w:r>
          </w:p>
          <w:p w14:paraId="61C15DAD" w14:textId="77777777" w:rsidR="00DB017B" w:rsidRDefault="0036342A">
            <w:pPr>
              <w:pStyle w:val="ListParagraph"/>
              <w:numPr>
                <w:ilvl w:val="0"/>
                <w:numId w:val="1"/>
              </w:numPr>
              <w:jc w:val="both"/>
              <w:rPr>
                <w:rFonts w:cs="Arial"/>
              </w:rPr>
            </w:pPr>
            <w:r>
              <w:rPr>
                <w:rFonts w:cs="Arial"/>
              </w:rPr>
              <w:t>Where submitted by the incoming Shipper, the Outer Tolerance (Market Breaker) is breached</w:t>
            </w:r>
          </w:p>
          <w:p w14:paraId="5233AAA9" w14:textId="77777777" w:rsidR="00DB017B" w:rsidRDefault="0036342A">
            <w:pPr>
              <w:pStyle w:val="ListParagraph"/>
              <w:numPr>
                <w:ilvl w:val="0"/>
                <w:numId w:val="1"/>
              </w:numPr>
              <w:jc w:val="both"/>
              <w:rPr>
                <w:rFonts w:cs="Arial"/>
              </w:rPr>
            </w:pPr>
            <w:r>
              <w:rPr>
                <w:rFonts w:cs="Arial"/>
              </w:rPr>
              <w:t xml:space="preserve">Where </w:t>
            </w:r>
            <w:r>
              <w:rPr>
                <w:rFonts w:cs="Arial"/>
              </w:rPr>
              <w:t>the submission breaches the Outer Tolerance, the submitting Shipper has acknowledged the breach</w:t>
            </w:r>
          </w:p>
          <w:p w14:paraId="2326F60E" w14:textId="77777777" w:rsidR="00DB017B" w:rsidRDefault="00DB017B">
            <w:pPr>
              <w:jc w:val="both"/>
              <w:rPr>
                <w:rFonts w:cs="Arial"/>
              </w:rPr>
            </w:pPr>
          </w:p>
          <w:p w14:paraId="28BA36B4" w14:textId="77777777" w:rsidR="00DB017B" w:rsidRDefault="0036342A">
            <w:pPr>
              <w:jc w:val="both"/>
              <w:rPr>
                <w:rFonts w:cs="Arial"/>
              </w:rPr>
            </w:pPr>
            <w:r>
              <w:rPr>
                <w:rFonts w:cs="Arial"/>
              </w:rPr>
              <w:t>Once the non-submitting party has been issued with the referral, they will have 20 Supply Point System Business Days within which to challenge/dispute the prop</w:t>
            </w:r>
            <w:r>
              <w:rPr>
                <w:rFonts w:cs="Arial"/>
              </w:rPr>
              <w:t xml:space="preserve">osed read. It should be noted that the only valid reason for challenge, as per the UNC Modification, is that the read has not been agreed to by the non-submitting party (or, in the case of a Supplier of Last Resort event, the </w:t>
            </w:r>
            <w:proofErr w:type="spellStart"/>
            <w:r>
              <w:rPr>
                <w:rFonts w:cs="Arial"/>
              </w:rPr>
              <w:t>SoLR</w:t>
            </w:r>
            <w:proofErr w:type="spellEnd"/>
            <w:r>
              <w:rPr>
                <w:rFonts w:cs="Arial"/>
              </w:rPr>
              <w:t xml:space="preserve"> did not, and does not, ag</w:t>
            </w:r>
            <w:r>
              <w:rPr>
                <w:rFonts w:cs="Arial"/>
              </w:rPr>
              <w:t>ree with the COMR).</w:t>
            </w:r>
          </w:p>
          <w:p w14:paraId="0AD1530A" w14:textId="77777777" w:rsidR="00DB017B" w:rsidRDefault="00DB017B">
            <w:pPr>
              <w:jc w:val="both"/>
              <w:rPr>
                <w:rFonts w:cs="Arial"/>
              </w:rPr>
            </w:pPr>
          </w:p>
          <w:p w14:paraId="1B6B4A3A" w14:textId="77777777" w:rsidR="00DB017B" w:rsidRDefault="0036342A">
            <w:pPr>
              <w:jc w:val="both"/>
              <w:rPr>
                <w:rFonts w:cs="Arial"/>
              </w:rPr>
            </w:pPr>
            <w:r>
              <w:rPr>
                <w:rFonts w:cs="Arial"/>
              </w:rPr>
              <w:t>Where the COMR is not challenged/disputed then the CDSP will seek to update this read to the Supply Point Register. Secondary validation may be required at this point to ensure downstream processes, such as consumption volume calculati</w:t>
            </w:r>
            <w:r>
              <w:rPr>
                <w:rFonts w:cs="Arial"/>
              </w:rPr>
              <w:t xml:space="preserve">ons, reconciliation and AQ calculation, continuing as per existing processes. It is assumed that both the submitting and non-submitting parties will then receive the standard notification of a transfer read </w:t>
            </w:r>
            <w:proofErr w:type="gramStart"/>
            <w:r>
              <w:rPr>
                <w:rFonts w:cs="Arial"/>
              </w:rPr>
              <w:t>i.e.</w:t>
            </w:r>
            <w:proofErr w:type="gramEnd"/>
            <w:r>
              <w:rPr>
                <w:rFonts w:cs="Arial"/>
              </w:rPr>
              <w:t xml:space="preserve"> the Unbundled Read Notification (.URN).</w:t>
            </w:r>
          </w:p>
          <w:p w14:paraId="7E0B5142" w14:textId="77777777" w:rsidR="00DB017B" w:rsidRDefault="00DB017B">
            <w:pPr>
              <w:jc w:val="both"/>
              <w:rPr>
                <w:rFonts w:cs="Arial"/>
                <w:b/>
                <w:bCs/>
              </w:rPr>
            </w:pPr>
          </w:p>
          <w:p w14:paraId="1339480A" w14:textId="77777777" w:rsidR="00DB017B" w:rsidRDefault="00DB017B">
            <w:pPr>
              <w:jc w:val="both"/>
              <w:rPr>
                <w:rFonts w:cs="Arial"/>
                <w:b/>
                <w:bCs/>
              </w:rPr>
            </w:pPr>
          </w:p>
          <w:p w14:paraId="178D733D" w14:textId="77777777" w:rsidR="00DB017B" w:rsidRDefault="00DB017B">
            <w:pPr>
              <w:jc w:val="both"/>
              <w:rPr>
                <w:rFonts w:cs="Arial"/>
                <w:b/>
                <w:bCs/>
              </w:rPr>
            </w:pPr>
          </w:p>
          <w:p w14:paraId="288AA934" w14:textId="77777777" w:rsidR="00DB017B" w:rsidRDefault="0036342A">
            <w:pPr>
              <w:jc w:val="both"/>
              <w:rPr>
                <w:rFonts w:cs="Arial"/>
                <w:b/>
                <w:bCs/>
              </w:rPr>
            </w:pPr>
            <w:r>
              <w:rPr>
                <w:rFonts w:cs="Arial"/>
                <w:b/>
                <w:bCs/>
              </w:rPr>
              <w:lastRenderedPageBreak/>
              <w:t>C</w:t>
            </w:r>
            <w:r>
              <w:rPr>
                <w:rFonts w:cs="Arial"/>
                <w:b/>
                <w:bCs/>
              </w:rPr>
              <w:t>ost and Implementation</w:t>
            </w:r>
          </w:p>
          <w:p w14:paraId="6A89F2A6" w14:textId="77777777" w:rsidR="00DB017B" w:rsidRDefault="0036342A">
            <w:pPr>
              <w:spacing w:after="120"/>
              <w:jc w:val="both"/>
              <w:rPr>
                <w:rFonts w:cs="Arial"/>
              </w:rPr>
            </w:pPr>
            <w:r>
              <w:rPr>
                <w:rFonts w:cs="Arial"/>
              </w:rPr>
              <w:t xml:space="preserve">The proposed solution has a cost range of </w:t>
            </w:r>
            <w:r>
              <w:rPr>
                <w:rFonts w:cs="Arial"/>
                <w:b/>
                <w:bCs/>
              </w:rPr>
              <w:t>£70k – £150k</w:t>
            </w:r>
            <w:r>
              <w:rPr>
                <w:rFonts w:cs="Arial"/>
              </w:rPr>
              <w:t xml:space="preserve"> and would require delivery within a standalone release.</w:t>
            </w:r>
          </w:p>
        </w:tc>
      </w:tr>
      <w:tr w:rsidR="00DB017B" w14:paraId="484D5FB7" w14:textId="77777777">
        <w:trPr>
          <w:trHeight w:val="403"/>
        </w:trPr>
        <w:tc>
          <w:tcPr>
            <w:tcW w:w="1223" w:type="pct"/>
            <w:shd w:val="clear" w:color="auto" w:fill="B3EDFB"/>
            <w:vAlign w:val="center"/>
          </w:tcPr>
          <w:p w14:paraId="2232D960" w14:textId="77777777" w:rsidR="00DB017B" w:rsidRDefault="0036342A">
            <w:pPr>
              <w:jc w:val="right"/>
              <w:rPr>
                <w:rFonts w:cs="Arial"/>
              </w:rPr>
            </w:pPr>
            <w:r>
              <w:rPr>
                <w:rFonts w:cs="Arial"/>
              </w:rPr>
              <w:lastRenderedPageBreak/>
              <w:t>Proposed Implementation Date:</w:t>
            </w:r>
          </w:p>
        </w:tc>
        <w:tc>
          <w:tcPr>
            <w:tcW w:w="3777" w:type="pct"/>
            <w:vAlign w:val="center"/>
          </w:tcPr>
          <w:p w14:paraId="13CA05CE" w14:textId="77777777" w:rsidR="00DB017B" w:rsidRDefault="0036342A">
            <w:pPr>
              <w:rPr>
                <w:rFonts w:cs="Arial"/>
              </w:rPr>
            </w:pPr>
            <w:r>
              <w:rPr>
                <w:rFonts w:cs="Arial"/>
              </w:rPr>
              <w:t>CMS Release, November 2023</w:t>
            </w:r>
          </w:p>
        </w:tc>
      </w:tr>
      <w:tr w:rsidR="00DB017B" w14:paraId="1E4F314D" w14:textId="77777777">
        <w:trPr>
          <w:trHeight w:val="403"/>
        </w:trPr>
        <w:tc>
          <w:tcPr>
            <w:tcW w:w="1223" w:type="pct"/>
            <w:shd w:val="clear" w:color="auto" w:fill="B3EDFB"/>
            <w:vAlign w:val="center"/>
          </w:tcPr>
          <w:p w14:paraId="5B5DCBF1" w14:textId="77777777" w:rsidR="00DB017B" w:rsidRDefault="0036342A">
            <w:pPr>
              <w:jc w:val="right"/>
              <w:rPr>
                <w:rFonts w:cs="Arial"/>
              </w:rPr>
            </w:pPr>
            <w:r>
              <w:rPr>
                <w:rFonts w:cs="Arial"/>
              </w:rPr>
              <w:t>Xoserve preferred option:</w:t>
            </w:r>
          </w:p>
          <w:p w14:paraId="3865BBEF" w14:textId="77777777" w:rsidR="00DB017B" w:rsidRDefault="0036342A">
            <w:pPr>
              <w:jc w:val="right"/>
              <w:rPr>
                <w:rFonts w:cs="Arial"/>
              </w:rPr>
            </w:pPr>
            <w:r>
              <w:rPr>
                <w:rFonts w:cs="Arial"/>
              </w:rPr>
              <w:t>(</w:t>
            </w:r>
            <w:proofErr w:type="gramStart"/>
            <w:r>
              <w:rPr>
                <w:rFonts w:cs="Arial"/>
              </w:rPr>
              <w:t>including</w:t>
            </w:r>
            <w:proofErr w:type="gramEnd"/>
            <w:r>
              <w:rPr>
                <w:rFonts w:cs="Arial"/>
              </w:rPr>
              <w:t xml:space="preserve"> rationale)</w:t>
            </w:r>
          </w:p>
        </w:tc>
        <w:tc>
          <w:tcPr>
            <w:tcW w:w="3777" w:type="pct"/>
            <w:vAlign w:val="center"/>
          </w:tcPr>
          <w:p w14:paraId="31E7A26E" w14:textId="77777777" w:rsidR="00DB017B" w:rsidRDefault="0036342A">
            <w:pPr>
              <w:rPr>
                <w:rFonts w:cs="Arial"/>
              </w:rPr>
            </w:pPr>
            <w:r>
              <w:rPr>
                <w:rFonts w:cs="Arial"/>
              </w:rPr>
              <w:t>Single solution option</w:t>
            </w:r>
          </w:p>
        </w:tc>
      </w:tr>
      <w:tr w:rsidR="00DB017B" w14:paraId="5EE8DEAF" w14:textId="77777777">
        <w:trPr>
          <w:trHeight w:val="403"/>
        </w:trPr>
        <w:tc>
          <w:tcPr>
            <w:tcW w:w="1223" w:type="pct"/>
            <w:shd w:val="clear" w:color="auto" w:fill="B3EDFB"/>
            <w:vAlign w:val="center"/>
          </w:tcPr>
          <w:p w14:paraId="5F231A8E" w14:textId="77777777" w:rsidR="00DB017B" w:rsidRDefault="0036342A">
            <w:pPr>
              <w:jc w:val="right"/>
              <w:rPr>
                <w:rFonts w:cs="Arial"/>
              </w:rPr>
            </w:pPr>
            <w:r>
              <w:rPr>
                <w:rFonts w:cs="Arial"/>
              </w:rPr>
              <w:t>DSG preferred solution option:</w:t>
            </w:r>
          </w:p>
          <w:p w14:paraId="60BEB3A4" w14:textId="77777777" w:rsidR="00DB017B" w:rsidRDefault="0036342A">
            <w:pPr>
              <w:jc w:val="right"/>
              <w:rPr>
                <w:rFonts w:cs="Arial"/>
              </w:rPr>
            </w:pPr>
            <w:r>
              <w:rPr>
                <w:rFonts w:cs="Arial"/>
              </w:rPr>
              <w:t>(</w:t>
            </w:r>
            <w:proofErr w:type="gramStart"/>
            <w:r>
              <w:rPr>
                <w:rFonts w:cs="Arial"/>
              </w:rPr>
              <w:t>including</w:t>
            </w:r>
            <w:proofErr w:type="gramEnd"/>
            <w:r>
              <w:rPr>
                <w:rFonts w:cs="Arial"/>
              </w:rPr>
              <w:t xml:space="preserve"> rationale)</w:t>
            </w:r>
          </w:p>
        </w:tc>
        <w:tc>
          <w:tcPr>
            <w:tcW w:w="3777" w:type="pct"/>
            <w:vAlign w:val="center"/>
          </w:tcPr>
          <w:p w14:paraId="0EFE96AA" w14:textId="77777777" w:rsidR="00DB017B" w:rsidRDefault="0036342A">
            <w:pPr>
              <w:spacing w:before="120"/>
              <w:jc w:val="both"/>
              <w:rPr>
                <w:rFonts w:cs="Arial"/>
              </w:rPr>
            </w:pPr>
            <w:r>
              <w:rPr>
                <w:rFonts w:cs="Arial"/>
              </w:rPr>
              <w:t>Impacted parties are encouraged to attend the Delivery Sub-Group (DSG) on 24</w:t>
            </w:r>
            <w:r>
              <w:rPr>
                <w:rFonts w:cs="Arial"/>
                <w:vertAlign w:val="superscript"/>
              </w:rPr>
              <w:t>th</w:t>
            </w:r>
            <w:r>
              <w:rPr>
                <w:rFonts w:cs="Arial"/>
              </w:rPr>
              <w:t xml:space="preserve"> April 2023, where this Solution Change Pack will be presented for discussion.</w:t>
            </w:r>
          </w:p>
          <w:p w14:paraId="57E6A371" w14:textId="77777777" w:rsidR="00DB017B" w:rsidRDefault="00DB017B">
            <w:pPr>
              <w:jc w:val="both"/>
              <w:rPr>
                <w:rFonts w:cs="Arial"/>
              </w:rPr>
            </w:pPr>
          </w:p>
          <w:p w14:paraId="4618FBEB" w14:textId="77777777" w:rsidR="00DB017B" w:rsidRDefault="0036342A">
            <w:pPr>
              <w:spacing w:after="120"/>
              <w:jc w:val="both"/>
              <w:rPr>
                <w:rFonts w:cs="Arial"/>
              </w:rPr>
            </w:pPr>
            <w:r>
              <w:rPr>
                <w:rFonts w:cs="Arial"/>
              </w:rPr>
              <w:t xml:space="preserve">For more information on April DSG please visit Xoserve.com </w:t>
            </w:r>
            <w:hyperlink r:id="rId19">
              <w:r>
                <w:rPr>
                  <w:rStyle w:val="Hyperlink"/>
                  <w:rFonts w:cs="Arial"/>
                </w:rPr>
                <w:t>here</w:t>
              </w:r>
            </w:hyperlink>
            <w:r>
              <w:rPr>
                <w:rFonts w:cs="Arial"/>
              </w:rPr>
              <w:t xml:space="preserve"> where the session documentation will be added.</w:t>
            </w:r>
          </w:p>
          <w:p w14:paraId="4785465B" w14:textId="77777777" w:rsidR="00DB017B" w:rsidRDefault="0036342A">
            <w:pPr>
              <w:spacing w:after="120"/>
              <w:rPr>
                <w:rFonts w:cs="Arial"/>
              </w:rPr>
            </w:pPr>
            <w:r>
              <w:rPr>
                <w:rFonts w:cs="Arial"/>
              </w:rPr>
              <w:t>If you would like to be added to the DSG invite list, p</w:t>
            </w:r>
            <w:r>
              <w:rPr>
                <w:rFonts w:cs="Arial"/>
              </w:rPr>
              <w:t xml:space="preserve">lease contact us at </w:t>
            </w:r>
            <w:hyperlink r:id="rId20">
              <w:r>
                <w:rPr>
                  <w:rStyle w:val="Hyperlink"/>
                  <w:rFonts w:cs="Arial"/>
                </w:rPr>
                <w:t>uklink@xoserve.com</w:t>
              </w:r>
            </w:hyperlink>
          </w:p>
        </w:tc>
      </w:tr>
    </w:tbl>
    <w:p w14:paraId="26B3C04F" w14:textId="77777777" w:rsidR="00DB017B" w:rsidRDefault="00DB017B"/>
    <w:p w14:paraId="58E55D48" w14:textId="77777777" w:rsidR="00DB017B" w:rsidRDefault="0036342A">
      <w:pPr>
        <w:pStyle w:val="Heading1"/>
        <w:rPr>
          <w:b w:val="0"/>
          <w:bCs w:val="0"/>
        </w:rPr>
      </w:pPr>
      <w:r>
        <w:t>Service Lines and Funding</w:t>
      </w:r>
    </w:p>
    <w:tbl>
      <w:tblPr>
        <w:tblStyle w:val="TableGrid"/>
        <w:tblW w:w="5018" w:type="pct"/>
        <w:tblInd w:w="-34" w:type="dxa"/>
        <w:tblLayout w:type="fixed"/>
        <w:tblLook w:val="04A0" w:firstRow="1" w:lastRow="0" w:firstColumn="1" w:lastColumn="0" w:noHBand="0" w:noVBand="1"/>
      </w:tblPr>
      <w:tblGrid>
        <w:gridCol w:w="2567"/>
        <w:gridCol w:w="7927"/>
      </w:tblGrid>
      <w:tr w:rsidR="00DB017B" w14:paraId="3CB5BA2F" w14:textId="77777777">
        <w:trPr>
          <w:trHeight w:val="403"/>
        </w:trPr>
        <w:tc>
          <w:tcPr>
            <w:tcW w:w="1223" w:type="pct"/>
            <w:shd w:val="clear" w:color="auto" w:fill="B3EDFB"/>
            <w:vAlign w:val="center"/>
          </w:tcPr>
          <w:p w14:paraId="7238710A" w14:textId="77777777" w:rsidR="00DB017B" w:rsidRDefault="0036342A">
            <w:pPr>
              <w:jc w:val="right"/>
              <w:rPr>
                <w:rFonts w:cs="Arial"/>
              </w:rPr>
            </w:pPr>
            <w:r>
              <w:rPr>
                <w:rFonts w:cs="Arial"/>
              </w:rPr>
              <w:t>Service Line(s) Impacted - New or existing</w:t>
            </w:r>
          </w:p>
        </w:tc>
        <w:tc>
          <w:tcPr>
            <w:tcW w:w="3777" w:type="pct"/>
            <w:vAlign w:val="center"/>
          </w:tcPr>
          <w:p w14:paraId="7A557D52" w14:textId="77777777" w:rsidR="00DB017B" w:rsidRDefault="0036342A">
            <w:pPr>
              <w:rPr>
                <w:rFonts w:cs="Arial"/>
              </w:rPr>
            </w:pPr>
            <w:r>
              <w:rPr>
                <w:rFonts w:cs="Arial"/>
              </w:rPr>
              <w:t>New service line expected to be added to Service Area 1</w:t>
            </w:r>
          </w:p>
        </w:tc>
      </w:tr>
      <w:tr w:rsidR="00DB017B" w14:paraId="13CEA7EC" w14:textId="77777777">
        <w:trPr>
          <w:trHeight w:val="403"/>
        </w:trPr>
        <w:tc>
          <w:tcPr>
            <w:tcW w:w="1223" w:type="pct"/>
            <w:shd w:val="clear" w:color="auto" w:fill="B3EDFB"/>
            <w:vAlign w:val="center"/>
          </w:tcPr>
          <w:p w14:paraId="22B47F9B" w14:textId="77777777" w:rsidR="00DB017B" w:rsidRDefault="0036342A">
            <w:pPr>
              <w:jc w:val="right"/>
              <w:rPr>
                <w:rFonts w:cs="Arial"/>
              </w:rPr>
            </w:pPr>
            <w:r>
              <w:rPr>
                <w:rFonts w:cs="Arial"/>
              </w:rPr>
              <w:t>Level of Impact</w:t>
            </w:r>
          </w:p>
        </w:tc>
        <w:tc>
          <w:tcPr>
            <w:tcW w:w="3777" w:type="pct"/>
            <w:vAlign w:val="center"/>
          </w:tcPr>
          <w:p w14:paraId="019031AF" w14:textId="77777777" w:rsidR="00DB017B" w:rsidRDefault="0036342A">
            <w:pPr>
              <w:rPr>
                <w:rFonts w:cs="Arial"/>
                <w:color w:val="808080"/>
              </w:rPr>
            </w:pPr>
            <w:r>
              <w:rPr>
                <w:rFonts w:cs="Arial"/>
              </w:rPr>
              <w:t>Minor</w:t>
            </w:r>
          </w:p>
        </w:tc>
      </w:tr>
      <w:tr w:rsidR="00DB017B" w14:paraId="12DD710C" w14:textId="77777777">
        <w:trPr>
          <w:trHeight w:val="403"/>
        </w:trPr>
        <w:tc>
          <w:tcPr>
            <w:tcW w:w="1223" w:type="pct"/>
            <w:shd w:val="clear" w:color="auto" w:fill="B3EDFB"/>
            <w:vAlign w:val="center"/>
          </w:tcPr>
          <w:p w14:paraId="7A0CB5B0" w14:textId="77777777" w:rsidR="00DB017B" w:rsidRDefault="0036342A">
            <w:pPr>
              <w:jc w:val="right"/>
              <w:rPr>
                <w:rFonts w:cs="Arial"/>
              </w:rPr>
            </w:pPr>
            <w:r>
              <w:rPr>
                <w:rFonts w:cs="Arial"/>
              </w:rPr>
              <w:t xml:space="preserve">Impacts on UK Link Manual/ Data Permissions Matrix  </w:t>
            </w:r>
          </w:p>
        </w:tc>
        <w:tc>
          <w:tcPr>
            <w:tcW w:w="3777" w:type="pct"/>
            <w:vAlign w:val="center"/>
          </w:tcPr>
          <w:p w14:paraId="54A32C0A" w14:textId="77777777" w:rsidR="00DB017B" w:rsidRDefault="0036342A">
            <w:pPr>
              <w:rPr>
                <w:rFonts w:cs="Arial"/>
                <w:color w:val="808080"/>
              </w:rPr>
            </w:pPr>
            <w:r>
              <w:rPr>
                <w:rFonts w:cs="Arial"/>
                <w:color w:val="808080"/>
              </w:rPr>
              <w:t>None</w:t>
            </w:r>
          </w:p>
        </w:tc>
      </w:tr>
    </w:tbl>
    <w:p w14:paraId="5446A509" w14:textId="77777777" w:rsidR="00DB017B" w:rsidRDefault="0036342A">
      <w:r>
        <w:br w:type="page"/>
      </w:r>
    </w:p>
    <w:p w14:paraId="353635A5" w14:textId="77777777" w:rsidR="00DB017B" w:rsidRDefault="0036342A">
      <w:pPr>
        <w:pStyle w:val="Title"/>
      </w:pPr>
      <w:r>
        <w:lastRenderedPageBreak/>
        <w:t>Industry Response Solution Options Review</w:t>
      </w:r>
    </w:p>
    <w:p w14:paraId="7BB4B994" w14:textId="77777777" w:rsidR="00DB017B" w:rsidRDefault="0036342A">
      <w:pPr>
        <w:pStyle w:val="Heading1"/>
      </w:pPr>
      <w:r>
        <w:t>Organisation’s preferred solution option</w:t>
      </w:r>
    </w:p>
    <w:tbl>
      <w:tblPr>
        <w:tblStyle w:val="TableGrid"/>
        <w:tblW w:w="5018" w:type="pct"/>
        <w:tblInd w:w="-34" w:type="dxa"/>
        <w:tblLayout w:type="fixed"/>
        <w:tblLook w:val="04A0" w:firstRow="1" w:lastRow="0" w:firstColumn="1" w:lastColumn="0" w:noHBand="0" w:noVBand="1"/>
      </w:tblPr>
      <w:tblGrid>
        <w:gridCol w:w="2566"/>
        <w:gridCol w:w="1925"/>
        <w:gridCol w:w="6003"/>
      </w:tblGrid>
      <w:tr w:rsidR="00DB017B" w14:paraId="25C784ED" w14:textId="77777777">
        <w:trPr>
          <w:trHeight w:val="403"/>
        </w:trPr>
        <w:tc>
          <w:tcPr>
            <w:tcW w:w="1223" w:type="pct"/>
            <w:vMerge w:val="restart"/>
            <w:shd w:val="clear" w:color="auto" w:fill="B3EDFB"/>
            <w:vAlign w:val="center"/>
          </w:tcPr>
          <w:p w14:paraId="5F405D46" w14:textId="77777777" w:rsidR="00DB017B" w:rsidRDefault="0036342A">
            <w:pPr>
              <w:jc w:val="right"/>
              <w:rPr>
                <w:rFonts w:cs="Arial"/>
              </w:rPr>
            </w:pPr>
            <w:r>
              <w:rPr>
                <w:rFonts w:cs="Arial"/>
              </w:rPr>
              <w:t>User Contact Details:</w:t>
            </w:r>
          </w:p>
        </w:tc>
        <w:tc>
          <w:tcPr>
            <w:tcW w:w="917" w:type="pct"/>
            <w:shd w:val="clear" w:color="auto" w:fill="B3EDFB"/>
            <w:vAlign w:val="center"/>
          </w:tcPr>
          <w:p w14:paraId="43471FAB" w14:textId="77777777" w:rsidR="00DB017B" w:rsidRDefault="0036342A">
            <w:pPr>
              <w:jc w:val="right"/>
              <w:rPr>
                <w:rFonts w:cs="Arial"/>
              </w:rPr>
            </w:pPr>
            <w:r>
              <w:rPr>
                <w:rFonts w:cs="Arial"/>
              </w:rPr>
              <w:t>Organisati</w:t>
            </w:r>
            <w:r>
              <w:rPr>
                <w:rFonts w:cs="Arial"/>
              </w:rPr>
              <w:t>on:</w:t>
            </w:r>
          </w:p>
        </w:tc>
        <w:tc>
          <w:tcPr>
            <w:tcW w:w="2860" w:type="pct"/>
            <w:vAlign w:val="center"/>
          </w:tcPr>
          <w:p w14:paraId="1A96C9C7" w14:textId="77777777" w:rsidR="00DB017B" w:rsidRDefault="0036342A">
            <w:pPr>
              <w:rPr>
                <w:rFonts w:cs="Arial"/>
              </w:rPr>
            </w:pPr>
            <w:r>
              <w:rPr>
                <w:rFonts w:cs="Arial"/>
              </w:rPr>
              <w:t>SEFE Energy</w:t>
            </w:r>
          </w:p>
        </w:tc>
      </w:tr>
      <w:tr w:rsidR="00DB017B" w14:paraId="6F331D9E" w14:textId="77777777">
        <w:trPr>
          <w:trHeight w:val="403"/>
        </w:trPr>
        <w:tc>
          <w:tcPr>
            <w:tcW w:w="1223" w:type="pct"/>
            <w:vMerge/>
            <w:shd w:val="clear" w:color="auto" w:fill="B3EDFB"/>
            <w:vAlign w:val="center"/>
          </w:tcPr>
          <w:p w14:paraId="72434353" w14:textId="77777777" w:rsidR="00DB017B" w:rsidRDefault="00DB017B"/>
        </w:tc>
        <w:tc>
          <w:tcPr>
            <w:tcW w:w="917" w:type="pct"/>
            <w:shd w:val="clear" w:color="auto" w:fill="B3EDFB"/>
            <w:vAlign w:val="center"/>
          </w:tcPr>
          <w:p w14:paraId="197AAF15" w14:textId="77777777" w:rsidR="00DB017B" w:rsidRDefault="0036342A">
            <w:pPr>
              <w:jc w:val="right"/>
              <w:rPr>
                <w:rFonts w:cs="Arial"/>
              </w:rPr>
            </w:pPr>
            <w:r>
              <w:rPr>
                <w:rFonts w:cs="Arial"/>
              </w:rPr>
              <w:t>Name:</w:t>
            </w:r>
          </w:p>
        </w:tc>
        <w:tc>
          <w:tcPr>
            <w:tcW w:w="2860" w:type="pct"/>
            <w:vAlign w:val="center"/>
          </w:tcPr>
          <w:p w14:paraId="129B69B6" w14:textId="77777777" w:rsidR="00DB017B" w:rsidRDefault="0036342A">
            <w:pPr>
              <w:rPr>
                <w:rFonts w:cs="Arial"/>
              </w:rPr>
            </w:pPr>
            <w:r>
              <w:rPr>
                <w:rFonts w:cs="Arial"/>
              </w:rPr>
              <w:t>Lisa Saycell</w:t>
            </w:r>
          </w:p>
        </w:tc>
      </w:tr>
      <w:tr w:rsidR="00DB017B" w14:paraId="717AEAE2" w14:textId="77777777">
        <w:trPr>
          <w:trHeight w:val="403"/>
        </w:trPr>
        <w:tc>
          <w:tcPr>
            <w:tcW w:w="1223" w:type="pct"/>
            <w:vMerge/>
            <w:shd w:val="clear" w:color="auto" w:fill="B3EDFB"/>
            <w:vAlign w:val="center"/>
          </w:tcPr>
          <w:p w14:paraId="17042093" w14:textId="77777777" w:rsidR="00DB017B" w:rsidRDefault="00DB017B"/>
        </w:tc>
        <w:tc>
          <w:tcPr>
            <w:tcW w:w="917" w:type="pct"/>
            <w:shd w:val="clear" w:color="auto" w:fill="B3EDFB"/>
            <w:vAlign w:val="center"/>
          </w:tcPr>
          <w:p w14:paraId="146269B8" w14:textId="77777777" w:rsidR="00DB017B" w:rsidRDefault="0036342A">
            <w:pPr>
              <w:jc w:val="right"/>
              <w:rPr>
                <w:rFonts w:cs="Arial"/>
              </w:rPr>
            </w:pPr>
            <w:r>
              <w:rPr>
                <w:rFonts w:cs="Arial"/>
              </w:rPr>
              <w:t>Email:</w:t>
            </w:r>
          </w:p>
        </w:tc>
        <w:tc>
          <w:tcPr>
            <w:tcW w:w="2860" w:type="pct"/>
            <w:vAlign w:val="center"/>
          </w:tcPr>
          <w:p w14:paraId="1E7E61CE" w14:textId="77777777" w:rsidR="00DB017B" w:rsidRDefault="0036342A">
            <w:pPr>
              <w:rPr>
                <w:rFonts w:cs="Arial"/>
              </w:rPr>
            </w:pPr>
            <w:r>
              <w:rPr>
                <w:rFonts w:cs="Arial"/>
              </w:rPr>
              <w:t>lisa.saycell@sefe-energy.com</w:t>
            </w:r>
          </w:p>
        </w:tc>
      </w:tr>
      <w:tr w:rsidR="00DB017B" w14:paraId="24C32A96" w14:textId="77777777">
        <w:trPr>
          <w:trHeight w:val="403"/>
        </w:trPr>
        <w:tc>
          <w:tcPr>
            <w:tcW w:w="1223" w:type="pct"/>
            <w:vMerge/>
            <w:shd w:val="clear" w:color="auto" w:fill="B3EDFB"/>
            <w:vAlign w:val="center"/>
          </w:tcPr>
          <w:p w14:paraId="1391D225" w14:textId="77777777" w:rsidR="00DB017B" w:rsidRDefault="00DB017B"/>
        </w:tc>
        <w:tc>
          <w:tcPr>
            <w:tcW w:w="917" w:type="pct"/>
            <w:shd w:val="clear" w:color="auto" w:fill="B3EDFB"/>
            <w:vAlign w:val="center"/>
          </w:tcPr>
          <w:p w14:paraId="5C379A99" w14:textId="77777777" w:rsidR="00DB017B" w:rsidRDefault="0036342A">
            <w:pPr>
              <w:jc w:val="right"/>
              <w:rPr>
                <w:rFonts w:cs="Arial"/>
              </w:rPr>
            </w:pPr>
            <w:r>
              <w:rPr>
                <w:rFonts w:cs="Arial"/>
              </w:rPr>
              <w:t>Telephone:</w:t>
            </w:r>
          </w:p>
        </w:tc>
        <w:tc>
          <w:tcPr>
            <w:tcW w:w="2860" w:type="pct"/>
            <w:vAlign w:val="center"/>
          </w:tcPr>
          <w:p w14:paraId="5C32D285" w14:textId="77777777" w:rsidR="00DB017B" w:rsidRDefault="0036342A">
            <w:pPr>
              <w:rPr>
                <w:rFonts w:cs="Arial"/>
              </w:rPr>
            </w:pPr>
            <w:r>
              <w:rPr>
                <w:rFonts w:cs="Arial"/>
              </w:rPr>
              <w:t>07860408770</w:t>
            </w:r>
          </w:p>
        </w:tc>
      </w:tr>
      <w:tr w:rsidR="00DB017B" w14:paraId="7E51F88E" w14:textId="77777777">
        <w:trPr>
          <w:trHeight w:val="1137"/>
        </w:trPr>
        <w:tc>
          <w:tcPr>
            <w:tcW w:w="1223" w:type="pct"/>
            <w:shd w:val="clear" w:color="auto" w:fill="B3EDFB"/>
            <w:vAlign w:val="center"/>
          </w:tcPr>
          <w:p w14:paraId="6E45700A" w14:textId="77777777" w:rsidR="00DB017B" w:rsidRDefault="0036342A">
            <w:pPr>
              <w:jc w:val="right"/>
              <w:rPr>
                <w:rFonts w:cs="Arial"/>
              </w:rPr>
            </w:pPr>
            <w:r>
              <w:rPr>
                <w:rFonts w:cs="Arial"/>
              </w:rPr>
              <w:t xml:space="preserve">Organisation’s preferred solution option, including rationale </w:t>
            </w:r>
            <w:proofErr w:type="gramStart"/>
            <w:r>
              <w:rPr>
                <w:rFonts w:cs="Arial"/>
              </w:rPr>
              <w:t>taking into account</w:t>
            </w:r>
            <w:proofErr w:type="gramEnd"/>
            <w:r>
              <w:rPr>
                <w:rFonts w:cs="Arial"/>
              </w:rPr>
              <w:t xml:space="preserve"> costs, risks, resource etc.</w:t>
            </w:r>
          </w:p>
        </w:tc>
        <w:tc>
          <w:tcPr>
            <w:tcW w:w="3777" w:type="pct"/>
            <w:gridSpan w:val="2"/>
            <w:vAlign w:val="center"/>
          </w:tcPr>
          <w:p w14:paraId="78E82EA2" w14:textId="77777777" w:rsidR="00DB017B" w:rsidRDefault="0036342A">
            <w:pPr>
              <w:rPr>
                <w:rFonts w:cs="Arial"/>
              </w:rPr>
            </w:pPr>
            <w:r>
              <w:rPr>
                <w:rFonts w:cs="Arial"/>
              </w:rPr>
              <w:t xml:space="preserve">Please can you advise through what mechanism a non-submitting shipper will be notified of a replacement read? It is possible that shippers will submit all </w:t>
            </w:r>
            <w:proofErr w:type="spellStart"/>
            <w:proofErr w:type="gramStart"/>
            <w:r>
              <w:rPr>
                <w:rFonts w:cs="Arial"/>
              </w:rPr>
              <w:t>there</w:t>
            </w:r>
            <w:proofErr w:type="spellEnd"/>
            <w:proofErr w:type="gramEnd"/>
            <w:r>
              <w:rPr>
                <w:rFonts w:cs="Arial"/>
              </w:rPr>
              <w:t xml:space="preserve"> historical reads at go live, which could go back to LIS and create scenarios where the non-subm</w:t>
            </w:r>
            <w:r>
              <w:rPr>
                <w:rFonts w:cs="Arial"/>
              </w:rPr>
              <w:t xml:space="preserve">itting shipper is unable to validate the data within the 20 working day timescales. What mitigation can be implemented to prevent this scenario? </w:t>
            </w:r>
            <w:r>
              <w:rPr>
                <w:rFonts w:cs="Arial"/>
              </w:rPr>
              <w:br/>
            </w:r>
            <w:r>
              <w:rPr>
                <w:rFonts w:cs="Arial"/>
              </w:rPr>
              <w:br/>
              <w:t>Also confirmed target release date, however non provided in the change pack.</w:t>
            </w:r>
            <w:r>
              <w:rPr>
                <w:rFonts w:cs="Arial"/>
              </w:rPr>
              <w:br/>
            </w:r>
            <w:r>
              <w:rPr>
                <w:rFonts w:cs="Arial"/>
              </w:rPr>
              <w:br/>
              <w:t xml:space="preserve">Deferred DSG solution as </w:t>
            </w:r>
          </w:p>
        </w:tc>
      </w:tr>
      <w:tr w:rsidR="00DB017B" w14:paraId="3E6A9A78" w14:textId="77777777">
        <w:trPr>
          <w:trHeight w:val="403"/>
        </w:trPr>
        <w:tc>
          <w:tcPr>
            <w:tcW w:w="1223" w:type="pct"/>
            <w:shd w:val="clear" w:color="auto" w:fill="B3EDFB"/>
            <w:vAlign w:val="center"/>
          </w:tcPr>
          <w:p w14:paraId="29B95B98" w14:textId="77777777" w:rsidR="00DB017B" w:rsidRDefault="0036342A">
            <w:pPr>
              <w:jc w:val="right"/>
              <w:rPr>
                <w:rFonts w:cs="Arial"/>
              </w:rPr>
            </w:pPr>
            <w:r>
              <w:rPr>
                <w:rFonts w:cs="Arial"/>
              </w:rPr>
              <w:t>Impl</w:t>
            </w:r>
            <w:r>
              <w:rPr>
                <w:rFonts w:cs="Arial"/>
              </w:rPr>
              <w:t>ementation Date:</w:t>
            </w:r>
          </w:p>
        </w:tc>
        <w:tc>
          <w:tcPr>
            <w:tcW w:w="3777" w:type="pct"/>
            <w:gridSpan w:val="2"/>
            <w:vAlign w:val="center"/>
          </w:tcPr>
          <w:p w14:paraId="46FBA15F" w14:textId="77777777" w:rsidR="00DB017B" w:rsidRDefault="0036342A">
            <w:pPr>
              <w:rPr>
                <w:rFonts w:cs="Arial"/>
              </w:rPr>
            </w:pPr>
            <w:r>
              <w:rPr>
                <w:rFonts w:cs="Arial"/>
              </w:rPr>
              <w:t>approved</w:t>
            </w:r>
          </w:p>
        </w:tc>
      </w:tr>
      <w:tr w:rsidR="00DB017B" w14:paraId="35E02F9F" w14:textId="77777777">
        <w:trPr>
          <w:trHeight w:val="403"/>
        </w:trPr>
        <w:tc>
          <w:tcPr>
            <w:tcW w:w="1223" w:type="pct"/>
            <w:shd w:val="clear" w:color="auto" w:fill="B3EDFB"/>
            <w:vAlign w:val="center"/>
          </w:tcPr>
          <w:p w14:paraId="1AB4C915" w14:textId="77777777" w:rsidR="00DB017B" w:rsidRDefault="0036342A">
            <w:pPr>
              <w:jc w:val="right"/>
              <w:rPr>
                <w:rFonts w:cs="Arial"/>
              </w:rPr>
            </w:pPr>
            <w:r>
              <w:rPr>
                <w:rFonts w:cs="Arial"/>
              </w:rPr>
              <w:t>Xoserve preferred solution option:</w:t>
            </w:r>
          </w:p>
        </w:tc>
        <w:tc>
          <w:tcPr>
            <w:tcW w:w="3777" w:type="pct"/>
            <w:gridSpan w:val="2"/>
            <w:vAlign w:val="center"/>
          </w:tcPr>
          <w:p w14:paraId="2492FC27" w14:textId="77777777" w:rsidR="00DB017B" w:rsidRDefault="0036342A">
            <w:pPr>
              <w:rPr>
                <w:rFonts w:cs="Arial"/>
              </w:rPr>
            </w:pPr>
            <w:r>
              <w:rPr>
                <w:rFonts w:cs="Arial"/>
              </w:rPr>
              <w:t>approved</w:t>
            </w:r>
          </w:p>
        </w:tc>
      </w:tr>
      <w:tr w:rsidR="00DB017B" w14:paraId="4E69DAC8" w14:textId="77777777">
        <w:trPr>
          <w:trHeight w:val="403"/>
        </w:trPr>
        <w:tc>
          <w:tcPr>
            <w:tcW w:w="1223" w:type="pct"/>
            <w:shd w:val="clear" w:color="auto" w:fill="B3EDFB"/>
            <w:vAlign w:val="center"/>
          </w:tcPr>
          <w:p w14:paraId="748FBD3A" w14:textId="77777777" w:rsidR="00DB017B" w:rsidRDefault="0036342A">
            <w:pPr>
              <w:jc w:val="right"/>
              <w:rPr>
                <w:rFonts w:cs="Arial"/>
              </w:rPr>
            </w:pPr>
            <w:r>
              <w:rPr>
                <w:rFonts w:cs="Arial"/>
              </w:rPr>
              <w:t>DSG preferred solution option:</w:t>
            </w:r>
          </w:p>
        </w:tc>
        <w:tc>
          <w:tcPr>
            <w:tcW w:w="3777" w:type="pct"/>
            <w:gridSpan w:val="2"/>
            <w:vAlign w:val="center"/>
          </w:tcPr>
          <w:p w14:paraId="495B4B70" w14:textId="77777777" w:rsidR="00DB017B" w:rsidRDefault="0036342A">
            <w:pPr>
              <w:rPr>
                <w:rFonts w:cs="Arial"/>
              </w:rPr>
            </w:pPr>
            <w:r>
              <w:rPr>
                <w:rFonts w:cs="Arial"/>
              </w:rPr>
              <w:t>approved</w:t>
            </w:r>
          </w:p>
        </w:tc>
      </w:tr>
      <w:tr w:rsidR="00DB017B" w14:paraId="23E0E8FD" w14:textId="77777777">
        <w:trPr>
          <w:trHeight w:val="403"/>
        </w:trPr>
        <w:tc>
          <w:tcPr>
            <w:tcW w:w="1223" w:type="pct"/>
            <w:shd w:val="clear" w:color="auto" w:fill="B3EDFB"/>
            <w:vAlign w:val="center"/>
          </w:tcPr>
          <w:p w14:paraId="4DFB155B" w14:textId="77777777" w:rsidR="00DB017B" w:rsidRDefault="0036342A">
            <w:pPr>
              <w:jc w:val="right"/>
              <w:rPr>
                <w:rFonts w:cs="Arial"/>
              </w:rPr>
            </w:pPr>
            <w:r>
              <w:rPr>
                <w:rFonts w:cs="Arial"/>
              </w:rPr>
              <w:t>Publication of consultation response:</w:t>
            </w:r>
          </w:p>
        </w:tc>
        <w:tc>
          <w:tcPr>
            <w:tcW w:w="3777" w:type="pct"/>
            <w:gridSpan w:val="2"/>
            <w:vAlign w:val="center"/>
          </w:tcPr>
          <w:p w14:paraId="346F10B6" w14:textId="77777777" w:rsidR="00DB017B" w:rsidRDefault="0036342A">
            <w:pPr>
              <w:rPr>
                <w:rFonts w:cs="Arial"/>
              </w:rPr>
            </w:pPr>
            <w:r>
              <w:rPr>
                <w:rFonts w:cs="Arial"/>
              </w:rPr>
              <w:t>N/A</w:t>
            </w:r>
          </w:p>
        </w:tc>
      </w:tr>
    </w:tbl>
    <w:p w14:paraId="065707B5" w14:textId="77777777" w:rsidR="00DB017B" w:rsidRDefault="0036342A">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DB017B" w14:paraId="74358B66" w14:textId="77777777">
        <w:trPr>
          <w:trHeight w:val="663"/>
        </w:trPr>
        <w:tc>
          <w:tcPr>
            <w:tcW w:w="1223" w:type="pct"/>
            <w:shd w:val="clear" w:color="auto" w:fill="B3EDFB"/>
            <w:vAlign w:val="center"/>
          </w:tcPr>
          <w:p w14:paraId="53CF5D68" w14:textId="77777777" w:rsidR="00DB017B" w:rsidRDefault="0036342A">
            <w:pPr>
              <w:jc w:val="right"/>
              <w:rPr>
                <w:rFonts w:cs="Arial"/>
              </w:rPr>
            </w:pPr>
            <w:r>
              <w:rPr>
                <w:rFonts w:cs="Arial"/>
              </w:rPr>
              <w:t>Xoserve Response to Organisations Comments:</w:t>
            </w:r>
          </w:p>
        </w:tc>
        <w:tc>
          <w:tcPr>
            <w:tcW w:w="3777" w:type="pct"/>
            <w:vAlign w:val="center"/>
          </w:tcPr>
          <w:p w14:paraId="553F3087" w14:textId="77777777" w:rsidR="00DB017B" w:rsidRDefault="0036342A">
            <w:pPr>
              <w:rPr>
                <w:rFonts w:cs="Arial"/>
              </w:rPr>
            </w:pPr>
            <w:r>
              <w:rPr>
                <w:rFonts w:cs="Arial"/>
              </w:rPr>
              <w:t>Thank you for your representation.</w:t>
            </w:r>
            <w:r>
              <w:rPr>
                <w:rFonts w:cs="Arial"/>
              </w:rPr>
              <w:br/>
            </w:r>
            <w:r>
              <w:rPr>
                <w:rFonts w:cs="Arial"/>
              </w:rPr>
              <w:br/>
              <w:t>The method of notification has not been defined at this point however is expected to utilise existing [new] CMS capabilities which currently requires Users to monitor contacts by logging in to the system. There is potent</w:t>
            </w:r>
            <w:r>
              <w:rPr>
                <w:rFonts w:cs="Arial"/>
              </w:rPr>
              <w:t>ial for the contact notification functionality within [new] CMS to expand in future however the details of this, and timeline, are not currently defined.</w:t>
            </w:r>
            <w:r>
              <w:rPr>
                <w:rFonts w:cs="Arial"/>
              </w:rPr>
              <w:br/>
            </w:r>
            <w:r>
              <w:rPr>
                <w:rFonts w:cs="Arial"/>
              </w:rPr>
              <w:br/>
              <w:t xml:space="preserve">As part of the design and implementation activities for this </w:t>
            </w:r>
            <w:proofErr w:type="gramStart"/>
            <w:r>
              <w:rPr>
                <w:rFonts w:cs="Arial"/>
              </w:rPr>
              <w:t>change</w:t>
            </w:r>
            <w:proofErr w:type="gramEnd"/>
            <w:r>
              <w:rPr>
                <w:rFonts w:cs="Arial"/>
              </w:rPr>
              <w:t xml:space="preserve"> we can seek to further understand</w:t>
            </w:r>
            <w:r>
              <w:rPr>
                <w:rFonts w:cs="Arial"/>
              </w:rPr>
              <w:t xml:space="preserve"> the likely uptake of the process and how customers could be best supported in managing any initial surge, both in the submission and review processes. For clarity, there is no allowance in the modification to amend the 20day window should volumes be great</w:t>
            </w:r>
            <w:r>
              <w:rPr>
                <w:rFonts w:cs="Arial"/>
              </w:rPr>
              <w:t>er than expected.</w:t>
            </w:r>
            <w:r>
              <w:rPr>
                <w:rFonts w:cs="Arial"/>
              </w:rPr>
              <w:br/>
            </w:r>
            <w:r>
              <w:rPr>
                <w:rFonts w:cs="Arial"/>
              </w:rPr>
              <w:br/>
              <w:t>As per the modification, this process has been developed as an exception process and, as per the ROM, this suggests that volumes are not expected to be significant.</w:t>
            </w:r>
            <w:r>
              <w:rPr>
                <w:rFonts w:cs="Arial"/>
              </w:rPr>
              <w:br/>
            </w:r>
            <w:r>
              <w:rPr>
                <w:rFonts w:cs="Arial"/>
              </w:rPr>
              <w:br/>
            </w:r>
            <w:r>
              <w:rPr>
                <w:rFonts w:cs="Arial"/>
              </w:rPr>
              <w:lastRenderedPageBreak/>
              <w:t xml:space="preserve">Target release date – This is proposed in the pack as the CMS Release, </w:t>
            </w:r>
            <w:r>
              <w:rPr>
                <w:rFonts w:cs="Arial"/>
              </w:rPr>
              <w:t>November 2023.</w:t>
            </w:r>
          </w:p>
        </w:tc>
      </w:tr>
    </w:tbl>
    <w:p w14:paraId="4531B886" w14:textId="77777777" w:rsidR="00DB017B" w:rsidRDefault="00DB017B"/>
    <w:p w14:paraId="1F80B8E2" w14:textId="77777777" w:rsidR="00DB017B" w:rsidRDefault="0036342A">
      <w:r>
        <w:br w:type="page"/>
      </w:r>
    </w:p>
    <w:p w14:paraId="28418587" w14:textId="77777777" w:rsidR="00DB017B" w:rsidRDefault="0036342A">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DB017B" w14:paraId="5B97B30D" w14:textId="77777777">
        <w:trPr>
          <w:trHeight w:val="403"/>
        </w:trPr>
        <w:tc>
          <w:tcPr>
            <w:tcW w:w="1226" w:type="pct"/>
            <w:shd w:val="clear" w:color="auto" w:fill="B3EDFB"/>
            <w:vAlign w:val="center"/>
          </w:tcPr>
          <w:p w14:paraId="74AC5432" w14:textId="77777777" w:rsidR="00DB017B" w:rsidRDefault="0036342A">
            <w:pPr>
              <w:jc w:val="right"/>
              <w:rPr>
                <w:rFonts w:cs="Arial"/>
              </w:rPr>
            </w:pPr>
            <w:r>
              <w:rPr>
                <w:rFonts w:cs="Arial"/>
              </w:rPr>
              <w:t>Change Status:</w:t>
            </w:r>
          </w:p>
        </w:tc>
        <w:tc>
          <w:tcPr>
            <w:tcW w:w="1258" w:type="pct"/>
            <w:vAlign w:val="center"/>
          </w:tcPr>
          <w:p w14:paraId="1226FF4C" w14:textId="5CFE127F" w:rsidR="00DB017B" w:rsidRDefault="0036342A">
            <w:pPr>
              <w:rPr>
                <w:rFonts w:cs="Arial"/>
              </w:rPr>
            </w:pPr>
            <w:sdt>
              <w:sdtPr>
                <w:rPr>
                  <w:rFonts w:cs="Arial"/>
                </w:rPr>
                <w:id w:val="92291494"/>
                <w14:checkbox>
                  <w14:checked w14:val="1"/>
                  <w14:checkedState w14:val="2612" w14:font="MS Gothic"/>
                  <w14:uncheckedState w14:val="2610" w14:font="MS Gothic"/>
                </w14:checkbox>
              </w:sdtPr>
              <w:sdtEndPr/>
              <w:sdtContent>
                <w:r w:rsidR="0074335F">
                  <w:rPr>
                    <w:rFonts w:ascii="MS Gothic" w:eastAsia="MS Gothic" w:hAnsi="MS Gothic" w:cs="Arial" w:hint="eastAsia"/>
                  </w:rPr>
                  <w:t>☒</w:t>
                </w:r>
              </w:sdtContent>
            </w:sdt>
            <w:r>
              <w:rPr>
                <w:rFonts w:cs="Arial"/>
              </w:rPr>
              <w:t xml:space="preserve"> Approve</w:t>
            </w:r>
          </w:p>
        </w:tc>
        <w:tc>
          <w:tcPr>
            <w:tcW w:w="1259" w:type="pct"/>
            <w:gridSpan w:val="3"/>
            <w:vAlign w:val="center"/>
          </w:tcPr>
          <w:p w14:paraId="7D1CC745" w14:textId="77777777" w:rsidR="00DB017B" w:rsidRDefault="0036342A">
            <w:pPr>
              <w:rPr>
                <w:rFonts w:cs="Arial"/>
              </w:rPr>
            </w:pPr>
            <w:sdt>
              <w:sdtPr>
                <w:rPr>
                  <w:rFonts w:cs="Arial"/>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Reject</w:t>
            </w:r>
          </w:p>
        </w:tc>
        <w:tc>
          <w:tcPr>
            <w:tcW w:w="1257" w:type="pct"/>
            <w:vAlign w:val="center"/>
          </w:tcPr>
          <w:p w14:paraId="541598E7" w14:textId="77777777" w:rsidR="00DB017B" w:rsidRDefault="0036342A">
            <w:pPr>
              <w:rPr>
                <w:rFonts w:cs="Arial"/>
              </w:rPr>
            </w:pPr>
            <w:sdt>
              <w:sdtPr>
                <w:rPr>
                  <w:rFonts w:cs="Arial"/>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Defer</w:t>
            </w:r>
          </w:p>
        </w:tc>
      </w:tr>
      <w:tr w:rsidR="00DB017B" w14:paraId="27770350" w14:textId="77777777">
        <w:trPr>
          <w:trHeight w:val="403"/>
        </w:trPr>
        <w:tc>
          <w:tcPr>
            <w:tcW w:w="1226" w:type="pct"/>
            <w:shd w:val="clear" w:color="auto" w:fill="B3EDFB"/>
            <w:vAlign w:val="center"/>
          </w:tcPr>
          <w:p w14:paraId="65BCF175" w14:textId="77777777" w:rsidR="00DB017B" w:rsidRDefault="0036342A">
            <w:pPr>
              <w:jc w:val="right"/>
              <w:rPr>
                <w:rFonts w:cs="Arial"/>
              </w:rPr>
            </w:pPr>
            <w:r>
              <w:rPr>
                <w:rFonts w:cs="Arial"/>
              </w:rPr>
              <w:t>Approved Solution Option</w:t>
            </w:r>
          </w:p>
        </w:tc>
        <w:tc>
          <w:tcPr>
            <w:tcW w:w="3774" w:type="pct"/>
            <w:gridSpan w:val="5"/>
            <w:vAlign w:val="center"/>
          </w:tcPr>
          <w:p w14:paraId="1C87F963" w14:textId="2AE2ABDC" w:rsidR="00DB017B" w:rsidRDefault="0074335F">
            <w:pPr>
              <w:rPr>
                <w:rFonts w:cs="Arial"/>
              </w:rPr>
            </w:pPr>
            <w:r>
              <w:rPr>
                <w:rFonts w:cs="Arial"/>
              </w:rPr>
              <w:t>Option 1 (only option)</w:t>
            </w:r>
          </w:p>
        </w:tc>
      </w:tr>
      <w:tr w:rsidR="0074335F" w14:paraId="6449ABA4" w14:textId="77777777">
        <w:trPr>
          <w:trHeight w:val="403"/>
        </w:trPr>
        <w:tc>
          <w:tcPr>
            <w:tcW w:w="1226" w:type="pct"/>
            <w:shd w:val="clear" w:color="auto" w:fill="B3EDFB"/>
            <w:vAlign w:val="center"/>
          </w:tcPr>
          <w:p w14:paraId="782CFEF3" w14:textId="5B4D0442" w:rsidR="0074335F" w:rsidRDefault="0074335F">
            <w:pPr>
              <w:jc w:val="right"/>
              <w:rPr>
                <w:rFonts w:cs="Arial"/>
              </w:rPr>
            </w:pPr>
            <w:r>
              <w:rPr>
                <w:rFonts w:cs="Arial"/>
              </w:rPr>
              <w:t>Funding Split agreed</w:t>
            </w:r>
          </w:p>
        </w:tc>
        <w:tc>
          <w:tcPr>
            <w:tcW w:w="3774" w:type="pct"/>
            <w:gridSpan w:val="5"/>
            <w:vAlign w:val="center"/>
          </w:tcPr>
          <w:p w14:paraId="713DA0AB" w14:textId="29A7866A" w:rsidR="0074335F" w:rsidRDefault="0074335F">
            <w:pPr>
              <w:rPr>
                <w:rFonts w:cs="Arial"/>
              </w:rPr>
            </w:pPr>
            <w:r>
              <w:rPr>
                <w:rFonts w:cs="Arial"/>
              </w:rPr>
              <w:t>100% Shipper</w:t>
            </w:r>
          </w:p>
        </w:tc>
      </w:tr>
      <w:tr w:rsidR="00DB017B" w14:paraId="06502EF1" w14:textId="77777777">
        <w:trPr>
          <w:trHeight w:val="403"/>
        </w:trPr>
        <w:tc>
          <w:tcPr>
            <w:tcW w:w="1226" w:type="pct"/>
            <w:vMerge w:val="restart"/>
            <w:shd w:val="clear" w:color="auto" w:fill="B3EDFB"/>
            <w:vAlign w:val="center"/>
          </w:tcPr>
          <w:p w14:paraId="1BC6DE52" w14:textId="77777777" w:rsidR="00DB017B" w:rsidRDefault="0036342A">
            <w:pPr>
              <w:jc w:val="right"/>
              <w:rPr>
                <w:rFonts w:cs="Arial"/>
              </w:rPr>
            </w:pPr>
            <w:r>
              <w:rPr>
                <w:rFonts w:cs="Arial"/>
              </w:rPr>
              <w:t>Industry Consultation:</w:t>
            </w:r>
          </w:p>
        </w:tc>
        <w:tc>
          <w:tcPr>
            <w:tcW w:w="1888" w:type="pct"/>
            <w:gridSpan w:val="2"/>
            <w:vAlign w:val="center"/>
          </w:tcPr>
          <w:p w14:paraId="374BA37E" w14:textId="3A1D9783" w:rsidR="00DB017B" w:rsidRDefault="0036342A">
            <w:pPr>
              <w:rPr>
                <w:rFonts w:cs="Arial"/>
              </w:rPr>
            </w:pPr>
            <w:sdt>
              <w:sdtPr>
                <w:rPr>
                  <w:rFonts w:cs="Arial"/>
                </w:rPr>
                <w:id w:val="1199442173"/>
                <w14:checkbox>
                  <w14:checked w14:val="1"/>
                  <w14:checkedState w14:val="2612" w14:font="MS Gothic"/>
                  <w14:uncheckedState w14:val="2610" w14:font="MS Gothic"/>
                </w14:checkbox>
              </w:sdtPr>
              <w:sdtEndPr/>
              <w:sdtContent>
                <w:r w:rsidR="0074335F">
                  <w:rPr>
                    <w:rFonts w:ascii="MS Gothic" w:eastAsia="MS Gothic" w:hAnsi="MS Gothic" w:cs="Arial" w:hint="eastAsia"/>
                  </w:rPr>
                  <w:t>☒</w:t>
                </w:r>
              </w:sdtContent>
            </w:sdt>
            <w:r>
              <w:rPr>
                <w:rFonts w:cs="Arial"/>
              </w:rPr>
              <w:t xml:space="preserve"> 10 Working Days</w:t>
            </w:r>
          </w:p>
        </w:tc>
        <w:tc>
          <w:tcPr>
            <w:tcW w:w="1886" w:type="pct"/>
            <w:gridSpan w:val="3"/>
            <w:vAlign w:val="center"/>
          </w:tcPr>
          <w:p w14:paraId="6BCBD8FC" w14:textId="77777777" w:rsidR="00DB017B" w:rsidRDefault="0036342A">
            <w:pPr>
              <w:rPr>
                <w:rFonts w:cs="Arial"/>
              </w:rPr>
            </w:pPr>
            <w:sdt>
              <w:sdtPr>
                <w:rPr>
                  <w:rFonts w:cs="Arial"/>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15 Working Days</w:t>
            </w:r>
          </w:p>
        </w:tc>
      </w:tr>
      <w:tr w:rsidR="00DB017B" w14:paraId="7A6F7A59" w14:textId="77777777">
        <w:trPr>
          <w:trHeight w:val="403"/>
        </w:trPr>
        <w:tc>
          <w:tcPr>
            <w:tcW w:w="1226" w:type="pct"/>
            <w:vMerge/>
            <w:shd w:val="clear" w:color="auto" w:fill="B3EDFB"/>
            <w:vAlign w:val="center"/>
          </w:tcPr>
          <w:p w14:paraId="4D257C89" w14:textId="77777777" w:rsidR="00DB017B" w:rsidRDefault="00DB017B"/>
        </w:tc>
        <w:tc>
          <w:tcPr>
            <w:tcW w:w="1888" w:type="pct"/>
            <w:gridSpan w:val="2"/>
            <w:vAlign w:val="center"/>
          </w:tcPr>
          <w:p w14:paraId="32277B52" w14:textId="77777777" w:rsidR="00DB017B" w:rsidRDefault="0036342A">
            <w:pPr>
              <w:rPr>
                <w:rFonts w:cs="Arial"/>
              </w:rPr>
            </w:pPr>
            <w:sdt>
              <w:sdtPr>
                <w:rPr>
                  <w:rFonts w:cs="Arial"/>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20 Working Days</w:t>
            </w:r>
          </w:p>
        </w:tc>
        <w:tc>
          <w:tcPr>
            <w:tcW w:w="1886" w:type="pct"/>
            <w:gridSpan w:val="3"/>
            <w:vAlign w:val="center"/>
          </w:tcPr>
          <w:p w14:paraId="2FB2D3AE" w14:textId="77777777" w:rsidR="00DB017B" w:rsidRDefault="0036342A">
            <w:pPr>
              <w:rPr>
                <w:rFonts w:cs="Arial"/>
              </w:rPr>
            </w:pPr>
            <w:sdt>
              <w:sdtPr>
                <w:rPr>
                  <w:rFonts w:cs="Arial"/>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Other [Specify Here]</w:t>
            </w:r>
          </w:p>
        </w:tc>
      </w:tr>
      <w:tr w:rsidR="00DB017B" w14:paraId="1D7FB22E" w14:textId="77777777">
        <w:trPr>
          <w:trHeight w:val="403"/>
        </w:trPr>
        <w:tc>
          <w:tcPr>
            <w:tcW w:w="1226" w:type="pct"/>
            <w:shd w:val="clear" w:color="auto" w:fill="B3EDFB"/>
            <w:vAlign w:val="center"/>
          </w:tcPr>
          <w:p w14:paraId="21B594C1" w14:textId="77777777" w:rsidR="00DB017B" w:rsidRDefault="0036342A">
            <w:pPr>
              <w:jc w:val="right"/>
              <w:rPr>
                <w:rFonts w:cs="Arial"/>
              </w:rPr>
            </w:pPr>
            <w:r>
              <w:rPr>
                <w:rFonts w:cs="Arial"/>
              </w:rPr>
              <w:t>Date Issued:</w:t>
            </w:r>
          </w:p>
        </w:tc>
        <w:tc>
          <w:tcPr>
            <w:tcW w:w="3774" w:type="pct"/>
            <w:gridSpan w:val="5"/>
            <w:vAlign w:val="center"/>
          </w:tcPr>
          <w:sdt>
            <w:sdtPr>
              <w:rPr>
                <w:rFonts w:cs="Arial"/>
              </w:rPr>
              <w:id w:val="-342008601"/>
              <w:placeholder>
                <w:docPart w:val="EC7D44A3C27349878F4D436992CADD3A"/>
              </w:placeholder>
              <w:date w:fullDate="2023-04-17T00:00:00Z">
                <w:dateFormat w:val="dd/MM/yyyy"/>
                <w:lid w:val="en-GB"/>
                <w:storeMappedDataAs w:val="dateTime"/>
                <w:calendar w:val="gregorian"/>
              </w:date>
            </w:sdtPr>
            <w:sdtEndPr/>
            <w:sdtContent>
              <w:p w14:paraId="4E1883A8" w14:textId="5D8B62DC" w:rsidR="00DB017B" w:rsidRDefault="0074335F">
                <w:r>
                  <w:rPr>
                    <w:rFonts w:cs="Arial"/>
                  </w:rPr>
                  <w:t>17/04/2023</w:t>
                </w:r>
              </w:p>
            </w:sdtContent>
          </w:sdt>
        </w:tc>
      </w:tr>
      <w:tr w:rsidR="00DB017B" w14:paraId="2D976FE8" w14:textId="77777777">
        <w:trPr>
          <w:trHeight w:val="403"/>
        </w:trPr>
        <w:tc>
          <w:tcPr>
            <w:tcW w:w="1226" w:type="pct"/>
            <w:shd w:val="clear" w:color="auto" w:fill="B3EDFB"/>
            <w:vAlign w:val="center"/>
          </w:tcPr>
          <w:p w14:paraId="46E342A3" w14:textId="77777777" w:rsidR="00DB017B" w:rsidRDefault="0036342A">
            <w:pPr>
              <w:jc w:val="right"/>
              <w:rPr>
                <w:rFonts w:cs="Arial"/>
              </w:rPr>
            </w:pPr>
            <w:r>
              <w:rPr>
                <w:rFonts w:cs="Arial"/>
              </w:rPr>
              <w:t>Comms Ref(s):</w:t>
            </w:r>
          </w:p>
        </w:tc>
        <w:tc>
          <w:tcPr>
            <w:tcW w:w="3774" w:type="pct"/>
            <w:gridSpan w:val="5"/>
            <w:vAlign w:val="center"/>
          </w:tcPr>
          <w:p w14:paraId="17803C56" w14:textId="02AB17F9" w:rsidR="00DB017B" w:rsidRDefault="0074335F">
            <w:pPr>
              <w:rPr>
                <w:rFonts w:cs="Arial"/>
              </w:rPr>
            </w:pPr>
            <w:r w:rsidRPr="0074335F">
              <w:rPr>
                <w:rFonts w:cs="Arial"/>
              </w:rPr>
              <w:t>3165.3 - VO - PO</w:t>
            </w:r>
          </w:p>
        </w:tc>
      </w:tr>
      <w:tr w:rsidR="00DB017B" w14:paraId="41610CE2" w14:textId="77777777">
        <w:trPr>
          <w:trHeight w:val="403"/>
        </w:trPr>
        <w:tc>
          <w:tcPr>
            <w:tcW w:w="1226" w:type="pct"/>
            <w:shd w:val="clear" w:color="auto" w:fill="B3EDFB"/>
            <w:vAlign w:val="center"/>
          </w:tcPr>
          <w:p w14:paraId="25ACE7C2" w14:textId="77777777" w:rsidR="00DB017B" w:rsidRDefault="0036342A">
            <w:pPr>
              <w:jc w:val="right"/>
              <w:rPr>
                <w:rFonts w:cs="Arial"/>
              </w:rPr>
            </w:pPr>
            <w:r>
              <w:rPr>
                <w:rFonts w:cs="Arial"/>
              </w:rPr>
              <w:t>Number of Responses:</w:t>
            </w:r>
          </w:p>
        </w:tc>
        <w:tc>
          <w:tcPr>
            <w:tcW w:w="3774" w:type="pct"/>
            <w:gridSpan w:val="5"/>
            <w:vAlign w:val="center"/>
          </w:tcPr>
          <w:p w14:paraId="7543B419" w14:textId="78C358A3" w:rsidR="00DB017B" w:rsidRDefault="0074335F">
            <w:pPr>
              <w:rPr>
                <w:rFonts w:cs="Arial"/>
              </w:rPr>
            </w:pPr>
            <w:r>
              <w:rPr>
                <w:rFonts w:cs="Arial"/>
              </w:rPr>
              <w:t>1</w:t>
            </w:r>
          </w:p>
        </w:tc>
      </w:tr>
      <w:tr w:rsidR="00DB017B" w14:paraId="3D98F0F7" w14:textId="77777777">
        <w:trPr>
          <w:trHeight w:val="403"/>
        </w:trPr>
        <w:tc>
          <w:tcPr>
            <w:tcW w:w="1226" w:type="pct"/>
            <w:vMerge w:val="restart"/>
            <w:shd w:val="clear" w:color="auto" w:fill="B3EDFB"/>
            <w:vAlign w:val="center"/>
          </w:tcPr>
          <w:p w14:paraId="4337FFDC" w14:textId="77777777" w:rsidR="00DB017B" w:rsidRDefault="0036342A">
            <w:pPr>
              <w:jc w:val="right"/>
              <w:rPr>
                <w:rFonts w:cs="Arial"/>
              </w:rPr>
            </w:pPr>
            <w:r>
              <w:rPr>
                <w:rFonts w:cs="Arial"/>
              </w:rPr>
              <w:t>Solution Voting:</w:t>
            </w:r>
          </w:p>
        </w:tc>
        <w:tc>
          <w:tcPr>
            <w:tcW w:w="2215" w:type="pct"/>
            <w:gridSpan w:val="3"/>
            <w:vAlign w:val="center"/>
          </w:tcPr>
          <w:p w14:paraId="565F78E2" w14:textId="37F91514" w:rsidR="00DB017B" w:rsidRDefault="0036342A">
            <w:pPr>
              <w:rPr>
                <w:rFonts w:cs="Arial"/>
              </w:rPr>
            </w:pPr>
            <w:sdt>
              <w:sdtPr>
                <w:rPr>
                  <w:rFonts w:cs="Arial"/>
                </w:rPr>
                <w:id w:val="1430934478"/>
                <w14:checkbox>
                  <w14:checked w14:val="1"/>
                  <w14:checkedState w14:val="2612" w14:font="MS Gothic"/>
                  <w14:uncheckedState w14:val="2610" w14:font="MS Gothic"/>
                </w14:checkbox>
              </w:sdtPr>
              <w:sdtEndPr/>
              <w:sdtContent>
                <w:r w:rsidR="0074335F">
                  <w:rPr>
                    <w:rFonts w:ascii="MS Gothic" w:eastAsia="MS Gothic" w:hAnsi="MS Gothic" w:cs="Arial" w:hint="eastAsia"/>
                  </w:rPr>
                  <w:t>☒</w:t>
                </w:r>
              </w:sdtContent>
            </w:sdt>
            <w:r>
              <w:rPr>
                <w:rFonts w:cs="Arial"/>
              </w:rPr>
              <w:t xml:space="preserve"> Shipper</w:t>
            </w:r>
          </w:p>
        </w:tc>
        <w:tc>
          <w:tcPr>
            <w:tcW w:w="1559" w:type="pct"/>
            <w:gridSpan w:val="2"/>
            <w:vAlign w:val="center"/>
          </w:tcPr>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27AD4767" w14:textId="77777777" w:rsidR="00DB017B" w:rsidRDefault="0036342A">
                <w:pPr>
                  <w:rPr>
                    <w:rFonts w:cs="Arial"/>
                  </w:rPr>
                </w:pPr>
                <w:r>
                  <w:rPr>
                    <w:rStyle w:val="PlaceholderText"/>
                  </w:rPr>
                  <w:t>Please select.</w:t>
                </w:r>
              </w:p>
            </w:sdtContent>
          </w:sdt>
        </w:tc>
      </w:tr>
      <w:tr w:rsidR="00DB017B" w14:paraId="28C827C9" w14:textId="77777777">
        <w:trPr>
          <w:trHeight w:val="403"/>
        </w:trPr>
        <w:tc>
          <w:tcPr>
            <w:tcW w:w="1226" w:type="pct"/>
            <w:vMerge/>
            <w:shd w:val="clear" w:color="auto" w:fill="B3EDFB"/>
            <w:vAlign w:val="center"/>
          </w:tcPr>
          <w:p w14:paraId="2F611690" w14:textId="77777777" w:rsidR="00DB017B" w:rsidRDefault="00DB017B"/>
        </w:tc>
        <w:tc>
          <w:tcPr>
            <w:tcW w:w="2215" w:type="pct"/>
            <w:gridSpan w:val="3"/>
            <w:vAlign w:val="center"/>
          </w:tcPr>
          <w:p w14:paraId="3AAB5C31" w14:textId="77777777" w:rsidR="00DB017B" w:rsidRDefault="0036342A">
            <w:pPr>
              <w:rPr>
                <w:rFonts w:cs="Arial"/>
              </w:rPr>
            </w:pPr>
            <w:sdt>
              <w:sdtPr>
                <w:rPr>
                  <w:rFonts w:cs="Arial"/>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National Grid Transmission</w:t>
            </w:r>
          </w:p>
        </w:tc>
        <w:tc>
          <w:tcPr>
            <w:tcW w:w="1559" w:type="pct"/>
            <w:gridSpan w:val="2"/>
            <w:vAlign w:val="center"/>
          </w:tcPr>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5AFCA163" w14:textId="77777777" w:rsidR="00DB017B" w:rsidRDefault="0036342A">
                <w:pPr>
                  <w:rPr>
                    <w:rFonts w:cs="Arial"/>
                  </w:rPr>
                </w:pPr>
                <w:r>
                  <w:rPr>
                    <w:rStyle w:val="PlaceholderText"/>
                  </w:rPr>
                  <w:t>Please select.</w:t>
                </w:r>
              </w:p>
            </w:sdtContent>
          </w:sdt>
        </w:tc>
      </w:tr>
      <w:tr w:rsidR="00DB017B" w14:paraId="0A6F6729" w14:textId="77777777">
        <w:trPr>
          <w:trHeight w:val="403"/>
        </w:trPr>
        <w:tc>
          <w:tcPr>
            <w:tcW w:w="1226" w:type="pct"/>
            <w:vMerge/>
            <w:shd w:val="clear" w:color="auto" w:fill="B3EDFB"/>
            <w:vAlign w:val="center"/>
          </w:tcPr>
          <w:p w14:paraId="21AB152D" w14:textId="77777777" w:rsidR="00DB017B" w:rsidRDefault="00DB017B"/>
        </w:tc>
        <w:tc>
          <w:tcPr>
            <w:tcW w:w="2215" w:type="pct"/>
            <w:gridSpan w:val="3"/>
            <w:vAlign w:val="center"/>
          </w:tcPr>
          <w:p w14:paraId="3B5819F1" w14:textId="77777777" w:rsidR="00DB017B" w:rsidRDefault="0036342A">
            <w:pPr>
              <w:rPr>
                <w:rFonts w:cs="Arial"/>
              </w:rPr>
            </w:pPr>
            <w:sdt>
              <w:sdtPr>
                <w:rPr>
                  <w:rFonts w:cs="Arial"/>
                </w:rPr>
                <w:id w:val="-154528732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Distribution Network Operator</w:t>
            </w:r>
          </w:p>
        </w:tc>
        <w:tc>
          <w:tcPr>
            <w:tcW w:w="1559" w:type="pct"/>
            <w:gridSpan w:val="2"/>
            <w:vAlign w:val="center"/>
          </w:tcPr>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3DE80E0A" w14:textId="77777777" w:rsidR="00DB017B" w:rsidRDefault="0036342A">
                <w:pPr>
                  <w:rPr>
                    <w:rFonts w:cs="Arial"/>
                  </w:rPr>
                </w:pPr>
                <w:r>
                  <w:rPr>
                    <w:rStyle w:val="PlaceholderText"/>
                  </w:rPr>
                  <w:t>Please select.</w:t>
                </w:r>
              </w:p>
            </w:sdtContent>
          </w:sdt>
        </w:tc>
      </w:tr>
      <w:tr w:rsidR="00DB017B" w14:paraId="1F105D45" w14:textId="77777777">
        <w:trPr>
          <w:trHeight w:val="403"/>
        </w:trPr>
        <w:tc>
          <w:tcPr>
            <w:tcW w:w="1226" w:type="pct"/>
            <w:vMerge/>
            <w:shd w:val="clear" w:color="auto" w:fill="B3EDFB"/>
            <w:vAlign w:val="center"/>
          </w:tcPr>
          <w:p w14:paraId="6ED534FB" w14:textId="77777777" w:rsidR="00DB017B" w:rsidRDefault="00DB017B"/>
        </w:tc>
        <w:tc>
          <w:tcPr>
            <w:tcW w:w="2215" w:type="pct"/>
            <w:gridSpan w:val="3"/>
            <w:vAlign w:val="center"/>
          </w:tcPr>
          <w:p w14:paraId="045E7E05" w14:textId="77777777" w:rsidR="00DB017B" w:rsidRDefault="0036342A">
            <w:pPr>
              <w:rPr>
                <w:rFonts w:cs="Arial"/>
              </w:rPr>
            </w:pPr>
            <w:sdt>
              <w:sdtPr>
                <w:rPr>
                  <w:rFonts w:cs="Arial"/>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cs="Arial"/>
              </w:rPr>
              <w:t xml:space="preserve"> IGT</w:t>
            </w:r>
          </w:p>
        </w:tc>
        <w:tc>
          <w:tcPr>
            <w:tcW w:w="1559" w:type="pct"/>
            <w:gridSpan w:val="2"/>
            <w:vAlign w:val="center"/>
          </w:tcPr>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38152A9B" w14:textId="77777777" w:rsidR="00DB017B" w:rsidRDefault="0036342A">
                <w:pPr>
                  <w:rPr>
                    <w:rFonts w:cs="Arial"/>
                  </w:rPr>
                </w:pPr>
                <w:r>
                  <w:rPr>
                    <w:rStyle w:val="PlaceholderText"/>
                  </w:rPr>
                  <w:t>Please select.</w:t>
                </w:r>
              </w:p>
            </w:sdtContent>
          </w:sdt>
        </w:tc>
      </w:tr>
      <w:tr w:rsidR="00DB017B" w14:paraId="37705D9B" w14:textId="77777777">
        <w:trPr>
          <w:trHeight w:val="403"/>
        </w:trPr>
        <w:tc>
          <w:tcPr>
            <w:tcW w:w="1226" w:type="pct"/>
            <w:shd w:val="clear" w:color="auto" w:fill="B3EDFB"/>
            <w:vAlign w:val="center"/>
          </w:tcPr>
          <w:p w14:paraId="51D6D531" w14:textId="77777777" w:rsidR="00DB017B" w:rsidRDefault="0036342A">
            <w:pPr>
              <w:jc w:val="right"/>
              <w:rPr>
                <w:rFonts w:cs="Arial"/>
              </w:rPr>
            </w:pPr>
            <w:r>
              <w:rPr>
                <w:rFonts w:cs="Arial"/>
              </w:rPr>
              <w:t>Meeting Date:</w:t>
            </w:r>
          </w:p>
        </w:tc>
        <w:tc>
          <w:tcPr>
            <w:tcW w:w="3774" w:type="pct"/>
            <w:gridSpan w:val="5"/>
            <w:vAlign w:val="center"/>
          </w:tcPr>
          <w:sdt>
            <w:sdtPr>
              <w:rPr>
                <w:rFonts w:cs="Arial"/>
              </w:rPr>
              <w:id w:val="626280683"/>
              <w:date w:fullDate="2023-05-10T00:00:00Z">
                <w:dateFormat w:val="dd/MM/yyyy"/>
                <w:lid w:val="en-GB"/>
                <w:storeMappedDataAs w:val="dateTime"/>
                <w:calendar w:val="gregorian"/>
              </w:date>
            </w:sdtPr>
            <w:sdtEndPr/>
            <w:sdtContent>
              <w:p w14:paraId="39BD8A53" w14:textId="153F3527" w:rsidR="00DB017B" w:rsidRDefault="0074335F">
                <w:r>
                  <w:rPr>
                    <w:rFonts w:cs="Arial"/>
                  </w:rPr>
                  <w:t>10/05/2023</w:t>
                </w:r>
              </w:p>
            </w:sdtContent>
          </w:sdt>
        </w:tc>
      </w:tr>
      <w:tr w:rsidR="00DB017B" w14:paraId="30DBA0B5" w14:textId="77777777">
        <w:trPr>
          <w:trHeight w:val="403"/>
        </w:trPr>
        <w:tc>
          <w:tcPr>
            <w:tcW w:w="1226" w:type="pct"/>
            <w:shd w:val="clear" w:color="auto" w:fill="B3EDFB"/>
            <w:vAlign w:val="center"/>
          </w:tcPr>
          <w:p w14:paraId="6CC3D9C6" w14:textId="77777777" w:rsidR="00DB017B" w:rsidRDefault="0036342A">
            <w:pPr>
              <w:jc w:val="right"/>
              <w:rPr>
                <w:rFonts w:cs="Arial"/>
              </w:rPr>
            </w:pPr>
            <w:r>
              <w:rPr>
                <w:rFonts w:cs="Arial"/>
              </w:rPr>
              <w:t>Proposed Release Date:</w:t>
            </w:r>
          </w:p>
        </w:tc>
        <w:tc>
          <w:tcPr>
            <w:tcW w:w="3774" w:type="pct"/>
            <w:gridSpan w:val="5"/>
            <w:vAlign w:val="center"/>
          </w:tcPr>
          <w:p w14:paraId="3086724C" w14:textId="44B312FC" w:rsidR="00DB017B" w:rsidRDefault="0036342A">
            <w:pPr>
              <w:rPr>
                <w:rFonts w:cs="Arial"/>
              </w:rPr>
            </w:pPr>
            <w:r>
              <w:rPr>
                <w:rFonts w:cs="Arial"/>
              </w:rPr>
              <w:t xml:space="preserve">Release: </w:t>
            </w:r>
            <w:r w:rsidR="0074335F">
              <w:rPr>
                <w:rFonts w:cs="Arial"/>
              </w:rPr>
              <w:t>Major/Adhoc</w:t>
            </w:r>
          </w:p>
        </w:tc>
      </w:tr>
    </w:tbl>
    <w:p w14:paraId="74B10416" w14:textId="77777777" w:rsidR="00DB017B" w:rsidRDefault="00DB017B"/>
    <w:p w14:paraId="45F6B302" w14:textId="77777777" w:rsidR="00DB017B" w:rsidRDefault="0036342A">
      <w:r>
        <w:br w:type="page"/>
      </w:r>
    </w:p>
    <w:p w14:paraId="243E26AD" w14:textId="77777777" w:rsidR="00DB017B" w:rsidRDefault="0036342A">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Version Control</w:t>
      </w:r>
    </w:p>
    <w:p w14:paraId="7F5E713E" w14:textId="77777777" w:rsidR="00DB017B" w:rsidRDefault="0036342A">
      <w:pPr>
        <w:keepNext/>
        <w:keepLines/>
        <w:spacing w:before="480" w:after="0"/>
        <w:outlineLvl w:val="0"/>
        <w:rPr>
          <w:b/>
          <w:bCs/>
          <w:color w:val="3E5AA8"/>
          <w:sz w:val="28"/>
          <w:szCs w:val="28"/>
        </w:rPr>
      </w:pPr>
      <w:r>
        <w:rPr>
          <w:b/>
          <w:bCs/>
          <w:color w:val="3E5AA8"/>
          <w:sz w:val="28"/>
          <w:szCs w:val="28"/>
        </w:rPr>
        <w:t>Document</w:t>
      </w:r>
    </w:p>
    <w:tbl>
      <w:tblPr>
        <w:tblStyle w:val="TableGrid3"/>
        <w:tblW w:w="5000" w:type="pct"/>
        <w:tblLayout w:type="fixed"/>
        <w:tblLook w:val="04A0" w:firstRow="1" w:lastRow="0" w:firstColumn="1" w:lastColumn="0" w:noHBand="0" w:noVBand="1"/>
      </w:tblPr>
      <w:tblGrid>
        <w:gridCol w:w="1246"/>
        <w:gridCol w:w="1602"/>
        <w:gridCol w:w="1604"/>
        <w:gridCol w:w="1926"/>
        <w:gridCol w:w="4078"/>
      </w:tblGrid>
      <w:tr w:rsidR="00DB017B" w14:paraId="119B3B9E" w14:textId="77777777">
        <w:trPr>
          <w:trHeight w:val="403"/>
        </w:trPr>
        <w:tc>
          <w:tcPr>
            <w:tcW w:w="596" w:type="pct"/>
            <w:shd w:val="clear" w:color="auto" w:fill="B2ECFB"/>
            <w:vAlign w:val="center"/>
          </w:tcPr>
          <w:p w14:paraId="652B52C7" w14:textId="77777777" w:rsidR="00DB017B" w:rsidRDefault="0036342A">
            <w:pPr>
              <w:spacing w:after="200" w:line="276" w:lineRule="auto"/>
              <w:rPr>
                <w:rFonts w:cs="Arial"/>
              </w:rPr>
            </w:pPr>
            <w:r>
              <w:rPr>
                <w:rFonts w:cs="Arial"/>
              </w:rPr>
              <w:t>Version</w:t>
            </w:r>
          </w:p>
        </w:tc>
        <w:tc>
          <w:tcPr>
            <w:tcW w:w="766" w:type="pct"/>
            <w:shd w:val="clear" w:color="auto" w:fill="B2ECFB"/>
            <w:vAlign w:val="center"/>
          </w:tcPr>
          <w:p w14:paraId="4A1394DA" w14:textId="77777777" w:rsidR="00DB017B" w:rsidRDefault="0036342A">
            <w:pPr>
              <w:spacing w:after="200" w:line="276" w:lineRule="auto"/>
              <w:rPr>
                <w:rFonts w:cs="Arial"/>
              </w:rPr>
            </w:pPr>
            <w:r>
              <w:rPr>
                <w:rFonts w:cs="Arial"/>
              </w:rPr>
              <w:t>Status</w:t>
            </w:r>
          </w:p>
        </w:tc>
        <w:tc>
          <w:tcPr>
            <w:tcW w:w="767" w:type="pct"/>
            <w:shd w:val="clear" w:color="auto" w:fill="B2ECFB"/>
            <w:vAlign w:val="center"/>
          </w:tcPr>
          <w:p w14:paraId="6C4252FF" w14:textId="77777777" w:rsidR="00DB017B" w:rsidRDefault="0036342A">
            <w:pPr>
              <w:spacing w:after="200" w:line="276" w:lineRule="auto"/>
              <w:rPr>
                <w:rFonts w:cs="Arial"/>
              </w:rPr>
            </w:pPr>
            <w:r>
              <w:rPr>
                <w:rFonts w:cs="Arial"/>
              </w:rPr>
              <w:t>Date</w:t>
            </w:r>
          </w:p>
        </w:tc>
        <w:tc>
          <w:tcPr>
            <w:tcW w:w="921" w:type="pct"/>
            <w:shd w:val="clear" w:color="auto" w:fill="B2ECFB"/>
            <w:vAlign w:val="center"/>
          </w:tcPr>
          <w:p w14:paraId="4776FEBE" w14:textId="77777777" w:rsidR="00DB017B" w:rsidRDefault="0036342A">
            <w:pPr>
              <w:spacing w:after="200" w:line="276" w:lineRule="auto"/>
              <w:rPr>
                <w:rFonts w:cs="Arial"/>
              </w:rPr>
            </w:pPr>
            <w:r>
              <w:rPr>
                <w:rFonts w:cs="Arial"/>
              </w:rPr>
              <w:t>Author(s)</w:t>
            </w:r>
          </w:p>
        </w:tc>
        <w:tc>
          <w:tcPr>
            <w:tcW w:w="1950" w:type="pct"/>
            <w:shd w:val="clear" w:color="auto" w:fill="B2ECFB"/>
            <w:vAlign w:val="center"/>
          </w:tcPr>
          <w:p w14:paraId="3B178D79" w14:textId="77777777" w:rsidR="00DB017B" w:rsidRDefault="0036342A">
            <w:pPr>
              <w:spacing w:after="200" w:line="276" w:lineRule="auto"/>
              <w:rPr>
                <w:rFonts w:cs="Arial"/>
              </w:rPr>
            </w:pPr>
            <w:r>
              <w:t>Remarks</w:t>
            </w:r>
          </w:p>
        </w:tc>
      </w:tr>
      <w:tr w:rsidR="00DB017B" w14:paraId="3D3D3E4C" w14:textId="77777777">
        <w:trPr>
          <w:trHeight w:val="403"/>
        </w:trPr>
        <w:tc>
          <w:tcPr>
            <w:tcW w:w="596" w:type="pct"/>
            <w:shd w:val="clear" w:color="auto" w:fill="FFFFFF"/>
            <w:vAlign w:val="center"/>
          </w:tcPr>
          <w:p w14:paraId="0B4ADC04" w14:textId="181FC6C4" w:rsidR="00DB017B" w:rsidRDefault="0074335F">
            <w:pPr>
              <w:spacing w:after="200" w:line="276" w:lineRule="auto"/>
              <w:rPr>
                <w:rFonts w:cs="Arial"/>
              </w:rPr>
            </w:pPr>
            <w:r>
              <w:rPr>
                <w:rFonts w:cs="Arial"/>
              </w:rPr>
              <w:t>V1</w:t>
            </w:r>
          </w:p>
        </w:tc>
        <w:tc>
          <w:tcPr>
            <w:tcW w:w="766" w:type="pct"/>
            <w:shd w:val="clear" w:color="auto" w:fill="FFFFFF"/>
            <w:vAlign w:val="center"/>
          </w:tcPr>
          <w:p w14:paraId="51E74118" w14:textId="243E1A00" w:rsidR="00DB017B" w:rsidRDefault="0074335F">
            <w:pPr>
              <w:spacing w:after="200" w:line="276" w:lineRule="auto"/>
              <w:rPr>
                <w:rFonts w:cs="Arial"/>
              </w:rPr>
            </w:pPr>
            <w:r>
              <w:rPr>
                <w:rFonts w:cs="Arial"/>
              </w:rPr>
              <w:t>Approved</w:t>
            </w:r>
          </w:p>
        </w:tc>
        <w:tc>
          <w:tcPr>
            <w:tcW w:w="767" w:type="pct"/>
            <w:shd w:val="clear" w:color="auto" w:fill="FFFFFF"/>
            <w:vAlign w:val="center"/>
          </w:tcPr>
          <w:p w14:paraId="2FB9260A" w14:textId="16F45E64" w:rsidR="00DB017B" w:rsidRDefault="0074335F">
            <w:pPr>
              <w:spacing w:after="200" w:line="276" w:lineRule="auto"/>
              <w:rPr>
                <w:rFonts w:cs="Arial"/>
              </w:rPr>
            </w:pPr>
            <w:r>
              <w:rPr>
                <w:rFonts w:cs="Arial"/>
              </w:rPr>
              <w:t>12/05/2023</w:t>
            </w:r>
          </w:p>
        </w:tc>
        <w:tc>
          <w:tcPr>
            <w:tcW w:w="921" w:type="pct"/>
            <w:shd w:val="clear" w:color="auto" w:fill="FFFFFF"/>
            <w:vAlign w:val="center"/>
          </w:tcPr>
          <w:p w14:paraId="6CF50BD2" w14:textId="6CA249C6" w:rsidR="00DB017B" w:rsidRDefault="0074335F">
            <w:pPr>
              <w:spacing w:after="200" w:line="276" w:lineRule="auto"/>
              <w:rPr>
                <w:rFonts w:cs="Arial"/>
              </w:rPr>
            </w:pPr>
            <w:r>
              <w:rPr>
                <w:rFonts w:cs="Arial"/>
              </w:rPr>
              <w:t>Kate Lancaster</w:t>
            </w:r>
          </w:p>
        </w:tc>
        <w:tc>
          <w:tcPr>
            <w:tcW w:w="1950" w:type="pct"/>
            <w:shd w:val="clear" w:color="auto" w:fill="FFFFFF"/>
            <w:vAlign w:val="center"/>
          </w:tcPr>
          <w:p w14:paraId="476FCCA1" w14:textId="77777777" w:rsidR="00DB017B" w:rsidRDefault="0074335F">
            <w:pPr>
              <w:spacing w:after="200" w:line="276" w:lineRule="auto"/>
              <w:rPr>
                <w:rFonts w:cs="Arial"/>
              </w:rPr>
            </w:pPr>
            <w:r>
              <w:rPr>
                <w:rFonts w:cs="Arial"/>
              </w:rPr>
              <w:t>May ChMC approved Solution Option 1</w:t>
            </w:r>
          </w:p>
          <w:p w14:paraId="0FD36E5A" w14:textId="4042018F" w:rsidR="0074335F" w:rsidRDefault="0074335F">
            <w:pPr>
              <w:spacing w:after="200" w:line="276" w:lineRule="auto"/>
              <w:rPr>
                <w:rFonts w:cs="Arial"/>
              </w:rPr>
            </w:pPr>
            <w:r>
              <w:rPr>
                <w:rFonts w:cs="Arial"/>
              </w:rPr>
              <w:t>May ChMC approved finding split 100% Shipper</w:t>
            </w:r>
          </w:p>
        </w:tc>
      </w:tr>
    </w:tbl>
    <w:p w14:paraId="718BCE03" w14:textId="77777777" w:rsidR="00DB017B" w:rsidRDefault="00DB017B"/>
    <w:sectPr w:rsidR="00DB017B">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450" w14:textId="77777777" w:rsidR="00000000" w:rsidRDefault="0036342A">
      <w:pPr>
        <w:spacing w:after="0" w:line="240" w:lineRule="auto"/>
      </w:pPr>
      <w:r>
        <w:separator/>
      </w:r>
    </w:p>
  </w:endnote>
  <w:endnote w:type="continuationSeparator" w:id="0">
    <w:p w14:paraId="4E85DD99" w14:textId="77777777" w:rsidR="00000000" w:rsidRDefault="0036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DAB5" w14:textId="77777777" w:rsidR="00DB017B" w:rsidRDefault="00DB0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0C53" w14:textId="77777777" w:rsidR="00DB017B" w:rsidRDefault="0036342A">
    <w:pPr>
      <w:pStyle w:val="Footer"/>
    </w:pPr>
    <w:r>
      <w:t>v1.0</w:t>
    </w:r>
  </w:p>
  <w:p w14:paraId="6DC6A47E" w14:textId="77777777" w:rsidR="00DB017B" w:rsidRDefault="00DB017B">
    <w:pPr>
      <w:pStyle w:val="Footer"/>
    </w:pPr>
  </w:p>
  <w:p w14:paraId="78A16C88" w14:textId="77777777" w:rsidR="00DB017B" w:rsidRDefault="0036342A">
    <w:pPr>
      <w:pStyle w:val="Footer"/>
      <w:rPr>
        <w:rFonts w:ascii="Calibri" w:hAnsi="Calibri" w:cs="Calibri"/>
      </w:rPr>
    </w:pPr>
    <w:r>
      <w:rPr>
        <w:noProof/>
      </w:rPr>
      <mc:AlternateContent>
        <mc:Choice Requires="wps">
          <w:drawing>
            <wp:anchor distT="0" distB="0" distL="114300" distR="114300" simplePos="0" relativeHeight="251658244" behindDoc="0" locked="0" layoutInCell="1" allowOverlap="1" wp14:anchorId="0C1E3DA4" wp14:editId="7F2F804F">
              <wp:simplePos x="0" y="0"/>
              <wp:positionH relativeFrom="page">
                <wp:posOffset>-409575</wp:posOffset>
              </wp:positionH>
              <wp:positionV relativeFrom="paragraph">
                <wp:posOffset>376554</wp:posOffset>
              </wp:positionV>
              <wp:extent cx="7991475" cy="238125"/>
              <wp:effectExtent l="0" t="0" r="9525" b="9525"/>
              <wp:wrapNone/>
              <wp:docPr id="4" name="drawingObject4"/>
              <wp:cNvGraphicFramePr/>
              <a:graphic xmlns:a="http://schemas.openxmlformats.org/drawingml/2006/main">
                <a:graphicData uri="http://schemas.microsoft.com/office/word/2010/wordprocessingShape">
                  <wps:wsp>
                    <wps:cNvSpPr/>
                    <wps:spPr>
                      <a:xfrm>
                        <a:off x="0" y="0"/>
                        <a:ext cx="7991475" cy="23812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t>*</w:t>
    </w:r>
    <w:r>
      <w:rPr>
        <w:sz w:val="20"/>
        <w:szCs w:val="20"/>
      </w:rPr>
      <w:t>Assumed impacted parties of the proposed change, all parties are encouraged to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EF66" w14:textId="77777777" w:rsidR="00DB017B" w:rsidRDefault="00DB0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F14F" w14:textId="77777777" w:rsidR="00000000" w:rsidRDefault="0036342A">
      <w:pPr>
        <w:spacing w:after="0" w:line="240" w:lineRule="auto"/>
      </w:pPr>
      <w:r>
        <w:separator/>
      </w:r>
    </w:p>
  </w:footnote>
  <w:footnote w:type="continuationSeparator" w:id="0">
    <w:p w14:paraId="0E17443A" w14:textId="77777777" w:rsidR="00000000" w:rsidRDefault="0036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9C08" w14:textId="77777777" w:rsidR="00DB017B" w:rsidRDefault="00DB0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07C6" w14:textId="77777777" w:rsidR="00DB017B" w:rsidRDefault="0036342A">
    <w:pPr>
      <w:pStyle w:val="Header"/>
    </w:pPr>
    <w:r>
      <w:rPr>
        <w:noProof/>
      </w:rPr>
      <mc:AlternateContent>
        <mc:Choice Requires="wps">
          <w:drawing>
            <wp:anchor distT="0" distB="0" distL="114300" distR="114300" simplePos="0" relativeHeight="251658242" behindDoc="0" locked="0" layoutInCell="1" allowOverlap="1" wp14:anchorId="6B60A767" wp14:editId="76030CFB">
              <wp:simplePos x="0" y="0"/>
              <wp:positionH relativeFrom="page">
                <wp:posOffset>-383540</wp:posOffset>
              </wp:positionH>
              <wp:positionV relativeFrom="paragraph">
                <wp:posOffset>-452120</wp:posOffset>
              </wp:positionV>
              <wp:extent cx="8001000" cy="304800"/>
              <wp:effectExtent l="0" t="0" r="0" b="0"/>
              <wp:wrapNone/>
              <wp:docPr id="1" name="drawingObject1"/>
              <wp:cNvGraphicFramePr/>
              <a:graphic xmlns:a="http://schemas.openxmlformats.org/drawingml/2006/main">
                <a:graphicData uri="http://schemas.microsoft.com/office/word/2010/wordprocessingShape">
                  <wps:wsp>
                    <wps:cNvSpPr/>
                    <wps:spPr>
                      <a:xfrm>
                        <a:off x="0" y="0"/>
                        <a:ext cx="8001000" cy="3048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3" behindDoc="0" locked="0" layoutInCell="1" allowOverlap="1" wp14:anchorId="6E15EF0B" wp14:editId="5A806E8F">
              <wp:simplePos x="0" y="0"/>
              <wp:positionH relativeFrom="margin">
                <wp:align>right</wp:align>
              </wp:positionH>
              <wp:positionV relativeFrom="paragraph">
                <wp:posOffset>3175</wp:posOffset>
              </wp:positionV>
              <wp:extent cx="2066926" cy="325750"/>
              <wp:effectExtent l="0" t="0" r="0" b="0"/>
              <wp:wrapNone/>
              <wp:docPr id="2" name="drawing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p>
  <w:p w14:paraId="6F310D48" w14:textId="77777777" w:rsidR="00DB017B" w:rsidRDefault="00DB017B">
    <w:pPr>
      <w:pStyle w:val="Header"/>
    </w:pPr>
  </w:p>
  <w:p w14:paraId="47D77D4A" w14:textId="77777777" w:rsidR="00DB017B" w:rsidRDefault="00DB0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1E2" w14:textId="77777777" w:rsidR="00DB017B" w:rsidRDefault="00DB0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3E7"/>
    <w:multiLevelType w:val="hybridMultilevel"/>
    <w:tmpl w:val="4D7C20E2"/>
    <w:name w:val="ListStyle6"/>
    <w:styleLink w:val="ListStyle6"/>
    <w:lvl w:ilvl="0" w:tplc="E226894A">
      <w:start w:val="1"/>
      <w:numFmt w:val="bullet"/>
      <w:lvlText w:val=""/>
      <w:lvlJc w:val="left"/>
      <w:pPr>
        <w:ind w:left="720" w:hanging="360"/>
      </w:pPr>
      <w:rPr>
        <w:rFonts w:ascii="Symbol" w:hAnsi="Symbol"/>
      </w:rPr>
    </w:lvl>
    <w:lvl w:ilvl="1" w:tplc="7A9C3478">
      <w:start w:val="1"/>
      <w:numFmt w:val="bullet"/>
      <w:lvlText w:val="o"/>
      <w:lvlJc w:val="left"/>
      <w:pPr>
        <w:ind w:left="1440" w:hanging="360"/>
      </w:pPr>
      <w:rPr>
        <w:rFonts w:ascii="Courier New" w:hAnsi="Courier New" w:cs="Courier New"/>
      </w:rPr>
    </w:lvl>
    <w:lvl w:ilvl="2" w:tplc="32E843FE">
      <w:start w:val="1"/>
      <w:numFmt w:val="bullet"/>
      <w:lvlText w:val=""/>
      <w:lvlJc w:val="left"/>
      <w:pPr>
        <w:ind w:left="2160" w:hanging="360"/>
      </w:pPr>
      <w:rPr>
        <w:rFonts w:ascii="Wingdings" w:hAnsi="Wingdings"/>
      </w:rPr>
    </w:lvl>
    <w:lvl w:ilvl="3" w:tplc="F5FEC370">
      <w:start w:val="1"/>
      <w:numFmt w:val="bullet"/>
      <w:lvlText w:val=""/>
      <w:lvlJc w:val="left"/>
      <w:pPr>
        <w:ind w:left="2880" w:hanging="360"/>
      </w:pPr>
      <w:rPr>
        <w:rFonts w:ascii="Symbol" w:hAnsi="Symbol"/>
      </w:rPr>
    </w:lvl>
    <w:lvl w:ilvl="4" w:tplc="3DE603FA">
      <w:start w:val="1"/>
      <w:numFmt w:val="bullet"/>
      <w:lvlText w:val="o"/>
      <w:lvlJc w:val="left"/>
      <w:pPr>
        <w:ind w:left="3600" w:hanging="360"/>
      </w:pPr>
      <w:rPr>
        <w:rFonts w:ascii="Courier New" w:hAnsi="Courier New" w:cs="Courier New"/>
      </w:rPr>
    </w:lvl>
    <w:lvl w:ilvl="5" w:tplc="0F14F8C8">
      <w:start w:val="1"/>
      <w:numFmt w:val="bullet"/>
      <w:lvlText w:val=""/>
      <w:lvlJc w:val="left"/>
      <w:pPr>
        <w:ind w:left="4320" w:hanging="360"/>
      </w:pPr>
      <w:rPr>
        <w:rFonts w:ascii="Wingdings" w:hAnsi="Wingdings"/>
      </w:rPr>
    </w:lvl>
    <w:lvl w:ilvl="6" w:tplc="B836675C">
      <w:start w:val="1"/>
      <w:numFmt w:val="bullet"/>
      <w:lvlText w:val=""/>
      <w:lvlJc w:val="left"/>
      <w:pPr>
        <w:ind w:left="5040" w:hanging="360"/>
      </w:pPr>
      <w:rPr>
        <w:rFonts w:ascii="Symbol" w:hAnsi="Symbol"/>
      </w:rPr>
    </w:lvl>
    <w:lvl w:ilvl="7" w:tplc="B71A0F90">
      <w:start w:val="1"/>
      <w:numFmt w:val="bullet"/>
      <w:lvlText w:val="o"/>
      <w:lvlJc w:val="left"/>
      <w:pPr>
        <w:ind w:left="5760" w:hanging="360"/>
      </w:pPr>
      <w:rPr>
        <w:rFonts w:ascii="Courier New" w:hAnsi="Courier New" w:cs="Courier New"/>
      </w:rPr>
    </w:lvl>
    <w:lvl w:ilvl="8" w:tplc="7B829D96">
      <w:start w:val="1"/>
      <w:numFmt w:val="bullet"/>
      <w:lvlText w:val=""/>
      <w:lvlJc w:val="left"/>
      <w:pPr>
        <w:ind w:left="6480" w:hanging="360"/>
      </w:pPr>
      <w:rPr>
        <w:rFonts w:ascii="Wingdings" w:hAnsi="Wingdings"/>
      </w:rPr>
    </w:lvl>
  </w:abstractNum>
  <w:num w:numId="1" w16cid:durableId="210352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7B"/>
    <w:rsid w:val="0036342A"/>
    <w:rsid w:val="0074335F"/>
    <w:rsid w:val="00DB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FA038"/>
  <w15:docId w15:val="{8443D1C0-23D7-4683-A6D7-5CA62E21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table" w:customStyle="1" w:styleId="TableGrid3">
    <w:name w:val="Table Grid3"/>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D2232A"/>
      <w:u w:val="single"/>
    </w:rPr>
  </w:style>
  <w:style w:type="numbering" w:customStyle="1" w:styleId="ListStyle6">
    <w:name w:val="ListStyle6"/>
    <w:qForma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sites/default/files/ggf/book/2022-08/Modification%200811S%20v3.0_0.pdf" TargetMode="External"/><Relationship Id="rId18" Type="http://schemas.openxmlformats.org/officeDocument/2006/relationships/package" Target="embeddings/Microsoft_PowerPoint_Presentation.ppt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yperlink" Target="mailto:uklink@xoserv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04-shipper-agreed-read-sar-exceptions-process-modification-0811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xoserve.com/calendar/dsc-delivery-sub-group-24-april-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calendar/dsc-delivery-sub-group-20-march-2023/"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D44A3C27349878F4D436992CADD3A"/>
        <w:category>
          <w:name w:val="General"/>
          <w:gallery w:val="placeholder"/>
        </w:category>
        <w:types>
          <w:type w:val="bbPlcHdr"/>
        </w:types>
        <w:behaviors>
          <w:behavior w:val="content"/>
        </w:behaviors>
        <w:guid w:val="{D7BECE8E-DBB2-41DC-9844-F03E08AF4464}"/>
      </w:docPartPr>
      <w:docPartBody>
        <w:p w:rsidR="00087AF1" w:rsidRDefault="00087AF1">
          <w:pPr>
            <w:pStyle w:val="EC7D44A3C27349878F4D436992CADD3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F1"/>
    <w:rsid w:val="0008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EC7D44A3C27349878F4D436992CADD3A">
    <w:name w:val="EC7D44A3C27349878F4D436992CADD3A"/>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7" ma:contentTypeDescription="Create a new document." ma:contentTypeScope="" ma:versionID="6b8fc88bc759ce3acf4e57bf27043473">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ad5716bf7aa773a4eae73ce612f80b7b"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6C203-FF31-42DA-9682-88B57C6B663C}">
  <ds:schemaRefs>
    <ds:schemaRef ds:uri="http://schemas.openxmlformats.org/officeDocument/2006/bibliography"/>
  </ds:schemaRefs>
</ds:datastoreItem>
</file>

<file path=customXml/itemProps2.xml><?xml version="1.0" encoding="utf-8"?>
<ds:datastoreItem xmlns:ds="http://schemas.openxmlformats.org/officeDocument/2006/customXml" ds:itemID="{6889F3AD-B7B0-4E2F-9080-10AB2E94B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1298</Words>
  <Characters>7400</Characters>
  <Application>Microsoft Office Word</Application>
  <DocSecurity>0</DocSecurity>
  <Lines>61</Lines>
  <Paragraphs>17</Paragraphs>
  <ScaleCrop>false</ScaleCrop>
  <Company>National Grid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2023-05-12T15:02:00Z</dcterms:created>
  <dcterms:modified xsi:type="dcterms:W3CDTF">2023-05-12T15:02:00Z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