
<file path=[Content_Types].xml><?xml version="1.0" encoding="utf-8"?>
<Types xmlns="http://schemas.openxmlformats.org/package/2006/content-types">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word/header1.xml" ContentType="application/vnd.openxmlformats-officedocument.wordprocessingml.header+xml"/>
  <Override PartName="/word/footer1.xml" ContentType="application/vnd.openxmlformats-officedocument.wordprocessingml.footer+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officeDocument/2006/relationships/officeDocument" Target="word/document.xml" Id="rId1" /><Relationship Type="http://schemas.openxmlformats.org/package/2006/relationships/metadata/core-properties" Target="/docProps/core.xml" Id="R2caa10126af84580" /><Relationship Type="http://schemas.openxmlformats.org/officeDocument/2006/relationships/extended-properties" Target="/docProps/app.xml" Id="R5735acc389644c83" /><Relationship Type="http://schemas.openxmlformats.org/officeDocument/2006/relationships/custom-properties" Target="/docProps/custom.xml" Id="R6295948e9dd04792"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xml:space="preserve">
  <w:body>
    <w:p>
      <w:pPr>
        <w:rPr>
          <w:rFonts w:ascii="Calibri" w:hAnsi="Calibri" w:cs="Calibri"/>
        </w:rPr>
        <w:pStyle w:val="Title"/>
      </w:pPr>
      <w:r>
        <w:rPr>
          <w:rFonts w:ascii="Calibri" w:hAnsi="Calibri" w:cs="Calibri"/>
        </w:rPr>
        <w:t>High Level Solution Options</w:t>
      </w:r>
      <w:r>
        <w:rPr>
          <w:rFonts w:ascii="Calibri" w:hAnsi="Calibri" w:cs="Calibri"/>
        </w:rPr>
        <w:t xml:space="preserve"> Change Pack</w:t>
      </w:r>
    </w:p>
    <w:p>
      <w:pPr>
        <w:rPr>
          <w:rFonts w:ascii="Calibri" w:hAnsi="Calibri" w:cs="Calibri"/>
        </w:rPr>
        <w:pStyle w:val="heading 1"/>
      </w:pPr>
      <w:r>
        <w:rPr>
          <w:rFonts w:ascii="Calibri" w:hAnsi="Calibri" w:cs="Calibri"/>
        </w:rPr>
        <w:t>Communication Detail</w:t>
      </w:r>
    </w:p>
    <w:tbl>
      <w:tblPr>
        <w:tblStyle w:val="Table Grid"/>
        <w:tblLayout w:type="fixed"/>
        <w:tblInd w:type="dxa" w:w="-34"/>
        <w:tblW w:type="pct" w:w="5018"/>
        <w:tblLook w:firstColumn="1" w:firstRow="1" w:lastColumn="0" w:lastRow="0" w:noHBand="0" w:noVBand="1"/>
      </w:tblPr>
      <w:tblGrid>
        <w:gridCol w:w="2567"/>
        <w:gridCol w:w="7927"/>
      </w:tblGrid>
      <w:tr>
        <w:trPr>
          <w:trHeight w:hRule="atLeast" w:val="403"/>
        </w:trPr>
        <w:tc>
          <w:tcPr>
            <w:shd w:val="clear" w:fill="B3EDFB"/>
            <w:tcW w:type="pct" w:w="1223"/>
            <w:vAlign w:val="center"/>
          </w:tcPr>
          <w:p>
            <w:pPr>
              <w:rPr>
                <w:rFonts w:ascii="Calibri" w:hAnsi="Calibri" w:cs="Calibri"/>
              </w:rPr>
              <w:jc w:val="right"/>
            </w:pPr>
            <w:r>
              <w:rPr>
                <w:rFonts w:ascii="Calibri" w:hAnsi="Calibri" w:cs="Calibri"/>
              </w:rPr>
              <w:t>Comm Reference:</w:t>
            </w:r>
          </w:p>
        </w:tc>
        <w:tc>
          <w:tcPr>
            <w:tcW w:type="pct" w:w="3777"/>
            <w:vAlign w:val="center"/>
          </w:tcPr>
          <w:p>
            <w:pPr>
              <w:rPr>
                <w:rFonts w:ascii="Calibri" w:hAnsi="Calibri" w:cs="Calibri"/>
              </w:rPr>
            </w:pPr>
            <w:r>
              <w:rPr>
                <w:rFonts w:ascii="Calibri" w:hAnsi="Calibri" w:cs="Calibri"/>
              </w:rPr>
              <w:t>3373.1 - KL - PO</w:t>
            </w:r>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Comm Title:</w:t>
            </w:r>
          </w:p>
        </w:tc>
        <w:tc>
          <w:tcPr>
            <w:tcW w:type="pct" w:w="3777"/>
            <w:vAlign w:val="center"/>
          </w:tcPr>
          <w:p>
            <w:pPr>
              <w:rPr>
                <w:rFonts w:ascii="Calibri" w:hAnsi="Calibri" w:cs="Calibri"/>
              </w:rPr>
            </w:pPr>
            <w:r>
              <w:rPr>
                <w:rFonts w:ascii="Calibri" w:hAnsi="Calibri" w:cs="Calibri"/>
              </w:rPr>
              <w:t>XRN5569 Contact Data Provision to IGT Customers</w:t>
            </w:r>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Comm Date:</w:t>
            </w:r>
          </w:p>
        </w:tc>
        <w:tc>
          <w:tcPr>
            <w:tcW w:type="pct" w:w="3777"/>
            <w:vAlign w:val="center"/>
          </w:tcPr>
          <w:sdt>
            <w:sdtPr>
              <w:rPr>
                <w:rFonts w:ascii="Calibri" w:hAnsi="Calibri" w:cs="Calibri"/>
              </w:rPr>
              <w:id w:val="-1238475608"/>
              <w:date w:fullDate="2025-05-12T00:00:00Z">
                <w:dateFormat w:val="dd/MM/yyyy"/>
                <w:lid w:val="en-GB"/>
                <w:storeMappedDataAs w:val="dateTime"/>
                <w:calendar w:val="gregorian"/>
              </w:date>
            </w:sdtPr>
            <w:sdtContent>
              <w:p>
                <w:pPr/>
                <w:r>
                  <w:rPr>
                    <w:rFonts w:ascii="Calibri" w:hAnsi="Calibri" w:cs="Calibri"/>
                  </w:rPr>
                  <w:t>12/05/2025</w:t>
                </w:r>
              </w:p>
            </w:sdtContent>
          </w:sdt>
        </w:tc>
      </w:tr>
    </w:tbl>
    <w:p>
      <w:pPr>
        <w:rPr>
          <w:rFonts w:ascii="Calibri" w:hAnsi="Calibri" w:cs="Calibri"/>
        </w:rPr>
      </w:pPr>
    </w:p>
    <w:p>
      <w:pPr>
        <w:rPr>
          <w:b w:val="1"/>
          <w:bCs w:val="1"/>
          <w:color w:val="3E5AA8"/>
          <w:rFonts w:ascii="Calibri" w:hAnsi="Calibri" w:cs="Calibri"/>
          <w:sz w:val="28"/>
          <w:szCs w:val="28"/>
        </w:rPr>
        <w:spacing w:after="0"/>
      </w:pPr>
      <w:r>
        <w:rPr>
          <w:b w:val="1"/>
          <w:bCs w:val="1"/>
          <w:color w:val="3E5AA8"/>
          <w:rFonts w:ascii="Calibri" w:hAnsi="Calibri" w:cs="Calibri"/>
          <w:sz w:val="28"/>
          <w:szCs w:val="28"/>
        </w:rPr>
        <w:t>Change Representation</w:t>
      </w:r>
    </w:p>
    <w:tbl>
      <w:tblPr>
        <w:tblStyle w:val="Table Grid"/>
        <w:tblLayout w:type="fixed"/>
        <w:tblInd w:type="dxa" w:w="-34"/>
        <w:tblW w:type="pct" w:w="5018"/>
        <w:tblLook w:firstColumn="1" w:firstRow="1" w:lastColumn="0" w:lastRow="0" w:noHBand="0" w:noVBand="1"/>
      </w:tblPr>
      <w:tblGrid>
        <w:gridCol w:w="2567"/>
        <w:gridCol w:w="7927"/>
      </w:tblGrid>
      <w:tr>
        <w:trPr>
          <w:trHeight w:hRule="atLeast" w:val="403"/>
        </w:trPr>
        <w:tc>
          <w:tcPr>
            <w:shd w:val="clear" w:fill="B3EDFB"/>
            <w:tcW w:type="pct" w:w="1223"/>
            <w:vAlign w:val="center"/>
          </w:tcPr>
          <w:p>
            <w:pPr>
              <w:rPr>
                <w:rFonts w:ascii="Calibri" w:hAnsi="Calibri" w:cs="Calibri"/>
              </w:rPr>
              <w:jc w:val="right"/>
            </w:pPr>
            <w:r>
              <w:rPr>
                <w:rFonts w:ascii="Calibri" w:hAnsi="Calibri" w:cs="Calibri"/>
              </w:rPr>
              <w:t>Action Required:</w:t>
            </w:r>
          </w:p>
        </w:tc>
        <w:tc>
          <w:tcPr>
            <w:tcW w:type="pct" w:w="3777"/>
            <w:vAlign w:val="center"/>
          </w:tcPr>
          <w:p>
            <w:pPr>
              <w:rPr>
                <w:rFonts w:ascii="Calibri" w:hAnsi="Calibri" w:cs="Calibri"/>
              </w:rPr>
            </w:pPr>
            <w:r>
              <w:rPr>
                <w:rFonts w:ascii="Calibri" w:hAnsi="Calibri" w:cs="Calibri"/>
              </w:rPr>
              <w:t xml:space="preserve">For Representation </w:t>
            </w:r>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Close Out Date:</w:t>
            </w:r>
          </w:p>
        </w:tc>
        <w:tc>
          <w:tcPr>
            <w:tcW w:type="pct" w:w="3777"/>
            <w:vAlign w:val="center"/>
          </w:tcPr>
          <w:sdt>
            <w:sdtPr>
              <w:rPr>
                <w:rFonts w:ascii="Calibri" w:hAnsi="Calibri" w:cs="Calibri"/>
              </w:rPr>
              <w:id w:val="2100211890"/>
              <w:date w:fullDate="2025-05-27T00:00:00Z">
                <w:dateFormat w:val="dd/MM/yyyy"/>
                <w:lid w:val="en-GB"/>
                <w:storeMappedDataAs w:val="dateTime"/>
                <w:calendar w:val="gregorian"/>
              </w:date>
            </w:sdtPr>
            <w:sdtContent>
              <w:p>
                <w:pPr/>
                <w:r>
                  <w:rPr>
                    <w:rFonts w:ascii="Calibri" w:hAnsi="Calibri" w:cs="Calibri"/>
                  </w:rPr>
                  <w:t>27/05/2025</w:t>
                </w:r>
              </w:p>
            </w:sdtContent>
          </w:sdt>
        </w:tc>
      </w:tr>
    </w:tbl>
    <w:p>
      <w:pPr>
        <w:rPr>
          <w:rFonts w:ascii="Calibri" w:hAnsi="Calibri" w:cs="Calibri"/>
        </w:rPr>
        <w:pStyle w:val="heading 1"/>
      </w:pPr>
      <w:r>
        <w:rPr>
          <w:rFonts w:ascii="Calibri" w:hAnsi="Calibri" w:cs="Calibri"/>
        </w:rPr>
        <w:t>Change Detail</w:t>
      </w:r>
    </w:p>
    <w:tbl>
      <w:tblPr>
        <w:tblStyle w:val="Table Grid"/>
        <w:tblLayout w:type="fixed"/>
        <w:tblInd w:type="dxa" w:w="-34"/>
        <w:tblW w:type="pct" w:w="5018"/>
        <w:tblLook w:firstColumn="1" w:firstRow="1" w:lastColumn="0" w:lastRow="0" w:noHBand="0" w:noVBand="1"/>
      </w:tblPr>
      <w:tblGrid>
        <w:gridCol w:w="2567"/>
        <w:gridCol w:w="7927"/>
      </w:tblGrid>
      <w:tr>
        <w:trPr>
          <w:trHeight w:hRule="atLeast" w:val="403"/>
        </w:trPr>
        <w:tc>
          <w:tcPr>
            <w:shd w:val="clear" w:fill="B3EDFB"/>
            <w:tcW w:type="pct" w:w="1223"/>
            <w:vAlign w:val="center"/>
          </w:tcPr>
          <w:p>
            <w:pPr>
              <w:rPr>
                <w:rFonts w:ascii="Calibri" w:hAnsi="Calibri" w:cs="Calibri"/>
              </w:rPr>
              <w:jc w:val="right"/>
            </w:pPr>
            <w:r>
              <w:rPr>
                <w:rFonts w:ascii="Calibri" w:hAnsi="Calibri" w:cs="Calibri"/>
              </w:rPr>
              <w:t xml:space="preserve">Xoserve Reference Number: </w:t>
            </w:r>
          </w:p>
        </w:tc>
        <w:tc>
          <w:tcPr>
            <w:tcW w:type="pct" w:w="3777"/>
            <w:vAlign w:val="center"/>
          </w:tcPr>
          <w:p>
            <w:pPr>
              <w:rPr>
                <w:rFonts w:ascii="Calibri" w:hAnsi="Calibri" w:cs="Calibri"/>
              </w:rPr>
            </w:pPr>
            <w:hyperlink r:id="R8a65cd5edc6e4de4">
              <w:r>
                <w:rPr>
                  <w:color w:val="0000FF"/>
                  <w:u w:val="single"/>
                </w:rPr>
                <w:t>XRN 5569</w:t>
              </w:r>
            </w:hyperlink>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highlight w:val="yellow"/>
              </w:rPr>
              <w:t>*</w:t>
            </w:r>
            <w:r>
              <w:rPr>
                <w:rFonts w:ascii="Calibri" w:hAnsi="Calibri" w:cs="Calibri"/>
              </w:rPr>
              <w:t>ChMC Constituency Impacted:</w:t>
            </w:r>
          </w:p>
        </w:tc>
        <w:tc>
          <w:tcPr>
            <w:tcW w:type="pct" w:w="3777"/>
            <w:vAlign w:val="center"/>
          </w:tcPr>
          <w:p>
            <w:pPr>
              <w:rPr>
                <w:rFonts w:ascii="Calibri" w:hAnsi="Calibri" w:cs="Calibri"/>
              </w:rPr>
            </w:pPr>
            <w:r>
              <w:rPr>
                <w:rFonts w:ascii="Calibri" w:hAnsi="Calibri" w:cs="Calibri"/>
              </w:rPr>
              <w:t>Independent Gas Transporters (IGTs)</w:t>
            </w:r>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 xml:space="preserve">Change Owner: </w:t>
            </w:r>
          </w:p>
        </w:tc>
        <w:tc>
          <w:tcPr>
            <w:tcW w:type="pct" w:w="3777"/>
            <w:vAlign w:val="center"/>
          </w:tcPr>
          <w:p>
            <w:pPr>
              <w:rPr>
                <w:rFonts w:ascii="Calibri" w:hAnsi="Calibri" w:cs="Calibri"/>
              </w:rPr>
            </w:pPr>
            <w:hyperlink r:id="R8e29dcfb45d441aa">
              <w:r>
                <w:rPr>
                  <w:rStyle w:val="Hyperlink"/>
                  <w:rFonts w:ascii="Calibri" w:hAnsi="Calibri" w:cs="Calibri"/>
                </w:rPr>
                <w:t>uklink@xoserve.com</w:t>
              </w:r>
            </w:hyperlink>
            <w:r>
              <w:rPr>
                <w:rFonts w:ascii="Calibri" w:hAnsi="Calibri" w:cs="Calibri"/>
                <w:highlight w:val="yellow"/>
              </w:rPr>
              <w:t xml:space="preserve"> </w:t>
            </w:r>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Background and Context:</w:t>
            </w:r>
          </w:p>
        </w:tc>
        <w:tc>
          <w:tcPr>
            <w:tcW w:type="pct" w:w="3777"/>
            <w:vAlign w:val="center"/>
          </w:tcPr>
          <w:p>
            <w:pPr>
              <w:rPr>
                <w:rFonts w:ascii="Calibri" w:hAnsi="Calibri" w:cs="Calibri"/>
              </w:rPr>
              <w:jc w:val="both"/>
            </w:pPr>
            <w:r>
              <w:rPr>
                <w:rFonts w:ascii="Calibri" w:hAnsi="Calibri" w:cs="Calibri"/>
              </w:rPr>
              <w:t>Contact data of varying types is provided to IGTs via established daily delta data flows</w:t>
            </w:r>
            <w:r>
              <w:rPr>
                <w:rFonts w:ascii="Calibri" w:hAnsi="Calibri" w:cs="Calibri"/>
              </w:rPr>
              <w:t xml:space="preserve"> by the CDSP</w:t>
            </w:r>
            <w:r>
              <w:rPr>
                <w:rFonts w:ascii="Calibri" w:hAnsi="Calibri" w:cs="Calibri"/>
              </w:rPr>
              <w:t xml:space="preserve"> for MPRNs that are contained within the respective IGTs portfolio</w:t>
            </w:r>
            <w:r>
              <w:rPr>
                <w:rFonts w:ascii="Calibri" w:hAnsi="Calibri" w:cs="Calibri"/>
              </w:rPr>
              <w:t>. H</w:t>
            </w:r>
            <w:r>
              <w:rPr>
                <w:rFonts w:ascii="Calibri" w:hAnsi="Calibri" w:cs="Calibri"/>
              </w:rPr>
              <w:t>owever</w:t>
            </w:r>
            <w:r>
              <w:rPr>
                <w:rFonts w:ascii="Calibri" w:hAnsi="Calibri" w:cs="Calibri"/>
              </w:rPr>
              <w:t>,</w:t>
            </w:r>
            <w:r>
              <w:rPr>
                <w:rFonts w:ascii="Calibri" w:hAnsi="Calibri" w:cs="Calibri"/>
              </w:rPr>
              <w:t xml:space="preserve"> this information is only a subset of the total information help within CDSP systems.</w:t>
            </w:r>
          </w:p>
          <w:p>
            <w:pPr>
              <w:rPr>
                <w:rFonts w:ascii="Calibri" w:hAnsi="Calibri" w:cs="Calibri"/>
              </w:rPr>
              <w:jc w:val="both"/>
            </w:pPr>
            <w:r>
              <w:rPr>
                <w:rFonts w:ascii="Calibri" w:hAnsi="Calibri" w:cs="Calibri"/>
              </w:rPr>
              <w:t xml:space="preserve"> </w:t>
            </w:r>
          </w:p>
          <w:p>
            <w:pPr>
              <w:rPr>
                <w:rFonts w:ascii="Calibri" w:hAnsi="Calibri" w:cs="Calibri"/>
              </w:rPr>
              <w:jc w:val="both"/>
            </w:pPr>
            <w:r>
              <w:rPr>
                <w:rFonts w:ascii="Calibri" w:hAnsi="Calibri" w:cs="Calibri"/>
              </w:rPr>
              <w:t xml:space="preserve">Following the implementation of </w:t>
            </w:r>
            <w:hyperlink r:id="Rb51b3c4ccd974aeb">
              <w:r>
                <w:rPr>
                  <w:color w:val="0000FF"/>
                  <w:rFonts w:ascii="Calibri" w:hAnsi="Calibri" w:cs="Calibri"/>
                  <w:u w:val="single"/>
                </w:rPr>
                <w:t>XRN4850</w:t>
              </w:r>
            </w:hyperlink>
            <w:r>
              <w:rPr>
                <w:rFonts w:ascii="Calibri" w:hAnsi="Calibri" w:cs="Calibri"/>
              </w:rPr>
              <w:t xml:space="preserve">, Xoserve receives </w:t>
            </w:r>
            <w:r>
              <w:rPr>
                <w:rFonts w:ascii="Calibri" w:hAnsi="Calibri" w:cs="Calibri"/>
              </w:rPr>
              <w:t xml:space="preserve">customer </w:t>
            </w:r>
            <w:r>
              <w:rPr>
                <w:rFonts w:ascii="Calibri" w:hAnsi="Calibri" w:cs="Calibri"/>
              </w:rPr>
              <w:t>contact data from energy Suppliers and Shippers, which is used to support the Broadcast and Extract Service</w:t>
            </w:r>
            <w:r>
              <w:rPr>
                <w:rFonts w:ascii="Calibri" w:hAnsi="Calibri" w:cs="Calibri"/>
              </w:rPr>
              <w:t>. T</w:t>
            </w:r>
            <w:r>
              <w:rPr>
                <w:rFonts w:ascii="Calibri" w:hAnsi="Calibri" w:cs="Calibri"/>
              </w:rPr>
              <w:t xml:space="preserve">his data is not shared openly with IGTs and can only be accessed </w:t>
            </w:r>
            <w:r>
              <w:rPr>
                <w:rFonts w:ascii="Calibri" w:hAnsi="Calibri" w:cs="Calibri"/>
              </w:rPr>
              <w:t xml:space="preserve">via </w:t>
            </w:r>
            <w:r>
              <w:rPr>
                <w:rFonts w:ascii="Calibri" w:hAnsi="Calibri" w:cs="Calibri"/>
              </w:rPr>
              <w:t>specified Use Cases.</w:t>
            </w:r>
          </w:p>
          <w:p>
            <w:pPr>
              <w:rPr>
                <w:rFonts w:ascii="Calibri" w:hAnsi="Calibri" w:cs="Calibri"/>
              </w:rPr>
              <w:jc w:val="both"/>
            </w:pPr>
            <w:r>
              <w:rPr>
                <w:rFonts w:ascii="Calibri" w:hAnsi="Calibri" w:cs="Calibri"/>
              </w:rPr>
              <w:t xml:space="preserve">  </w:t>
            </w:r>
          </w:p>
          <w:p>
            <w:pPr>
              <w:rPr>
                <w:rFonts w:ascii="Calibri" w:hAnsi="Calibri" w:cs="Calibri"/>
              </w:rPr>
              <w:jc w:val="both"/>
            </w:pPr>
            <w:r>
              <w:rPr>
                <w:rFonts w:ascii="Calibri" w:hAnsi="Calibri" w:cs="Calibri"/>
              </w:rPr>
              <w:t xml:space="preserve">Consequently, IGT organisations do not currently have full visibility of </w:t>
            </w:r>
            <w:r>
              <w:rPr>
                <w:rFonts w:ascii="Calibri" w:hAnsi="Calibri" w:cs="Calibri"/>
              </w:rPr>
              <w:t>customer c</w:t>
            </w:r>
            <w:r>
              <w:rPr>
                <w:rFonts w:ascii="Calibri" w:hAnsi="Calibri" w:cs="Calibri"/>
              </w:rPr>
              <w:t xml:space="preserve">ontact </w:t>
            </w:r>
            <w:r>
              <w:rPr>
                <w:rFonts w:ascii="Calibri" w:hAnsi="Calibri" w:cs="Calibri"/>
              </w:rPr>
              <w:t>d</w:t>
            </w:r>
            <w:r>
              <w:rPr>
                <w:rFonts w:ascii="Calibri" w:hAnsi="Calibri" w:cs="Calibri"/>
              </w:rPr>
              <w:t xml:space="preserve">ata that is held within UK Link systems against IGT Supply Meter Points that are within the relevant IGT organisations portfolio. </w:t>
            </w:r>
          </w:p>
          <w:p>
            <w:pPr>
              <w:rPr>
                <w:rFonts w:ascii="Calibri" w:hAnsi="Calibri" w:cs="Calibri"/>
              </w:rPr>
              <w:jc w:val="both"/>
            </w:pPr>
          </w:p>
          <w:p>
            <w:pPr>
              <w:rPr>
                <w:rFonts w:ascii="Calibri" w:hAnsi="Calibri" w:cs="Calibri"/>
              </w:rPr>
              <w:jc w:val="both"/>
            </w:pPr>
            <w:r>
              <w:rPr>
                <w:rFonts w:ascii="Calibri" w:hAnsi="Calibri" w:cs="Calibri"/>
              </w:rPr>
              <w:t xml:space="preserve">The lack of visibility of this data can inhibit IGTs in being able to conduct associated business activities, which can present challenges in being able to address queries that may exist against associated </w:t>
            </w:r>
            <w:r>
              <w:rPr>
                <w:rFonts w:ascii="Calibri" w:hAnsi="Calibri" w:cs="Calibri"/>
              </w:rPr>
              <w:t>properties and</w:t>
            </w:r>
            <w:r>
              <w:rPr>
                <w:rFonts w:ascii="Calibri" w:hAnsi="Calibri" w:cs="Calibri"/>
              </w:rPr>
              <w:t xml:space="preserve"> reduce the completeness of data that IGTs require to have access </w:t>
            </w:r>
            <w:r>
              <w:rPr>
                <w:rFonts w:ascii="Calibri" w:hAnsi="Calibri" w:cs="Calibri"/>
              </w:rPr>
              <w:t xml:space="preserve">to, </w:t>
            </w:r>
            <w:r>
              <w:rPr>
                <w:rFonts w:ascii="Calibri" w:hAnsi="Calibri" w:cs="Calibri"/>
              </w:rPr>
              <w:t>and use</w:t>
            </w:r>
            <w:r>
              <w:rPr>
                <w:rFonts w:ascii="Calibri" w:hAnsi="Calibri" w:cs="Calibri"/>
              </w:rPr>
              <w:t>,</w:t>
            </w:r>
            <w:r>
              <w:rPr>
                <w:rFonts w:ascii="Calibri" w:hAnsi="Calibri" w:cs="Calibri"/>
              </w:rPr>
              <w:t xml:space="preserve"> </w:t>
            </w:r>
            <w:r>
              <w:rPr>
                <w:rFonts w:ascii="Calibri" w:hAnsi="Calibri" w:cs="Calibri"/>
              </w:rPr>
              <w:t xml:space="preserve">in their role as </w:t>
            </w:r>
            <w:r>
              <w:rPr>
                <w:rFonts w:ascii="Calibri" w:hAnsi="Calibri" w:cs="Calibri"/>
              </w:rPr>
              <w:t xml:space="preserve">licensed </w:t>
            </w:r>
            <w:r>
              <w:rPr>
                <w:rFonts w:ascii="Calibri" w:hAnsi="Calibri" w:cs="Calibri"/>
              </w:rPr>
              <w:t>Gas Transporter</w:t>
            </w:r>
            <w:r>
              <w:rPr>
                <w:rFonts w:ascii="Calibri" w:hAnsi="Calibri" w:cs="Calibri"/>
              </w:rPr>
              <w:t>s</w:t>
            </w:r>
            <w:r>
              <w:rPr>
                <w:rFonts w:ascii="Calibri" w:hAnsi="Calibri" w:cs="Calibri"/>
              </w:rPr>
              <w:t>.</w:t>
            </w:r>
          </w:p>
          <w:p>
            <w:pPr>
              <w:rPr>
                <w:rFonts w:ascii="Calibri" w:hAnsi="Calibri" w:cs="Calibri"/>
              </w:rPr>
              <w:jc w:val="both"/>
            </w:pPr>
          </w:p>
          <w:p>
            <w:pPr>
              <w:rPr>
                <w:rFonts w:ascii="Calibri" w:hAnsi="Calibri" w:cs="Calibri"/>
              </w:rPr>
              <w:jc w:val="both"/>
            </w:pPr>
            <w:r>
              <w:rPr>
                <w:rFonts w:ascii="Calibri" w:hAnsi="Calibri" w:cs="Calibri"/>
              </w:rPr>
              <w:t xml:space="preserve">Specifically, IGT Customers request visibility of contact data provided to the CDSP via the BRO Contact Type, as supplied by Shipper organisations within the S66 Record. </w:t>
            </w:r>
          </w:p>
          <w:p>
            <w:pPr>
              <w:rPr>
                <w:rFonts w:ascii="Calibri" w:hAnsi="Calibri" w:cs="Calibri"/>
              </w:rPr>
              <w:jc w:val="both"/>
            </w:pPr>
          </w:p>
          <w:p>
            <w:pPr>
              <w:rPr>
                <w:rFonts w:ascii="Calibri" w:hAnsi="Calibri" w:cs="Calibri"/>
              </w:rPr>
              <w:jc w:val="both"/>
            </w:pPr>
            <w:r>
              <w:rPr>
                <w:rFonts w:ascii="Calibri" w:hAnsi="Calibri" w:cs="Calibri"/>
              </w:rPr>
              <w:t xml:space="preserve">Namely the following Data items are being </w:t>
            </w:r>
            <w:r>
              <w:rPr>
                <w:rFonts w:ascii="Calibri" w:hAnsi="Calibri" w:cs="Calibri"/>
              </w:rPr>
              <w:t>requested;</w:t>
            </w:r>
            <w:r>
              <w:rPr>
                <w:rFonts w:ascii="Calibri" w:hAnsi="Calibri" w:cs="Calibri"/>
              </w:rPr>
              <w:t xml:space="preserve"> </w:t>
            </w:r>
          </w:p>
          <w:p>
            <w:pPr>
              <w:rPr>
                <w:rFonts w:ascii="Calibri" w:hAnsi="Calibri" w:cs="Calibri"/>
                <w:sz w:val="18"/>
                <w:szCs w:val="18"/>
              </w:rPr>
              <w:numPr>
                <w:ilvl w:val="0"/>
                <w:numId w:val="1"/>
              </w:numPr>
              <w:pStyle w:val="List Paragraph"/>
              <w:jc w:val="both"/>
              <w:spacing w:after="160" w:lineRule="auto" w:line="259"/>
            </w:pPr>
            <w:r>
              <w:rPr>
                <w:rFonts w:ascii="Calibri" w:hAnsi="Calibri" w:cs="Calibri"/>
                <w:sz w:val="18"/>
                <w:szCs w:val="18"/>
              </w:rPr>
              <w:t>MPRN</w:t>
            </w:r>
          </w:p>
          <w:p>
            <w:pPr>
              <w:rPr>
                <w:rFonts w:ascii="Calibri" w:hAnsi="Calibri" w:cs="Calibri"/>
                <w:sz w:val="18"/>
                <w:szCs w:val="18"/>
              </w:rPr>
              <w:numPr>
                <w:ilvl w:val="0"/>
                <w:numId w:val="1"/>
              </w:numPr>
              <w:pStyle w:val="List Paragraph"/>
              <w:jc w:val="both"/>
              <w:spacing w:after="160" w:lineRule="auto" w:line="259"/>
            </w:pPr>
            <w:r>
              <w:rPr>
                <w:rFonts w:ascii="Calibri" w:hAnsi="Calibri" w:cs="Calibri"/>
                <w:sz w:val="18"/>
                <w:szCs w:val="18"/>
              </w:rPr>
              <w:t xml:space="preserve">Customer Name </w:t>
            </w:r>
          </w:p>
          <w:p>
            <w:pPr>
              <w:rPr>
                <w:rFonts w:ascii="Calibri" w:hAnsi="Calibri" w:cs="Calibri"/>
                <w:sz w:val="18"/>
                <w:szCs w:val="18"/>
              </w:rPr>
              <w:numPr>
                <w:ilvl w:val="0"/>
                <w:numId w:val="1"/>
              </w:numPr>
              <w:pStyle w:val="List Paragraph"/>
              <w:jc w:val="both"/>
              <w:spacing w:after="160" w:lineRule="auto" w:line="259"/>
            </w:pPr>
            <w:r>
              <w:rPr>
                <w:rFonts w:ascii="Calibri" w:hAnsi="Calibri" w:cs="Calibri"/>
                <w:sz w:val="18"/>
                <w:szCs w:val="18"/>
              </w:rPr>
              <w:t xml:space="preserve">Contact Name </w:t>
            </w:r>
          </w:p>
          <w:p>
            <w:pPr>
              <w:rPr>
                <w:rFonts w:ascii="Calibri" w:hAnsi="Calibri" w:cs="Calibri"/>
                <w:sz w:val="18"/>
                <w:szCs w:val="18"/>
              </w:rPr>
              <w:numPr>
                <w:ilvl w:val="0"/>
                <w:numId w:val="1"/>
              </w:numPr>
              <w:pStyle w:val="List Paragraph"/>
              <w:jc w:val="both"/>
              <w:spacing w:after="160" w:lineRule="auto" w:line="259"/>
            </w:pPr>
            <w:r>
              <w:rPr>
                <w:rFonts w:ascii="Calibri" w:hAnsi="Calibri" w:cs="Calibri"/>
                <w:sz w:val="18"/>
                <w:szCs w:val="18"/>
              </w:rPr>
              <w:t xml:space="preserve">Contact Telephone Number </w:t>
            </w:r>
          </w:p>
          <w:p>
            <w:pPr>
              <w:rPr>
                <w:rFonts w:ascii="Calibri" w:hAnsi="Calibri" w:cs="Calibri"/>
                <w:sz w:val="18"/>
                <w:szCs w:val="18"/>
              </w:rPr>
              <w:numPr>
                <w:ilvl w:val="0"/>
                <w:numId w:val="1"/>
              </w:numPr>
              <w:pStyle w:val="List Paragraph"/>
              <w:jc w:val="both"/>
              <w:spacing w:after="160" w:lineRule="auto" w:line="259"/>
            </w:pPr>
            <w:r>
              <w:rPr>
                <w:rFonts w:ascii="Calibri" w:hAnsi="Calibri" w:cs="Calibri"/>
                <w:sz w:val="18"/>
                <w:szCs w:val="18"/>
              </w:rPr>
              <w:t>Contact Email address</w:t>
            </w:r>
          </w:p>
          <w:p>
            <w:pPr>
              <w:rPr>
                <w:rFonts w:ascii="Calibri" w:hAnsi="Calibri" w:cs="Calibri"/>
                <w:sz w:val="18"/>
                <w:szCs w:val="18"/>
              </w:rPr>
              <w:numPr>
                <w:ilvl w:val="0"/>
                <w:numId w:val="1"/>
              </w:numPr>
              <w:pStyle w:val="List Paragraph"/>
              <w:jc w:val="both"/>
              <w:spacing w:after="160" w:lineRule="auto" w:line="259"/>
            </w:pPr>
            <w:r>
              <w:rPr>
                <w:rFonts w:ascii="Calibri" w:hAnsi="Calibri" w:cs="Calibri"/>
                <w:sz w:val="18"/>
                <w:szCs w:val="18"/>
              </w:rPr>
              <w:t>Customer Email 1</w:t>
            </w:r>
          </w:p>
          <w:p>
            <w:pPr>
              <w:rPr>
                <w:rFonts w:ascii="Calibri" w:hAnsi="Calibri" w:cs="Calibri"/>
                <w:sz w:val="18"/>
                <w:szCs w:val="18"/>
              </w:rPr>
              <w:numPr>
                <w:ilvl w:val="0"/>
                <w:numId w:val="1"/>
              </w:numPr>
              <w:pStyle w:val="List Paragraph"/>
              <w:jc w:val="both"/>
              <w:spacing w:after="160" w:lineRule="auto" w:line="259"/>
            </w:pPr>
            <w:r>
              <w:rPr>
                <w:rFonts w:ascii="Calibri" w:hAnsi="Calibri" w:cs="Calibri"/>
                <w:sz w:val="18"/>
                <w:szCs w:val="18"/>
              </w:rPr>
              <w:t>Customer Email 2</w:t>
            </w:r>
          </w:p>
          <w:p>
            <w:pPr>
              <w:rPr>
                <w:rFonts w:ascii="Calibri" w:hAnsi="Calibri" w:cs="Calibri"/>
                <w:sz w:val="18"/>
                <w:szCs w:val="18"/>
              </w:rPr>
              <w:numPr>
                <w:ilvl w:val="0"/>
                <w:numId w:val="1"/>
              </w:numPr>
              <w:pStyle w:val="List Paragraph"/>
              <w:jc w:val="both"/>
              <w:spacing w:after="160" w:lineRule="auto" w:line="259"/>
            </w:pPr>
            <w:r>
              <w:rPr>
                <w:rFonts w:ascii="Calibri" w:hAnsi="Calibri" w:cs="Calibri"/>
                <w:sz w:val="18"/>
                <w:szCs w:val="18"/>
              </w:rPr>
              <w:t>Customer Email 3</w:t>
            </w:r>
          </w:p>
          <w:p>
            <w:pPr>
              <w:rPr>
                <w:rFonts w:ascii="Calibri" w:hAnsi="Calibri" w:cs="Calibri"/>
                <w:sz w:val="18"/>
                <w:szCs w:val="18"/>
              </w:rPr>
              <w:numPr>
                <w:ilvl w:val="0"/>
                <w:numId w:val="1"/>
              </w:numPr>
              <w:pStyle w:val="List Paragraph"/>
              <w:jc w:val="both"/>
              <w:spacing w:after="160" w:lineRule="auto" w:line="259"/>
            </w:pPr>
            <w:r>
              <w:rPr>
                <w:rFonts w:ascii="Calibri" w:hAnsi="Calibri" w:cs="Calibri"/>
                <w:sz w:val="18"/>
                <w:szCs w:val="18"/>
              </w:rPr>
              <w:t>Customer Email 4</w:t>
            </w:r>
          </w:p>
          <w:p>
            <w:pPr>
              <w:rPr>
                <w:rFonts w:ascii="Calibri" w:hAnsi="Calibri" w:cs="Calibri"/>
                <w:sz w:val="18"/>
                <w:szCs w:val="18"/>
              </w:rPr>
              <w:numPr>
                <w:ilvl w:val="0"/>
                <w:numId w:val="1"/>
              </w:numPr>
              <w:pStyle w:val="List Paragraph"/>
              <w:jc w:val="both"/>
              <w:spacing w:after="160" w:lineRule="auto" w:line="259"/>
            </w:pPr>
            <w:r>
              <w:rPr>
                <w:rFonts w:ascii="Calibri" w:hAnsi="Calibri" w:cs="Calibri"/>
                <w:sz w:val="18"/>
                <w:szCs w:val="18"/>
              </w:rPr>
              <w:t>Customer Telephone 1</w:t>
            </w:r>
          </w:p>
          <w:p>
            <w:pPr>
              <w:rPr>
                <w:rFonts w:ascii="Calibri" w:hAnsi="Calibri" w:cs="Calibri"/>
                <w:sz w:val="18"/>
                <w:szCs w:val="18"/>
              </w:rPr>
              <w:numPr>
                <w:ilvl w:val="0"/>
                <w:numId w:val="1"/>
              </w:numPr>
              <w:pStyle w:val="List Paragraph"/>
              <w:jc w:val="both"/>
              <w:spacing w:after="160" w:lineRule="auto" w:line="259"/>
            </w:pPr>
            <w:r>
              <w:rPr>
                <w:rFonts w:ascii="Calibri" w:hAnsi="Calibri" w:cs="Calibri"/>
                <w:sz w:val="18"/>
                <w:szCs w:val="18"/>
              </w:rPr>
              <w:t>Customer Telephone 2</w:t>
            </w:r>
          </w:p>
          <w:p>
            <w:pPr>
              <w:rPr>
                <w:rFonts w:ascii="Calibri" w:hAnsi="Calibri" w:cs="Calibri"/>
                <w:sz w:val="18"/>
                <w:szCs w:val="18"/>
              </w:rPr>
              <w:numPr>
                <w:ilvl w:val="0"/>
                <w:numId w:val="1"/>
              </w:numPr>
              <w:pStyle w:val="List Paragraph"/>
              <w:jc w:val="both"/>
              <w:spacing w:after="160" w:lineRule="auto" w:line="259"/>
            </w:pPr>
            <w:r>
              <w:rPr>
                <w:rFonts w:ascii="Calibri" w:hAnsi="Calibri" w:cs="Calibri"/>
                <w:sz w:val="18"/>
                <w:szCs w:val="18"/>
              </w:rPr>
              <w:t>Customer Telephone 3</w:t>
            </w:r>
          </w:p>
          <w:p>
            <w:pPr>
              <w:rPr>
                <w:rFonts w:ascii="Calibri" w:hAnsi="Calibri" w:cs="Calibri"/>
                <w:sz w:val="18"/>
                <w:szCs w:val="18"/>
              </w:rPr>
              <w:numPr>
                <w:ilvl w:val="0"/>
                <w:numId w:val="1"/>
              </w:numPr>
              <w:pStyle w:val="List Paragraph"/>
              <w:jc w:val="both"/>
              <w:spacing w:after="160" w:lineRule="auto" w:line="259"/>
            </w:pPr>
            <w:r>
              <w:rPr>
                <w:rFonts w:ascii="Calibri" w:hAnsi="Calibri" w:cs="Calibri"/>
                <w:sz w:val="18"/>
                <w:szCs w:val="18"/>
              </w:rPr>
              <w:t>Customer Telephone 4</w:t>
            </w:r>
          </w:p>
          <w:p>
            <w:pPr>
              <w:rPr>
                <w:rFonts w:ascii="Calibri" w:hAnsi="Calibri" w:cs="Calibri"/>
                <w:sz w:val="18"/>
                <w:szCs w:val="18"/>
              </w:rPr>
              <w:numPr>
                <w:ilvl w:val="0"/>
                <w:numId w:val="1"/>
              </w:numPr>
              <w:pStyle w:val="List Paragraph"/>
              <w:jc w:val="both"/>
              <w:spacing w:after="160" w:lineRule="auto" w:line="259"/>
            </w:pPr>
            <w:r>
              <w:rPr>
                <w:rFonts w:ascii="Calibri" w:hAnsi="Calibri" w:cs="Calibri"/>
                <w:sz w:val="18"/>
                <w:szCs w:val="18"/>
              </w:rPr>
              <w:t>Customer Mailing Address</w:t>
            </w:r>
          </w:p>
          <w:p>
            <w:pPr>
              <w:rPr>
                <w:sz w:val="18"/>
                <w:szCs w:val="18"/>
              </w:rPr>
              <w:numPr>
                <w:ilvl w:val="0"/>
                <w:numId w:val="1"/>
              </w:numPr>
              <w:pStyle w:val="List Paragraph"/>
              <w:jc w:val="both"/>
              <w:spacing w:after="160" w:lineRule="auto" w:line="259"/>
            </w:pPr>
            <w:r>
              <w:rPr>
                <w:rFonts w:ascii="Calibri" w:hAnsi="Calibri" w:cs="Calibri"/>
                <w:sz w:val="18"/>
                <w:szCs w:val="18"/>
              </w:rPr>
              <w:t>Preferred contact Method</w:t>
            </w:r>
          </w:p>
          <w:p>
            <w:pPr>
              <w:rPr>
                <w:rFonts w:ascii="Calibri" w:hAnsi="Calibri" w:cs="Calibri"/>
              </w:rPr>
            </w:pPr>
            <w:r>
              <w:rPr>
                <w:rFonts w:ascii="Calibri" w:hAnsi="Calibri" w:cs="Calibri"/>
              </w:rPr>
              <w:t xml:space="preserve">Following review with </w:t>
            </w:r>
            <w:r>
              <w:rPr>
                <w:rFonts w:ascii="Calibri" w:hAnsi="Calibri" w:cs="Calibri"/>
              </w:rPr>
              <w:t xml:space="preserve">IGT </w:t>
            </w:r>
            <w:r>
              <w:rPr>
                <w:rFonts w:ascii="Calibri" w:hAnsi="Calibri" w:cs="Calibri"/>
              </w:rPr>
              <w:t xml:space="preserve">customers, it was confirmed that any solution that is progressed should ensure only those parties that choose to receive and consume the additional </w:t>
            </w:r>
            <w:r>
              <w:rPr>
                <w:rFonts w:ascii="Calibri" w:hAnsi="Calibri" w:cs="Calibri"/>
              </w:rPr>
              <w:t xml:space="preserve">customer </w:t>
            </w:r>
            <w:r>
              <w:rPr>
                <w:rFonts w:ascii="Calibri" w:hAnsi="Calibri" w:cs="Calibri"/>
              </w:rPr>
              <w:t>contact data are required to adopt the solution – i.e. changes should not be universally applied to all IGTs.</w:t>
            </w:r>
            <w:r>
              <w:rPr>
                <w:rFonts w:ascii="Calibri" w:hAnsi="Calibri" w:cs="Calibri"/>
              </w:rPr>
              <w:t xml:space="preserve"> </w:t>
            </w:r>
          </w:p>
        </w:tc>
      </w:tr>
    </w:tbl>
    <w:p>
      <w:pPr>
        <w:rPr>
          <w:rFonts w:ascii="Calibri" w:hAnsi="Calibri" w:cs="Calibri"/>
        </w:rPr>
      </w:pPr>
    </w:p>
    <w:p>
      <w:pPr>
        <w:rPr>
          <w:rFonts w:ascii="Calibri" w:hAnsi="Calibri" w:cs="Calibri"/>
        </w:rPr>
        <w:pStyle w:val="heading 1"/>
      </w:pPr>
      <w:r>
        <w:rPr>
          <w:rFonts w:ascii="Calibri" w:hAnsi="Calibri" w:cs="Calibri"/>
        </w:rPr>
        <w:t>Solution Options</w:t>
      </w:r>
    </w:p>
    <w:tbl>
      <w:tblPr>
        <w:tblStyle w:val="Table Grid"/>
        <w:tblLayout w:type="fixed"/>
        <w:tblInd w:type="dxa" w:w="-34"/>
        <w:tblW w:type="pct" w:w="5018"/>
        <w:tblLook w:firstColumn="1" w:firstRow="1" w:lastColumn="0" w:lastRow="0" w:noHBand="0" w:noVBand="1"/>
      </w:tblPr>
      <w:tblGrid>
        <w:gridCol w:w="2567"/>
        <w:gridCol w:w="7927"/>
      </w:tblGrid>
      <w:tr>
        <w:trPr>
          <w:trHeight w:hRule="atLeast" w:val="1537"/>
        </w:trPr>
        <w:tc>
          <w:tcPr>
            <w:shd w:val="clear" w:fill="B3EDFB"/>
            <w:tcW w:type="pct" w:w="1223"/>
            <w:vAlign w:val="center"/>
          </w:tcPr>
          <w:p>
            <w:pPr>
              <w:rPr>
                <w:rFonts w:ascii="Calibri" w:hAnsi="Calibri" w:cs="Calibri"/>
              </w:rPr>
              <w:jc w:val="right"/>
            </w:pPr>
            <w:r>
              <w:rPr>
                <w:rFonts w:ascii="Calibri" w:hAnsi="Calibri" w:cs="Calibri"/>
              </w:rPr>
              <w:t>Solution Option Summary:</w:t>
            </w:r>
          </w:p>
        </w:tc>
        <w:tc>
          <w:tcPr>
            <w:tcW w:type="pct" w:w="3777"/>
          </w:tcPr>
          <w:p>
            <w:pPr>
              <w:rPr>
                <w:rFonts w:ascii="Calibri" w:hAnsi="Calibri" w:cs="Calibri"/>
              </w:rPr>
            </w:pPr>
            <w:r>
              <w:rPr>
                <w:rFonts w:ascii="Calibri" w:hAnsi="Calibri" w:cs="Calibri"/>
              </w:rPr>
              <w:t xml:space="preserve">IGT Customers require full visibility of their portfolio’s customer contact details. The current </w:t>
            </w:r>
            <w:r>
              <w:rPr>
                <w:rFonts w:ascii="Calibri" w:hAnsi="Calibri" w:cs="Calibri"/>
              </w:rPr>
              <w:t xml:space="preserve">Broadcast and </w:t>
            </w:r>
            <w:r>
              <w:rPr>
                <w:rFonts w:ascii="Calibri" w:hAnsi="Calibri" w:cs="Calibri"/>
              </w:rPr>
              <w:t>Extrac</w:t>
            </w:r>
            <w:r>
              <w:rPr>
                <w:rFonts w:ascii="Calibri" w:hAnsi="Calibri" w:cs="Calibri"/>
              </w:rPr>
              <w:t>t Service</w:t>
            </w:r>
            <w:r>
              <w:rPr>
                <w:rFonts w:ascii="Calibri" w:hAnsi="Calibri" w:cs="Calibri"/>
              </w:rPr>
              <w:t xml:space="preserve"> functionality on the UK Link Portal provides a mechanism to extract these details but it is limited to a single MPRN only. </w:t>
            </w:r>
          </w:p>
          <w:p>
            <w:pPr>
              <w:rPr>
                <w:rFonts w:ascii="Calibri" w:hAnsi="Calibri" w:cs="Calibri"/>
              </w:rPr>
            </w:pPr>
          </w:p>
          <w:p>
            <w:pPr>
              <w:rPr>
                <w:rFonts w:ascii="Calibri" w:hAnsi="Calibri" w:cs="Calibri"/>
              </w:rPr>
            </w:pPr>
            <w:r>
              <w:rPr>
                <w:rFonts w:ascii="Calibri" w:hAnsi="Calibri" w:cs="Calibri"/>
              </w:rPr>
              <w:t>IGT organisations require an extract containing all the MPRNs data within their relevant portfolio in a bulk format.</w:t>
            </w:r>
            <w:r>
              <w:rPr>
                <w:rFonts w:ascii="Calibri" w:hAnsi="Calibri" w:cs="Calibri"/>
              </w:rPr>
              <w:t xml:space="preserve"> </w:t>
            </w:r>
          </w:p>
          <w:p>
            <w:pPr>
              <w:rPr>
                <w:rFonts w:ascii="Calibri" w:hAnsi="Calibri" w:cs="Calibri"/>
              </w:rPr>
            </w:pPr>
          </w:p>
          <w:p>
            <w:pPr>
              <w:rPr>
                <w:rFonts w:ascii="Calibri" w:hAnsi="Calibri" w:cs="Calibri"/>
              </w:rPr>
            </w:pPr>
            <w:r>
              <w:rPr>
                <w:rFonts w:ascii="Calibri" w:hAnsi="Calibri" w:cs="Calibri"/>
              </w:rPr>
              <w:t>To support the</w:t>
            </w:r>
            <w:r>
              <w:rPr>
                <w:rFonts w:ascii="Calibri" w:hAnsi="Calibri" w:cs="Calibri"/>
              </w:rPr>
              <w:t xml:space="preserve"> </w:t>
            </w:r>
            <w:r>
              <w:rPr>
                <w:rFonts w:ascii="Calibri" w:hAnsi="Calibri" w:cs="Calibri"/>
              </w:rPr>
              <w:t>requirements</w:t>
            </w:r>
            <w:r>
              <w:rPr>
                <w:rFonts w:ascii="Calibri" w:hAnsi="Calibri" w:cs="Calibri"/>
              </w:rPr>
              <w:t xml:space="preserve"> that have been captured for this change</w:t>
            </w:r>
            <w:r>
              <w:rPr>
                <w:rFonts w:ascii="Calibri" w:hAnsi="Calibri" w:cs="Calibri"/>
              </w:rPr>
              <w:t xml:space="preserve">, </w:t>
            </w:r>
            <w:r>
              <w:rPr>
                <w:rFonts w:ascii="Calibri" w:hAnsi="Calibri" w:cs="Calibri"/>
              </w:rPr>
              <w:t xml:space="preserve">the </w:t>
            </w:r>
            <w:r>
              <w:rPr>
                <w:rFonts w:ascii="Calibri" w:hAnsi="Calibri" w:cs="Calibri"/>
              </w:rPr>
              <w:t xml:space="preserve">‘to-be’ solution would </w:t>
            </w:r>
            <w:r>
              <w:rPr>
                <w:rFonts w:ascii="Calibri" w:hAnsi="Calibri" w:cs="Calibri"/>
              </w:rPr>
              <w:t xml:space="preserve">need to </w:t>
            </w:r>
            <w:r>
              <w:rPr>
                <w:rFonts w:ascii="Calibri" w:hAnsi="Calibri" w:cs="Calibri"/>
              </w:rPr>
              <w:t>introduce a new, ‘Secure Delivery’ step into the existing process</w:t>
            </w:r>
            <w:r>
              <w:rPr>
                <w:rFonts w:ascii="Calibri" w:hAnsi="Calibri" w:cs="Calibri"/>
              </w:rPr>
              <w:t xml:space="preserve"> – which would enable </w:t>
            </w:r>
            <w:r>
              <w:rPr>
                <w:rFonts w:ascii="Calibri" w:hAnsi="Calibri" w:cs="Calibri"/>
              </w:rPr>
              <w:t xml:space="preserve">customer contact data </w:t>
            </w:r>
            <w:r>
              <w:rPr>
                <w:rFonts w:ascii="Calibri" w:hAnsi="Calibri" w:cs="Calibri"/>
              </w:rPr>
              <w:t xml:space="preserve">to be provided </w:t>
            </w:r>
            <w:r>
              <w:rPr>
                <w:rFonts w:ascii="Calibri" w:hAnsi="Calibri" w:cs="Calibri"/>
              </w:rPr>
              <w:t xml:space="preserve">in bulk to IGT </w:t>
            </w:r>
            <w:r>
              <w:rPr>
                <w:rFonts w:ascii="Calibri" w:hAnsi="Calibri" w:cs="Calibri"/>
              </w:rPr>
              <w:t>customers</w:t>
            </w:r>
            <w:r>
              <w:rPr>
                <w:rFonts w:ascii="Calibri" w:hAnsi="Calibri" w:cs="Calibri"/>
              </w:rPr>
              <w:t>;</w:t>
            </w:r>
            <w:r>
              <w:rPr>
                <w:rFonts w:ascii="Calibri" w:hAnsi="Calibri" w:cs="Calibri"/>
              </w:rPr>
              <w:t xml:space="preserve"> </w:t>
            </w:r>
          </w:p>
          <w:p>
            <w:pPr>
              <w:rPr>
                <w:rFonts w:ascii="Calibri" w:hAnsi="Calibri" w:cs="Calibri"/>
              </w:rPr>
            </w:pPr>
            <w:r>
              <w:rPr>
                <w:rFonts w:ascii="Calibri" w:hAnsi="Calibri" w:cs="Calibri"/>
              </w:rPr>
              <w:t xml:space="preserve"> </w:t>
            </w:r>
            <w:r>
              <mc:AlternateContent>
                <mc:Choice Requires="wps">
                  <w:drawing>
                    <wp:inline>
                      <wp:extent cx="3327170" cy="1871345"/>
                      <wp:docPr id="1" name="drawingObject1"/>
                      <wp:cNvGraphicFramePr/>
                      <graphic xmlns="http://schemas.openxmlformats.org/drawingml/2006/main">
                        <graphicData uri="http://schemas.openxmlformats.org/drawingml/2006/picture">
                          <pic xmlns="http://schemas.openxmlformats.org/drawingml/2006/picture">
                            <nvPicPr>
                              <cNvPr id="2" name="Picture 2"/>
                              <cNvPicPr/>
                            </nvPicPr>
                            <blipFill>
                              <blip xmlns="http://schemas.openxmlformats.org/drawingml/2006/main" r:embed="R4fc5fe9e6cb94968"/>
                              <stretch xmlns="http://schemas.openxmlformats.org/drawingml/2006/main"/>
                            </blipFill>
                            <spPr>
                              <xfrm xmlns="http://schemas.openxmlformats.org/drawingml/2006/main" rot="0">
                                <ext cx="3327170" cy="1871345"/>
                              </xfrm>
                              <prstGeom xmlns="http://schemas.openxmlformats.org/drawingml/2006/main" prst="rect">
                                <avLst/>
                              </prstGeom>
                              <noFill xmlns="http://schemas.openxmlformats.org/drawingml/2006/main"/>
                            </spPr>
                          </pic>
                        </graphicData>
                      </graphic>
                    </wp:inline>
                  </w:drawing>
                </mc:Choice>
                <mc:Fallback/>
              </mc:AlternateContent>
            </w:r>
          </w:p>
          <w:p>
            <w:pPr>
              <w:rPr>
                <w:rFonts w:ascii="Calibri" w:hAnsi="Calibri" w:cs="Calibri"/>
              </w:rPr>
            </w:pPr>
          </w:p>
          <w:p>
            <w:pPr>
              <w:rPr>
                <w:rFonts w:ascii="Calibri" w:hAnsi="Calibri" w:cs="Calibri"/>
              </w:rPr>
            </w:pPr>
            <w:r>
              <w:rPr>
                <w:rFonts w:ascii="Calibri" w:hAnsi="Calibri" w:cs="Calibri"/>
              </w:rPr>
              <w:t xml:space="preserve">For all </w:t>
            </w:r>
            <w:r>
              <w:rPr>
                <w:rFonts w:ascii="Calibri" w:hAnsi="Calibri" w:cs="Calibri"/>
              </w:rPr>
              <w:t xml:space="preserve">solution </w:t>
            </w:r>
            <w:r>
              <w:rPr>
                <w:rFonts w:ascii="Calibri" w:hAnsi="Calibri" w:cs="Calibri"/>
              </w:rPr>
              <w:t xml:space="preserve">options, </w:t>
            </w:r>
            <w:r>
              <w:rPr>
                <w:rFonts w:ascii="Calibri" w:hAnsi="Calibri" w:cs="Calibri"/>
              </w:rPr>
              <w:t xml:space="preserve">any files </w:t>
            </w:r>
            <w:r>
              <w:rPr>
                <w:rFonts w:ascii="Calibri" w:hAnsi="Calibri" w:cs="Calibri"/>
              </w:rPr>
              <w:t xml:space="preserve">generated </w:t>
            </w:r>
            <w:r>
              <w:rPr>
                <w:rFonts w:ascii="Calibri" w:hAnsi="Calibri" w:cs="Calibri"/>
              </w:rPr>
              <w:t xml:space="preserve">by the ‘Secure Delivery’ process step, </w:t>
            </w:r>
            <w:r>
              <w:rPr>
                <w:rFonts w:ascii="Calibri" w:hAnsi="Calibri" w:cs="Calibri"/>
              </w:rPr>
              <w:t>will</w:t>
            </w:r>
            <w:r>
              <w:rPr>
                <w:rFonts w:ascii="Calibri" w:hAnsi="Calibri" w:cs="Calibri"/>
              </w:rPr>
              <w:t xml:space="preserve"> need to</w:t>
            </w:r>
            <w:r>
              <w:rPr>
                <w:rFonts w:ascii="Calibri" w:hAnsi="Calibri" w:cs="Calibri"/>
              </w:rPr>
              <w:t xml:space="preserve"> be sent to a predefined location. Due to the highly sensitive nature of the data, generated files </w:t>
            </w:r>
            <w:r>
              <w:rPr>
                <w:rFonts w:ascii="Calibri" w:hAnsi="Calibri" w:cs="Calibri"/>
              </w:rPr>
              <w:t xml:space="preserve">can only be issued </w:t>
            </w:r>
            <w:r>
              <w:rPr>
                <w:rFonts w:ascii="Calibri" w:hAnsi="Calibri" w:cs="Calibri"/>
              </w:rPr>
              <w:t xml:space="preserve">via </w:t>
            </w:r>
            <w:r>
              <w:rPr>
                <w:rFonts w:ascii="Calibri" w:hAnsi="Calibri" w:cs="Calibri"/>
              </w:rPr>
              <w:t>recognised,</w:t>
            </w:r>
            <w:r>
              <w:rPr>
                <w:rFonts w:ascii="Calibri" w:hAnsi="Calibri" w:cs="Calibri"/>
              </w:rPr>
              <w:t xml:space="preserve"> secure file transfer methods, </w:t>
            </w:r>
            <w:r>
              <w:rPr>
                <w:rFonts w:ascii="Calibri" w:hAnsi="Calibri" w:cs="Calibri"/>
              </w:rPr>
              <w:t xml:space="preserve">i.e. </w:t>
            </w:r>
            <w:r>
              <w:rPr>
                <w:rFonts w:ascii="Calibri" w:hAnsi="Calibri" w:cs="Calibri"/>
              </w:rPr>
              <w:t xml:space="preserve">either EFT/IX or </w:t>
            </w:r>
            <w:r>
              <w:rPr>
                <w:rFonts w:ascii="Calibri" w:hAnsi="Calibri" w:cs="Calibri"/>
              </w:rPr>
              <w:t xml:space="preserve">SFTP </w:t>
            </w:r>
            <w:r>
              <w:rPr>
                <w:rFonts w:ascii="Calibri" w:hAnsi="Calibri" w:cs="Calibri"/>
              </w:rPr>
              <w:t>MOVEit</w:t>
            </w:r>
            <w:r>
              <w:rPr>
                <w:rFonts w:ascii="Calibri" w:hAnsi="Calibri" w:cs="Calibri"/>
              </w:rPr>
              <w:t xml:space="preserve">. </w:t>
            </w:r>
          </w:p>
          <w:p>
            <w:pPr>
              <w:rPr>
                <w:rFonts w:ascii="Calibri" w:hAnsi="Calibri" w:cs="Calibri"/>
              </w:rPr>
            </w:pPr>
          </w:p>
          <w:p>
            <w:pPr>
              <w:rPr>
                <w:rFonts w:ascii="Calibri" w:hAnsi="Calibri" w:cs="Calibri"/>
              </w:rPr>
            </w:pPr>
            <w:r>
              <w:rPr>
                <w:rFonts w:ascii="Calibri" w:hAnsi="Calibri" w:cs="Calibri"/>
              </w:rPr>
              <w:t xml:space="preserve">Additionally, </w:t>
            </w:r>
            <w:r>
              <w:rPr>
                <w:rFonts w:ascii="Calibri" w:hAnsi="Calibri" w:cs="Calibri"/>
              </w:rPr>
              <w:t>to</w:t>
            </w:r>
            <w:r>
              <w:rPr>
                <w:rFonts w:ascii="Calibri" w:hAnsi="Calibri" w:cs="Calibri"/>
              </w:rPr>
              <w:t xml:space="preserve"> satisfy the Use Case for Extract purposes, </w:t>
            </w:r>
            <w:r>
              <w:rPr>
                <w:rFonts w:ascii="Calibri" w:hAnsi="Calibri" w:cs="Calibri"/>
              </w:rPr>
              <w:t xml:space="preserve">a mechanism needs to be put in place to confirm how each </w:t>
            </w:r>
            <w:r>
              <w:rPr>
                <w:rFonts w:ascii="Calibri" w:hAnsi="Calibri" w:cs="Calibri"/>
              </w:rPr>
              <w:t>E</w:t>
            </w:r>
            <w:r>
              <w:rPr>
                <w:rFonts w:ascii="Calibri" w:hAnsi="Calibri" w:cs="Calibri"/>
              </w:rPr>
              <w:t xml:space="preserve">xtract adheres to the terms of the permitted Use Case, so that this can be captured for </w:t>
            </w:r>
            <w:r>
              <w:rPr>
                <w:rFonts w:ascii="Calibri" w:hAnsi="Calibri" w:cs="Calibri"/>
              </w:rPr>
              <w:t>compliance and audit purposes.</w:t>
            </w:r>
          </w:p>
          <w:p>
            <w:pPr>
              <w:rPr>
                <w:rFonts w:ascii="Calibri" w:hAnsi="Calibri" w:cs="Calibri"/>
              </w:rPr>
            </w:pPr>
          </w:p>
          <w:p>
            <w:pPr>
              <w:rPr>
                <w:rFonts w:ascii="Calibri" w:hAnsi="Calibri" w:cs="Calibri"/>
              </w:rPr>
            </w:pPr>
            <w:r>
              <w:rPr>
                <w:rFonts w:ascii="Calibri" w:hAnsi="Calibri" w:cs="Calibri"/>
              </w:rPr>
              <w:t xml:space="preserve">As a result of the above, four solution options have been identified that </w:t>
            </w:r>
            <w:r>
              <w:rPr>
                <w:rFonts w:ascii="Calibri" w:hAnsi="Calibri" w:cs="Calibri"/>
              </w:rPr>
              <w:t>meet the prescribed requirements</w:t>
            </w:r>
            <w:r>
              <w:rPr>
                <w:rFonts w:ascii="Calibri" w:hAnsi="Calibri" w:cs="Calibri"/>
              </w:rPr>
              <w:t xml:space="preserve"> of the new ‘Secure Delivery’ process </w:t>
            </w:r>
            <w:r>
              <w:rPr>
                <w:rFonts w:ascii="Calibri" w:hAnsi="Calibri" w:cs="Calibri"/>
              </w:rPr>
              <w:t>step</w:t>
            </w:r>
            <w:r>
              <w:rPr>
                <w:rFonts w:ascii="Calibri" w:hAnsi="Calibri" w:cs="Calibri"/>
              </w:rPr>
              <w:t>;</w:t>
            </w:r>
            <w:r>
              <w:rPr>
                <w:rFonts w:ascii="Calibri" w:hAnsi="Calibri" w:cs="Calibri"/>
              </w:rPr>
              <w:t xml:space="preserve"> </w:t>
            </w:r>
          </w:p>
          <w:p>
            <w:pPr>
              <w:rPr>
                <w:rFonts w:ascii="Calibri" w:hAnsi="Calibri" w:cs="Calibri"/>
              </w:rPr>
            </w:pPr>
            <w:r>
              <w:rPr>
                <w:rFonts w:ascii="Calibri" w:hAnsi="Calibri" w:cs="Calibri"/>
              </w:rPr>
              <mc:AlternateContent>
                <mc:Choice Requires="wps">
                  <w:drawing>
                    <wp:inline>
                      <wp:extent cx="4843429" cy="2591199"/>
                      <wp:docPr id="3" name="drawingObject3"/>
                      <wp:cNvGraphicFramePr/>
                      <graphic xmlns="http://schemas.openxmlformats.org/drawingml/2006/main">
                        <graphicData uri="http://schemas.openxmlformats.org/drawingml/2006/picture">
                          <pic xmlns="http://schemas.openxmlformats.org/drawingml/2006/picture">
                            <nvPicPr>
                              <cNvPr id="4" name="Picture 4"/>
                              <cNvPicPr/>
                            </nvPicPr>
                            <blipFill>
                              <blip xmlns="http://schemas.openxmlformats.org/drawingml/2006/main" r:embed="R4592664c1ffa401b"/>
                              <stretch xmlns="http://schemas.openxmlformats.org/drawingml/2006/main"/>
                            </blipFill>
                            <spPr>
                              <xfrm xmlns="http://schemas.openxmlformats.org/drawingml/2006/main" rot="0">
                                <ext cx="4843429" cy="2591199"/>
                              </xfrm>
                              <prstGeom xmlns="http://schemas.openxmlformats.org/drawingml/2006/main" prst="rect">
                                <avLst/>
                              </prstGeom>
                              <noFill xmlns="http://schemas.openxmlformats.org/drawingml/2006/main"/>
                            </spPr>
                          </pic>
                        </graphicData>
                      </graphic>
                    </wp:inline>
                  </w:drawing>
                </mc:Choice>
                <mc:Fallback/>
              </mc:AlternateContent>
            </w:r>
          </w:p>
          <w:p>
            <w:pPr>
              <w:rPr>
                <w:rFonts w:ascii="Calibri" w:hAnsi="Calibri" w:cs="Calibri"/>
              </w:rPr>
            </w:pPr>
            <w:r>
              <w:rPr>
                <w:rFonts w:ascii="Calibri" w:hAnsi="Calibri" w:cs="Calibri"/>
              </w:rPr>
              <w:t xml:space="preserve">Only Solution Option 1 (a and b) </w:t>
            </w:r>
            <w:r>
              <w:rPr>
                <w:rFonts w:ascii="Calibri" w:hAnsi="Calibri" w:cs="Calibri"/>
              </w:rPr>
              <w:t xml:space="preserve">and Option 4 </w:t>
            </w:r>
            <w:r>
              <w:rPr>
                <w:rFonts w:ascii="Calibri" w:hAnsi="Calibri" w:cs="Calibri"/>
              </w:rPr>
              <w:t xml:space="preserve">offer a fully technical means of capturing </w:t>
            </w:r>
            <w:r>
              <w:rPr>
                <w:rFonts w:ascii="Calibri" w:hAnsi="Calibri" w:cs="Calibri"/>
              </w:rPr>
              <w:t xml:space="preserve">Extract purpose per request – with </w:t>
            </w:r>
            <w:r>
              <w:rPr>
                <w:rFonts w:ascii="Calibri" w:hAnsi="Calibri" w:cs="Calibri"/>
              </w:rPr>
              <w:t xml:space="preserve">Solution Options 2 and 3 </w:t>
            </w:r>
            <w:r>
              <w:rPr>
                <w:rFonts w:ascii="Calibri" w:hAnsi="Calibri" w:cs="Calibri"/>
              </w:rPr>
              <w:t xml:space="preserve">needing an alternative </w:t>
            </w:r>
            <w:r>
              <w:rPr>
                <w:rFonts w:ascii="Calibri" w:hAnsi="Calibri" w:cs="Calibri"/>
              </w:rPr>
              <w:t>contractual mechanism to capture and agree the Extract purpose where data has been supplied to a requesting IGT customer.</w:t>
            </w:r>
            <w:r>
              <w:rPr>
                <w:rFonts w:ascii="Calibri" w:hAnsi="Calibri" w:cs="Calibri"/>
              </w:rPr>
              <w:t xml:space="preserve"> </w:t>
            </w:r>
          </w:p>
          <w:p>
            <w:pPr>
              <w:rPr>
                <w:rFonts w:ascii="Calibri" w:hAnsi="Calibri" w:cs="Calibri"/>
              </w:rPr>
            </w:pPr>
          </w:p>
          <w:p>
            <w:pPr>
              <w:rPr>
                <w:rFonts w:ascii="Calibri" w:hAnsi="Calibri" w:cs="Calibri"/>
              </w:rPr>
            </w:pPr>
            <w:r>
              <w:rPr>
                <w:rFonts w:ascii="Calibri" w:hAnsi="Calibri" w:cs="Calibri"/>
              </w:rPr>
              <w:t xml:space="preserve">The costs </w:t>
            </w:r>
            <w:r>
              <w:rPr>
                <w:rFonts w:ascii="Calibri" w:hAnsi="Calibri" w:cs="Calibri"/>
              </w:rPr>
              <w:t xml:space="preserve">for each solution option (illustrated above) are high level cost </w:t>
            </w:r>
            <w:r>
              <w:rPr>
                <w:rFonts w:ascii="Calibri" w:hAnsi="Calibri" w:cs="Calibri"/>
              </w:rPr>
              <w:t>estimates, and</w:t>
            </w:r>
            <w:r>
              <w:rPr>
                <w:rFonts w:ascii="Calibri" w:hAnsi="Calibri" w:cs="Calibri"/>
              </w:rPr>
              <w:t xml:space="preserve"> will only be </w:t>
            </w:r>
            <w:r>
              <w:rPr>
                <w:rFonts w:ascii="Calibri" w:hAnsi="Calibri" w:cs="Calibri"/>
              </w:rPr>
              <w:t xml:space="preserve">fully defined once detailed design has been performed on a preferred solution option. </w:t>
            </w:r>
            <w:r>
              <w:rPr>
                <w:rFonts w:ascii="Calibri" w:hAnsi="Calibri" w:cs="Calibri"/>
              </w:rPr>
              <w:t xml:space="preserve"> </w:t>
            </w:r>
          </w:p>
          <w:p>
            <w:pPr>
              <w:rPr>
                <w:rFonts w:ascii="Calibri" w:hAnsi="Calibri" w:cs="Calibri"/>
              </w:rPr>
            </w:pPr>
          </w:p>
          <w:p>
            <w:pPr>
              <w:rPr>
                <w:rFonts w:ascii="Calibri" w:hAnsi="Calibri" w:cs="Calibri"/>
              </w:rPr>
            </w:pPr>
          </w:p>
          <w:p>
            <w:pPr>
              <w:rPr>
                <w:rFonts w:ascii="Calibri" w:hAnsi="Calibri" w:cs="Calibri"/>
              </w:rPr>
            </w:pPr>
            <w:r>
              <w:rPr>
                <w:rFonts w:ascii="Calibri" w:hAnsi="Calibri" w:cs="Calibri"/>
              </w:rPr>
              <w:t>Further detail on the options outlined above can be found in the presentation attached</w:t>
            </w:r>
          </w:p>
          <w:p>
            <w:pPr>
              <w:rPr>
                <w:rFonts w:ascii="Calibri" w:hAnsi="Calibri" w:cs="Calibri"/>
              </w:rPr>
            </w:pPr>
            <w:r>
              <w:rPr>
                <w:rFonts w:ascii="Calibri" w:hAnsi="Calibri" w:cs="Calibri"/>
              </w:rPr>
              <w:t xml:space="preserve"> </w:t>
            </w:r>
            <w:r>
              <w:rPr>
                <w:rFonts w:ascii="Calibri" w:hAnsi="Calibri" w:cs="Calibri"/>
                <w:szCs w:val="20"/>
              </w:rPr>
              <w:object w:dxaOrig="1508" w:dyaOrig="983" w14:anchorId="032A19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8f65f812881b4163" o:title=""/>
                </v:shape>
                <o:OLEObject Type="Embed" ProgID="PowerPoint.Show.12" ShapeID="_x0000_i1025" DrawAspect="Icon" ObjectID="_1808550318" r:id="R61eebdefd248474e"/>
              </w:object>
            </w:r>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Proposed Implementation Date:</w:t>
            </w:r>
          </w:p>
        </w:tc>
        <w:tc>
          <w:tcPr>
            <w:tcW w:type="pct" w:w="3777"/>
            <w:vAlign w:val="center"/>
          </w:tcPr>
          <w:p>
            <w:pPr>
              <w:rPr>
                <w:rFonts w:ascii="Calibri" w:hAnsi="Calibri" w:cs="Calibri"/>
              </w:rPr>
            </w:pPr>
            <w:r>
              <w:rPr>
                <w:rFonts w:ascii="Calibri" w:hAnsi="Calibri" w:cs="Calibri"/>
              </w:rPr>
              <w:t>Tbc – Dependent on agreed solution option</w:t>
            </w:r>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Xoserve preferred option:</w:t>
            </w:r>
          </w:p>
          <w:p>
            <w:pPr>
              <w:rPr>
                <w:rFonts w:ascii="Calibri" w:hAnsi="Calibri" w:cs="Calibri"/>
              </w:rPr>
              <w:jc w:val="right"/>
            </w:pPr>
            <w:r>
              <w:rPr>
                <w:rFonts w:ascii="Calibri" w:hAnsi="Calibri" w:cs="Calibri"/>
              </w:rPr>
              <w:t>(including rationale)</w:t>
            </w:r>
          </w:p>
        </w:tc>
        <w:tc>
          <w:tcPr>
            <w:tcW w:type="pct" w:w="3777"/>
            <w:vAlign w:val="center"/>
          </w:tcPr>
          <w:p>
            <w:pPr>
              <w:rPr>
                <w:rFonts w:ascii="Calibri" w:hAnsi="Calibri" w:cs="Calibri"/>
              </w:rPr>
            </w:pPr>
            <w:r>
              <w:rPr>
                <w:rFonts w:ascii="Calibri" w:hAnsi="Calibri" w:cs="Calibri"/>
              </w:rPr>
              <w:t>N/A</w:t>
            </w:r>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DSG preferred solution option:</w:t>
            </w:r>
          </w:p>
          <w:p>
            <w:pPr>
              <w:rPr>
                <w:rFonts w:ascii="Calibri" w:hAnsi="Calibri" w:cs="Calibri"/>
              </w:rPr>
              <w:jc w:val="right"/>
            </w:pPr>
            <w:r>
              <w:rPr>
                <w:rFonts w:ascii="Calibri" w:hAnsi="Calibri" w:cs="Calibri"/>
              </w:rPr>
              <w:t>(including rationale)</w:t>
            </w:r>
          </w:p>
        </w:tc>
        <w:tc>
          <w:tcPr>
            <w:tcW w:type="pct" w:w="3777"/>
            <w:vAlign w:val="center"/>
          </w:tcPr>
          <w:p>
            <w:pPr>
              <w:rPr>
                <w:rFonts w:ascii="Calibri" w:hAnsi="Calibri" w:cs="Calibri"/>
              </w:rPr>
            </w:pPr>
            <w:r>
              <w:rPr>
                <w:rFonts w:ascii="Calibri" w:hAnsi="Calibri" w:cs="Calibri"/>
              </w:rPr>
              <w:t>TBC</w:t>
            </w:r>
          </w:p>
        </w:tc>
      </w:tr>
    </w:tbl>
    <w:p>
      <w:pPr>
        <w:rPr>
          <w:rFonts w:ascii="Calibri" w:hAnsi="Calibri" w:cs="Calibri"/>
        </w:rPr>
      </w:pPr>
    </w:p>
    <w:p>
      <w:pPr>
        <w:rPr>
          <w:b w:val="0"/>
          <w:bCs w:val="0"/>
          <w:rFonts w:ascii="Calibri" w:hAnsi="Calibri" w:cs="Calibri"/>
        </w:rPr>
        <w:pStyle w:val="heading 1"/>
      </w:pPr>
      <w:r>
        <w:rPr>
          <w:rFonts w:ascii="Calibri" w:hAnsi="Calibri" w:cs="Calibri"/>
        </w:rPr>
        <w:t xml:space="preserve">Service </w:t>
      </w:r>
      <w:r>
        <w:rPr>
          <w:rFonts w:ascii="Calibri" w:hAnsi="Calibri" w:cs="Calibri"/>
        </w:rPr>
        <w:t>Lines and Funding</w:t>
      </w:r>
      <w:r>
        <w:rPr>
          <w:rFonts w:ascii="Calibri" w:hAnsi="Calibri" w:cs="Calibri"/>
        </w:rPr>
        <w:t xml:space="preserve"> </w:t>
      </w:r>
      <w:r>
        <w:rPr>
          <w:rFonts w:ascii="Calibri" w:hAnsi="Calibri" w:cs="Calibri"/>
        </w:rPr>
        <w:t>–</w:t>
      </w:r>
      <w:r>
        <w:rPr>
          <w:rFonts w:ascii="Calibri" w:hAnsi="Calibri" w:cs="Calibri"/>
        </w:rPr>
        <w:t xml:space="preserve"> </w:t>
      </w:r>
      <w:r>
        <w:rPr>
          <w:b w:val="0"/>
          <w:bCs w:val="0"/>
          <w:color w:val="auto"/>
          <w:rFonts w:ascii="Calibri" w:hAnsi="Calibri" w:cs="Calibri"/>
          <w:sz w:val="24"/>
          <w:szCs w:val="24"/>
        </w:rPr>
        <w:t>for each option</w:t>
      </w:r>
    </w:p>
    <w:tbl>
      <w:tblPr>
        <w:tblStyle w:val="Table Grid"/>
        <w:tblLayout w:type="fixed"/>
        <w:tblInd w:type="dxa" w:w="-34"/>
        <w:tblW w:type="pct" w:w="5018"/>
        <w:tblLook w:firstColumn="1" w:firstRow="1" w:lastColumn="0" w:lastRow="0" w:noHBand="0" w:noVBand="1"/>
      </w:tblPr>
      <w:tblGrid>
        <w:gridCol w:w="2567"/>
        <w:gridCol w:w="7927"/>
      </w:tblGrid>
      <w:tr>
        <w:trPr>
          <w:trHeight w:hRule="atLeast" w:val="403"/>
        </w:trPr>
        <w:tc>
          <w:tcPr>
            <w:shd w:val="clear" w:fill="B3EDFB"/>
            <w:tcW w:type="pct" w:w="1223"/>
            <w:vAlign w:val="center"/>
          </w:tcPr>
          <w:p>
            <w:pPr>
              <w:rPr>
                <w:rFonts w:ascii="Calibri" w:hAnsi="Calibri" w:cs="Calibri"/>
              </w:rPr>
              <w:jc w:val="right"/>
            </w:pPr>
            <w:r>
              <w:rPr>
                <w:rFonts w:ascii="Calibri" w:hAnsi="Calibri" w:cs="Calibri"/>
              </w:rPr>
              <w:t>Service Line(s) Impacted - New or existing</w:t>
            </w:r>
          </w:p>
        </w:tc>
        <w:tc>
          <w:tcPr>
            <w:tcW w:type="pct" w:w="3777"/>
            <w:vAlign w:val="center"/>
          </w:tcPr>
          <w:p>
            <w:pPr>
              <w:rPr>
                <w:rFonts w:ascii="Calibri" w:hAnsi="Calibri" w:cs="Calibri"/>
              </w:rPr>
            </w:pPr>
            <w:r>
              <w:rPr>
                <w:rFonts w:ascii="Calibri" w:hAnsi="Calibri" w:cs="Calibri"/>
              </w:rPr>
              <w:t>N</w:t>
            </w:r>
            <w:r>
              <w:rPr>
                <w:rFonts w:ascii="Calibri" w:hAnsi="Calibri" w:cs="Calibri"/>
              </w:rPr>
              <w:t>ew DSC Service Line</w:t>
            </w:r>
            <w:r>
              <w:rPr>
                <w:rFonts w:ascii="Calibri" w:hAnsi="Calibri" w:cs="Calibri"/>
              </w:rPr>
              <w:t>(s)</w:t>
            </w:r>
            <w:r>
              <w:rPr>
                <w:rFonts w:ascii="Calibri" w:hAnsi="Calibri" w:cs="Calibri"/>
              </w:rPr>
              <w:t xml:space="preserve"> </w:t>
            </w:r>
            <w:r>
              <w:rPr>
                <w:rFonts w:ascii="Calibri" w:hAnsi="Calibri" w:cs="Calibri"/>
              </w:rPr>
              <w:t>are likely to be needed t</w:t>
            </w:r>
            <w:r>
              <w:rPr>
                <w:rFonts w:ascii="Calibri" w:hAnsi="Calibri" w:cs="Calibri"/>
              </w:rPr>
              <w:t xml:space="preserve">o support the provision of this Service to IGT Customers </w:t>
            </w:r>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Level of Impact</w:t>
            </w:r>
          </w:p>
        </w:tc>
        <w:tc>
          <w:tcPr>
            <w:tcW w:type="pct" w:w="3777"/>
            <w:vAlign w:val="center"/>
          </w:tcPr>
          <w:p>
            <w:pPr>
              <w:rPr>
                <w:rFonts w:ascii="Calibri" w:hAnsi="Calibri" w:cs="Calibri"/>
              </w:rPr>
            </w:pPr>
            <w:r>
              <w:rPr>
                <w:rFonts w:ascii="Calibri" w:hAnsi="Calibri" w:cs="Calibri"/>
              </w:rPr>
              <w:t xml:space="preserve"> </w:t>
            </w:r>
            <w:r>
              <w:rPr>
                <w:rFonts w:ascii="Calibri" w:hAnsi="Calibri" w:cs="Calibri"/>
              </w:rPr>
              <w:t xml:space="preserve"> </w:t>
            </w:r>
            <w:r>
              <w:rPr>
                <w:rFonts w:ascii="Calibri" w:hAnsi="Calibri" w:cs="Calibri"/>
              </w:rPr>
              <w:t>N/A</w:t>
            </w:r>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 xml:space="preserve">Impacts on UK Link Manual/ Data Permissions Matrix  </w:t>
            </w:r>
          </w:p>
        </w:tc>
        <w:tc>
          <w:tcPr>
            <w:tcW w:type="pct" w:w="3777"/>
            <w:vAlign w:val="center"/>
          </w:tcPr>
          <w:p>
            <w:pPr>
              <w:rPr>
                <w:rFonts w:ascii="Calibri" w:hAnsi="Calibri" w:cs="Calibri"/>
              </w:rPr>
            </w:pPr>
            <w:r>
              <w:rPr>
                <w:rFonts w:ascii="Calibri" w:hAnsi="Calibri" w:cs="Calibri"/>
              </w:rPr>
              <w:t>Detailed s</w:t>
            </w:r>
            <w:r>
              <w:rPr>
                <w:rFonts w:ascii="Calibri" w:hAnsi="Calibri" w:cs="Calibri"/>
              </w:rPr>
              <w:t xml:space="preserve">pecification of the </w:t>
            </w:r>
            <w:r>
              <w:rPr>
                <w:rFonts w:ascii="Calibri" w:hAnsi="Calibri" w:cs="Calibri"/>
              </w:rPr>
              <w:t xml:space="preserve">report / file </w:t>
            </w:r>
            <w:r>
              <w:rPr>
                <w:rFonts w:ascii="Calibri" w:hAnsi="Calibri" w:cs="Calibri"/>
              </w:rPr>
              <w:t xml:space="preserve">format and delivery mechanism of the preferred solution option </w:t>
            </w:r>
            <w:r>
              <w:rPr>
                <w:rFonts w:ascii="Calibri" w:hAnsi="Calibri" w:cs="Calibri"/>
              </w:rPr>
              <w:t xml:space="preserve">would </w:t>
            </w:r>
            <w:r>
              <w:rPr>
                <w:rFonts w:ascii="Calibri" w:hAnsi="Calibri" w:cs="Calibri"/>
              </w:rPr>
              <w:t>b</w:t>
            </w:r>
            <w:r>
              <w:rPr>
                <w:rFonts w:ascii="Calibri" w:hAnsi="Calibri" w:cs="Calibri"/>
              </w:rPr>
              <w:t xml:space="preserve">e </w:t>
            </w:r>
            <w:r>
              <w:rPr>
                <w:rFonts w:ascii="Calibri" w:hAnsi="Calibri" w:cs="Calibri"/>
              </w:rPr>
              <w:t>added to</w:t>
            </w:r>
            <w:r>
              <w:rPr>
                <w:rFonts w:ascii="Calibri" w:hAnsi="Calibri" w:cs="Calibri"/>
              </w:rPr>
              <w:t xml:space="preserve"> the UK Link Manual</w:t>
            </w:r>
            <w:r>
              <w:rPr>
                <w:rFonts w:ascii="Calibri" w:hAnsi="Calibri" w:cs="Calibri"/>
              </w:rPr>
              <w:t xml:space="preserve"> following implementation</w:t>
            </w:r>
            <w:r>
              <w:rPr>
                <w:rFonts w:ascii="Calibri" w:hAnsi="Calibri" w:cs="Calibri"/>
              </w:rPr>
              <w:t>.</w:t>
            </w:r>
          </w:p>
          <w:p>
            <w:pPr>
              <w:rPr>
                <w:rFonts w:ascii="Calibri" w:hAnsi="Calibri" w:cs="Calibri"/>
              </w:rPr>
            </w:pPr>
            <w:r>
              <w:rPr>
                <w:rFonts w:ascii="Calibri" w:hAnsi="Calibri" w:cs="Calibri"/>
              </w:rPr>
              <w:t xml:space="preserve"> </w:t>
            </w:r>
          </w:p>
          <w:p>
            <w:pPr>
              <w:rPr>
                <w:rFonts w:ascii="Calibri" w:hAnsi="Calibri" w:cs="Calibri"/>
              </w:rPr>
            </w:pPr>
            <w:r>
              <w:rPr>
                <w:rFonts w:ascii="Calibri" w:hAnsi="Calibri" w:cs="Calibri"/>
              </w:rPr>
              <w:t xml:space="preserve">No impacts to the Data Permissions Matrix (DPM) have been identified </w:t>
            </w:r>
          </w:p>
        </w:tc>
      </w:tr>
    </w:tbl>
    <w:p>
      <w:pPr>
        <w:rPr>
          <w:rFonts w:ascii="Calibri" w:hAnsi="Calibri" w:cs="Calibri"/>
        </w:rPr>
      </w:pPr>
      <w:r>
        <w:rPr>
          <w:rFonts w:ascii="Calibri" w:hAnsi="Calibri" w:cs="Calibri"/>
          <w:highlight w:val="yellow"/>
        </w:rPr>
        <w:br w:type="page"/>
      </w:r>
    </w:p>
    <w:p>
      <w:pPr>
        <w:rPr>
          <w:rFonts w:ascii="Calibri" w:hAnsi="Calibri" w:cs="Calibri"/>
        </w:rPr>
        <w:pStyle w:val="Title"/>
      </w:pPr>
      <w:r>
        <w:rPr>
          <w:rFonts w:ascii="Calibri" w:hAnsi="Calibri" w:cs="Calibri"/>
        </w:rPr>
        <w:t>Industry Response Solution Options Review</w:t>
      </w:r>
    </w:p>
    <w:p>
      <w:pPr>
        <w:rPr>
          <w:color w:val="000000"/>
          <w:rFonts w:cs="Arial" w:eastAsia="Arial"/>
        </w:rPr>
        <w:spacing w:after="0" w:lineRule="auto" w:line="240"/>
      </w:pPr>
    </w:p>
    <w:p>
      <w:pPr>
        <w:rPr>
          <w:color w:val="000000"/>
          <w:rFonts w:cs="Arial" w:eastAsia="Arial"/>
        </w:rPr>
        <w:spacing w:after="0" w:lineRule="auto" w:line="240"/>
      </w:pPr>
      <w:r>
        <w:rPr>
          <w:color w:val="000000"/>
          <w:rFonts w:cs="Arial" w:eastAsia="Arial"/>
        </w:rPr>
        <w:t>«</w:t>
      </w:r>
      <w:r>
        <w:rPr>
          <w:color w:val="000000"/>
          <w:rFonts w:cs="Arial" w:eastAsia="Arial"/>
        </w:rPr>
        <w:t>RangeStart:EDS</w:t>
      </w:r>
      <w:r>
        <w:rPr>
          <w:color w:val="000000"/>
          <w:rFonts w:cs="Arial" w:eastAsia="Arial"/>
        </w:rPr>
        <w:t>» </w:t>
      </w:r>
    </w:p>
    <w:p>
      <w:pPr>
        <w:rPr>
          <w:color w:val="000000"/>
          <w:rFonts w:ascii="Calibri" w:hAnsi="Calibri" w:cs="Calibri" w:eastAsia="Calibri"/>
        </w:rPr>
        <w:spacing w:after="0" w:lineRule="auto" w:line="240"/>
      </w:pPr>
      <w:r>
        <w:rPr>
          <w:b w:val="1"/>
          <w:bCs w:val="1"/>
          <w:color w:val="000000"/>
          <w:rFonts w:ascii="Calibri" w:hAnsi="Calibri" w:cs="Calibri" w:eastAsia="Calibri"/>
          <w:i w:val="1"/>
          <w:iCs w:val="1"/>
        </w:rPr>
        <w:t>Please consider any commercial impacts to your organisation that Xoserve need to be aware of when formulating your response</w:t>
      </w:r>
      <w:r>
        <w:rPr>
          <w:b w:val="1"/>
          <w:bCs w:val="1"/>
          <w:color w:val="000000"/>
          <w:rFonts w:ascii="Calibri" w:hAnsi="Calibri" w:cs="Calibri" w:eastAsia="Calibri"/>
        </w:rPr>
        <w:t> </w:t>
      </w:r>
    </w:p>
    <w:p>
      <w:pPr>
        <w:rPr>
          <w:color w:val="3E5AA8"/>
          <w:rFonts w:ascii="Calibri" w:hAnsi="Calibri" w:cs="Calibri" w:eastAsia="Calibri"/>
          <w:sz w:val="28"/>
          <w:szCs w:val="28"/>
        </w:rPr>
        <w:spacing w:after="0" w:lineRule="auto" w:line="240"/>
      </w:pPr>
      <w:r>
        <w:rPr>
          <w:b w:val="1"/>
          <w:bCs w:val="1"/>
          <w:color w:val="3E5AA8"/>
          <w:rFonts w:ascii="Calibri" w:hAnsi="Calibri" w:cs="Calibri" w:eastAsia="Calibri"/>
          <w:sz w:val="28"/>
          <w:szCs w:val="28"/>
        </w:rPr>
        <w:t>Organisation’s preferred solution option </w:t>
      </w:r>
    </w:p>
    <w:tbl>
      <w:tblPr>
        <w:tblLayout w:type="fixed"/>
        <w:tblW w:type="auto" w:w="0"/>
        <w:tblLook w:firstColumn="1" w:firstRow="1" w:lastColumn="0" w:lastRow="0" w:noHBand="0" w:noVBand="1"/>
        <w:tblBorders>
          <w:left w:val="single" w:sz="6" w:space="0" w:color="auto"/>
          <w:top w:val="single" w:sz="6" w:space="0" w:color="auto"/>
          <w:right w:val="single" w:sz="6" w:space="0" w:color="auto"/>
          <w:bottom w:val="single" w:sz="6" w:space="0" w:color="auto"/>
        </w:tblBorders>
      </w:tblPr>
      <w:tblGrid>
        <w:gridCol w:w="2550"/>
        <w:gridCol w:w="2055"/>
        <w:gridCol w:w="5310"/>
      </w:tblGrid>
      <w:tr>
        <w:trPr>
          <w:trHeight w:hRule="atLeast" w:val="300"/>
        </w:trPr>
        <w:tc>
          <w:tcPr>
            <w:shd w:val="clear" w:fill="B3EDFB"/>
            <w:tcW w:type="dxa" w:w="2550"/>
            <w:vAlign w:val="center"/>
            <w:tcBorders>
              <w:left w:val="single" w:sz="6" w:space="0" w:color="auto"/>
              <w:top w:val="single" w:sz="6" w:space="0" w:color="auto"/>
              <w:right w:val="single" w:sz="6" w:space="0" w:color="auto"/>
              <w:bottom w:val="single" w:sz="6" w:space="0" w:color="auto"/>
            </w:tcBorders>
            <w:vMerge w:val="restart"/>
          </w:tcPr>
          <w:p>
            <w:pPr>
              <w:rPr>
                <w:rFonts w:ascii="Calibri" w:hAnsi="Calibri" w:cs="Calibri" w:eastAsia="Calibri"/>
              </w:rPr>
              <w:jc w:val="right"/>
              <w:spacing w:after="0" w:lineRule="auto" w:line="240"/>
            </w:pPr>
            <w:r>
              <w:rPr>
                <w:rFonts w:ascii="Calibri" w:hAnsi="Calibri" w:cs="Calibri" w:eastAsia="Calibri"/>
              </w:rPr>
              <w:t>User Contact Details: </w:t>
            </w:r>
          </w:p>
        </w:tc>
        <w:tc>
          <w:tcPr>
            <w:shd w:val="clear" w:fill="B3EDFB"/>
            <w:tcW w:type="dxa" w:w="2055"/>
            <w:vAlign w:val="center"/>
            <w:tcBorders>
              <w:left w:val="single" w:sz="6" w:space="0" w:color="auto"/>
              <w:top w:val="single" w:sz="6" w:space="0" w:color="auto"/>
              <w:right w:val="single" w:sz="6" w:space="0" w:color="auto"/>
              <w:bottom w:val="single" w:sz="6" w:space="0" w:color="auto"/>
            </w:tcBorders>
          </w:tcPr>
          <w:p>
            <w:pPr>
              <w:rPr>
                <w:rFonts w:ascii="Calibri" w:hAnsi="Calibri" w:cs="Calibri" w:eastAsia="Calibri"/>
              </w:rPr>
              <w:jc w:val="right"/>
              <w:spacing w:after="0" w:lineRule="auto" w:line="240"/>
            </w:pPr>
            <w:r>
              <w:rPr>
                <w:rFonts w:ascii="Calibri" w:hAnsi="Calibri" w:cs="Calibri" w:eastAsia="Calibri"/>
              </w:rPr>
              <w:t>Organisation: </w:t>
            </w:r>
          </w:p>
        </w:tc>
        <w:tc>
          <w:tcPr>
            <w:tcW w:type="dxa" w:w="5310"/>
            <w:vAlign w:val="center"/>
            <w:tcBorders>
              <w:left w:val="single" w:sz="6" w:space="0" w:color="auto"/>
              <w:top w:val="single" w:sz="6" w:space="0" w:color="auto"/>
              <w:right w:val="single" w:sz="6" w:space="0" w:color="auto"/>
              <w:bottom w:val="single" w:sz="6" w:space="0" w:color="auto"/>
            </w:tcBorders>
          </w:tcPr>
          <w:p>
            <w:pPr>
              <w:rPr>
                <w:rFonts w:cs="Arial" w:eastAsia="Arial"/>
              </w:rPr>
              <w:spacing w:after="0" w:lineRule="auto" w:line="240"/>
            </w:pPr>
            <w:r>
              <w:rPr>
                <w:color w:val="000000"/>
                <w:rFonts w:cs="Arial" w:eastAsia="Arial"/>
              </w:rPr>
              <w:t>«e1_organisation»</w:t>
            </w:r>
            <w:r>
              <w:rPr>
                <w:rFonts w:cs="Arial" w:eastAsia="Arial"/>
              </w:rPr>
              <w:t> </w:t>
            </w:r>
          </w:p>
        </w:tc>
      </w:tr>
      <w:tr>
        <w:trPr>
          <w:trHeight w:hRule="atLeast" w:val="300"/>
        </w:trPr>
        <w:tc>
          <w:tcPr>
            <w:tcW w:type="dxa" w:w="2550"/>
            <w:vAlign w:val="center"/>
            <w:tcBorders>
              <w:left w:val="single" w:sz="2" w:space="0" w:color="auto"/>
              <w:right w:val="single" w:sz="2" w:space="0" w:color="auto"/>
            </w:tcBorders>
            <w:vMerge w:val="continue"/>
          </w:tcPr>
          <w:p/>
        </w:tc>
        <w:tc>
          <w:tcPr>
            <w:shd w:val="clear" w:fill="B3EDFB"/>
            <w:tcW w:type="dxa" w:w="2055"/>
            <w:vAlign w:val="center"/>
            <w:tcBorders>
              <w:left w:val="single" w:sz="6" w:space="0" w:color="auto"/>
              <w:top w:val="single" w:sz="6" w:space="0" w:color="auto"/>
              <w:right w:val="single" w:sz="6" w:space="0" w:color="auto"/>
              <w:bottom w:val="single" w:sz="6" w:space="0" w:color="auto"/>
            </w:tcBorders>
          </w:tcPr>
          <w:p>
            <w:pPr>
              <w:rPr>
                <w:rFonts w:ascii="Calibri" w:hAnsi="Calibri" w:cs="Calibri" w:eastAsia="Calibri"/>
              </w:rPr>
              <w:jc w:val="right"/>
              <w:spacing w:after="0" w:lineRule="auto" w:line="240"/>
            </w:pPr>
            <w:r>
              <w:rPr>
                <w:rFonts w:ascii="Calibri" w:hAnsi="Calibri" w:cs="Calibri" w:eastAsia="Calibri"/>
              </w:rPr>
              <w:t>Name: </w:t>
            </w:r>
          </w:p>
        </w:tc>
        <w:tc>
          <w:tcPr>
            <w:tcW w:type="dxa" w:w="5310"/>
            <w:vAlign w:val="center"/>
            <w:tcBorders>
              <w:left w:val="single" w:sz="6" w:space="0" w:color="auto"/>
              <w:top w:val="single" w:sz="6" w:space="0" w:color="auto"/>
              <w:right w:val="single" w:sz="6" w:space="0" w:color="auto"/>
              <w:bottom w:val="single" w:sz="6" w:space="0" w:color="auto"/>
            </w:tcBorders>
          </w:tcPr>
          <w:p>
            <w:pPr>
              <w:rPr>
                <w:rFonts w:cs="Arial" w:eastAsia="Arial"/>
              </w:rPr>
              <w:spacing w:after="0" w:lineRule="auto" w:line="240"/>
            </w:pPr>
            <w:r>
              <w:rPr>
                <w:color w:val="000000"/>
                <w:rFonts w:cs="Arial" w:eastAsia="Arial"/>
              </w:rPr>
              <w:t>«e1_name»</w:t>
            </w:r>
            <w:r>
              <w:rPr>
                <w:rFonts w:cs="Arial" w:eastAsia="Arial"/>
              </w:rPr>
              <w:t> </w:t>
            </w:r>
          </w:p>
        </w:tc>
      </w:tr>
      <w:tr>
        <w:trPr>
          <w:trHeight w:hRule="atLeast" w:val="300"/>
        </w:trPr>
        <w:tc>
          <w:tcPr>
            <w:tcW w:type="dxa" w:w="2550"/>
            <w:vAlign w:val="center"/>
            <w:tcBorders>
              <w:left w:val="single" w:sz="2" w:space="0" w:color="auto"/>
              <w:right w:val="single" w:sz="2" w:space="0" w:color="auto"/>
            </w:tcBorders>
            <w:vMerge w:val="continue"/>
          </w:tcPr>
          <w:p/>
        </w:tc>
        <w:tc>
          <w:tcPr>
            <w:shd w:val="clear" w:fill="B3EDFB"/>
            <w:tcW w:type="dxa" w:w="2055"/>
            <w:vAlign w:val="center"/>
            <w:tcBorders>
              <w:left w:val="single" w:sz="6" w:space="0" w:color="auto"/>
              <w:top w:val="single" w:sz="6" w:space="0" w:color="auto"/>
              <w:right w:val="single" w:sz="6" w:space="0" w:color="auto"/>
              <w:bottom w:val="single" w:sz="6" w:space="0" w:color="auto"/>
            </w:tcBorders>
          </w:tcPr>
          <w:p>
            <w:pPr>
              <w:rPr>
                <w:rFonts w:ascii="Calibri" w:hAnsi="Calibri" w:cs="Calibri" w:eastAsia="Calibri"/>
              </w:rPr>
              <w:jc w:val="right"/>
              <w:spacing w:after="0" w:lineRule="auto" w:line="240"/>
            </w:pPr>
            <w:r>
              <w:rPr>
                <w:rFonts w:ascii="Calibri" w:hAnsi="Calibri" w:cs="Calibri" w:eastAsia="Calibri"/>
              </w:rPr>
              <w:t>Email: </w:t>
            </w:r>
          </w:p>
        </w:tc>
        <w:tc>
          <w:tcPr>
            <w:tcW w:type="dxa" w:w="5310"/>
            <w:vAlign w:val="center"/>
            <w:tcBorders>
              <w:left w:val="single" w:sz="6" w:space="0" w:color="auto"/>
              <w:top w:val="single" w:sz="6" w:space="0" w:color="auto"/>
              <w:right w:val="single" w:sz="6" w:space="0" w:color="auto"/>
              <w:bottom w:val="single" w:sz="6" w:space="0" w:color="auto"/>
            </w:tcBorders>
          </w:tcPr>
          <w:p>
            <w:pPr>
              <w:rPr>
                <w:rFonts w:cs="Arial" w:eastAsia="Arial"/>
              </w:rPr>
              <w:spacing w:after="0" w:lineRule="auto" w:line="240"/>
            </w:pPr>
            <w:r>
              <w:rPr>
                <w:color w:val="000000"/>
                <w:rFonts w:cs="Arial" w:eastAsia="Arial"/>
              </w:rPr>
              <w:t>«e1_email»</w:t>
            </w:r>
            <w:r>
              <w:rPr>
                <w:rFonts w:cs="Arial" w:eastAsia="Arial"/>
              </w:rPr>
              <w:t> </w:t>
            </w:r>
          </w:p>
        </w:tc>
      </w:tr>
      <w:tr>
        <w:trPr>
          <w:trHeight w:hRule="atLeast" w:val="300"/>
        </w:trPr>
        <w:tc>
          <w:tcPr>
            <w:tcW w:type="dxa" w:w="2550"/>
            <w:vAlign w:val="center"/>
            <w:tcBorders>
              <w:left w:val="single" w:sz="2" w:space="0" w:color="auto"/>
              <w:right w:val="single" w:sz="2" w:space="0" w:color="auto"/>
              <w:bottom w:val="single" w:sz="2" w:space="0" w:color="auto"/>
            </w:tcBorders>
            <w:vMerge w:val="continue"/>
          </w:tcPr>
          <w:p/>
        </w:tc>
        <w:tc>
          <w:tcPr>
            <w:shd w:val="clear" w:fill="B3EDFB"/>
            <w:tcW w:type="dxa" w:w="2055"/>
            <w:vAlign w:val="center"/>
            <w:tcBorders>
              <w:left w:val="single" w:sz="6" w:space="0" w:color="auto"/>
              <w:top w:val="single" w:sz="6" w:space="0" w:color="auto"/>
              <w:right w:val="single" w:sz="6" w:space="0" w:color="auto"/>
              <w:bottom w:val="single" w:sz="6" w:space="0" w:color="auto"/>
            </w:tcBorders>
          </w:tcPr>
          <w:p>
            <w:pPr>
              <w:rPr>
                <w:rFonts w:ascii="Calibri" w:hAnsi="Calibri" w:cs="Calibri" w:eastAsia="Calibri"/>
              </w:rPr>
              <w:jc w:val="right"/>
              <w:spacing w:after="0" w:lineRule="auto" w:line="240"/>
            </w:pPr>
            <w:r>
              <w:rPr>
                <w:rFonts w:ascii="Calibri" w:hAnsi="Calibri" w:cs="Calibri" w:eastAsia="Calibri"/>
              </w:rPr>
              <w:t>Telephone: </w:t>
            </w:r>
          </w:p>
        </w:tc>
        <w:tc>
          <w:tcPr>
            <w:tcW w:type="dxa" w:w="5310"/>
            <w:vAlign w:val="center"/>
            <w:tcBorders>
              <w:left w:val="single" w:sz="6" w:space="0" w:color="auto"/>
              <w:top w:val="single" w:sz="6" w:space="0" w:color="auto"/>
              <w:right w:val="single" w:sz="6" w:space="0" w:color="auto"/>
              <w:bottom w:val="single" w:sz="6" w:space="0" w:color="auto"/>
            </w:tcBorders>
          </w:tcPr>
          <w:p>
            <w:pPr>
              <w:rPr>
                <w:rFonts w:cs="Arial" w:eastAsia="Arial"/>
              </w:rPr>
              <w:spacing w:after="0" w:lineRule="auto" w:line="240"/>
            </w:pPr>
            <w:r>
              <w:rPr>
                <w:color w:val="000000"/>
                <w:rFonts w:cs="Arial" w:eastAsia="Arial"/>
              </w:rPr>
              <w:t>«e1_telephone»</w:t>
            </w:r>
            <w:r>
              <w:rPr>
                <w:rFonts w:cs="Arial" w:eastAsia="Arial"/>
              </w:rPr>
              <w:t> </w:t>
            </w:r>
          </w:p>
        </w:tc>
      </w:tr>
      <w:tr>
        <w:trPr>
          <w:trHeight w:hRule="atLeast" w:val="300"/>
        </w:trPr>
        <w:tc>
          <w:tcPr>
            <w:shd w:val="clear" w:fill="B3EDFB"/>
            <w:tcW w:type="dxa" w:w="2550"/>
            <w:vAlign w:val="center"/>
            <w:tcBorders>
              <w:left w:val="single" w:sz="6" w:space="0" w:color="auto"/>
              <w:top w:val="single" w:sz="6" w:space="0" w:color="auto"/>
              <w:right w:val="single" w:sz="6" w:space="0" w:color="auto"/>
              <w:bottom w:val="single" w:sz="6" w:space="0" w:color="auto"/>
            </w:tcBorders>
          </w:tcPr>
          <w:p>
            <w:pPr>
              <w:rPr>
                <w:rFonts w:ascii="Calibri" w:hAnsi="Calibri" w:cs="Calibri" w:eastAsia="Calibri"/>
              </w:rPr>
              <w:jc w:val="right"/>
              <w:spacing w:after="0" w:lineRule="auto" w:line="240"/>
            </w:pPr>
            <w:r>
              <w:rPr>
                <w:rFonts w:ascii="Calibri" w:hAnsi="Calibri" w:cs="Calibri" w:eastAsia="Calibri"/>
              </w:rPr>
              <w:t xml:space="preserve">Organisation’s preferred solution option, including rationale </w:t>
            </w:r>
            <w:r>
              <w:rPr>
                <w:rFonts w:ascii="Calibri" w:hAnsi="Calibri" w:cs="Calibri" w:eastAsia="Calibri"/>
              </w:rPr>
              <w:t>taking into account</w:t>
            </w:r>
            <w:r>
              <w:rPr>
                <w:rFonts w:ascii="Calibri" w:hAnsi="Calibri" w:cs="Calibri" w:eastAsia="Calibri"/>
              </w:rPr>
              <w:t xml:space="preserve"> costs, risks, resource etc: </w:t>
            </w:r>
          </w:p>
        </w:tc>
        <w:tc>
          <w:tcPr>
            <w:tcW w:type="dxa" w:w="7365"/>
            <w:vAlign w:val="center"/>
            <w:tcBorders>
              <w:left w:val="single" w:sz="6" w:space="0" w:color="auto"/>
              <w:top w:val="single" w:sz="6" w:space="0" w:color="auto"/>
              <w:right w:val="single" w:sz="6" w:space="0" w:color="auto"/>
              <w:bottom w:val="single" w:sz="6" w:space="0" w:color="auto"/>
            </w:tcBorders>
            <w:gridSpan w:val="2"/>
          </w:tcPr>
          <w:p>
            <w:pPr>
              <w:rPr>
                <w:rFonts w:cs="Arial" w:eastAsia="Arial"/>
              </w:rPr>
              <w:spacing w:after="0" w:lineRule="auto" w:line="240"/>
            </w:pPr>
            <w:r>
              <w:rPr>
                <w:color w:val="000000"/>
                <w:rFonts w:cs="Arial" w:eastAsia="Arial"/>
              </w:rPr>
              <w:t>«e1_preferredSolutionOption»</w:t>
            </w:r>
            <w:r>
              <w:rPr>
                <w:rFonts w:cs="Arial" w:eastAsia="Arial"/>
              </w:rPr>
              <w:t> </w:t>
            </w:r>
          </w:p>
        </w:tc>
      </w:tr>
      <w:tr>
        <w:trPr>
          <w:trHeight w:hRule="atLeast" w:val="300"/>
        </w:trPr>
        <w:tc>
          <w:tcPr>
            <w:shd w:val="clear" w:fill="B3EDFB"/>
            <w:tcW w:type="dxa" w:w="2550"/>
            <w:vAlign w:val="center"/>
            <w:tcBorders>
              <w:left w:val="single" w:sz="6" w:space="0" w:color="auto"/>
              <w:top w:val="single" w:sz="6" w:space="0" w:color="auto"/>
              <w:right w:val="single" w:sz="6" w:space="0" w:color="auto"/>
              <w:bottom w:val="single" w:sz="6" w:space="0" w:color="auto"/>
            </w:tcBorders>
          </w:tcPr>
          <w:p>
            <w:pPr>
              <w:rPr>
                <w:rFonts w:ascii="Calibri" w:hAnsi="Calibri" w:cs="Calibri" w:eastAsia="Calibri"/>
              </w:rPr>
              <w:jc w:val="right"/>
              <w:spacing w:after="0" w:lineRule="auto" w:line="240"/>
            </w:pPr>
            <w:r>
              <w:rPr>
                <w:rFonts w:ascii="Calibri" w:hAnsi="Calibri" w:cs="Calibri" w:eastAsia="Calibri"/>
              </w:rPr>
              <w:t>Commercial impacts: </w:t>
            </w:r>
          </w:p>
        </w:tc>
        <w:tc>
          <w:tcPr>
            <w:tcW w:type="dxa" w:w="7365"/>
            <w:vAlign w:val="center"/>
            <w:tcBorders>
              <w:left w:val="single" w:sz="6" w:space="0" w:color="auto"/>
              <w:top w:val="single" w:sz="6" w:space="0" w:color="auto"/>
              <w:right w:val="single" w:sz="6" w:space="0" w:color="auto"/>
              <w:bottom w:val="single" w:sz="6" w:space="0" w:color="auto"/>
            </w:tcBorders>
            <w:gridSpan w:val="2"/>
          </w:tcPr>
          <w:p>
            <w:pPr>
              <w:rPr>
                <w:rFonts w:cs="Arial" w:eastAsia="Arial"/>
              </w:rPr>
              <w:spacing w:after="0" w:lineRule="auto" w:line="240"/>
            </w:pPr>
            <w:r>
              <w:rPr>
                <w:color w:val="000000"/>
                <w:rFonts w:cs="Arial" w:eastAsia="Arial"/>
              </w:rPr>
              <w:t>«e1_commercial_impacts»</w:t>
            </w:r>
            <w:r>
              <w:rPr>
                <w:rFonts w:cs="Arial" w:eastAsia="Arial"/>
              </w:rPr>
              <w:t> </w:t>
            </w:r>
          </w:p>
        </w:tc>
      </w:tr>
      <w:tr>
        <w:trPr>
          <w:trHeight w:hRule="atLeast" w:val="300"/>
        </w:trPr>
        <w:tc>
          <w:tcPr>
            <w:shd w:val="clear" w:fill="B3EDFB"/>
            <w:tcW w:type="dxa" w:w="2550"/>
            <w:vAlign w:val="center"/>
            <w:tcBorders>
              <w:left w:val="single" w:sz="6" w:space="0" w:color="auto"/>
              <w:top w:val="single" w:sz="6" w:space="0" w:color="auto"/>
              <w:right w:val="single" w:sz="6" w:space="0" w:color="auto"/>
              <w:bottom w:val="single" w:sz="6" w:space="0" w:color="auto"/>
            </w:tcBorders>
          </w:tcPr>
          <w:p>
            <w:pPr>
              <w:rPr>
                <w:rFonts w:ascii="Calibri" w:hAnsi="Calibri" w:cs="Calibri" w:eastAsia="Calibri"/>
              </w:rPr>
              <w:jc w:val="right"/>
              <w:spacing w:after="0" w:lineRule="auto" w:line="240"/>
            </w:pPr>
            <w:r>
              <w:rPr>
                <w:rFonts w:ascii="Calibri" w:hAnsi="Calibri" w:cs="Calibri" w:eastAsia="Calibri"/>
              </w:rPr>
              <w:t>Customer decision on preferred solution option: </w:t>
            </w:r>
          </w:p>
        </w:tc>
        <w:tc>
          <w:tcPr>
            <w:tcW w:type="dxa" w:w="7365"/>
            <w:vAlign w:val="center"/>
            <w:tcBorders>
              <w:left w:val="single" w:sz="6" w:space="0" w:color="auto"/>
              <w:top w:val="single" w:sz="6" w:space="0" w:color="auto"/>
              <w:right w:val="single" w:sz="6" w:space="0" w:color="auto"/>
              <w:bottom w:val="single" w:sz="6" w:space="0" w:color="auto"/>
            </w:tcBorders>
            <w:gridSpan w:val="2"/>
          </w:tcPr>
          <w:p>
            <w:pPr>
              <w:rPr>
                <w:rFonts w:cs="Arial" w:eastAsia="Arial"/>
              </w:rPr>
              <w:spacing w:after="0" w:lineRule="auto" w:line="240"/>
            </w:pPr>
            <w:r>
              <w:rPr>
                <w:color w:val="000000"/>
                <w:rFonts w:cs="Arial" w:eastAsia="Arial"/>
              </w:rPr>
              <w:t>«e1_dsgSolutionOption»</w:t>
            </w:r>
            <w:r>
              <w:rPr>
                <w:rFonts w:cs="Arial" w:eastAsia="Arial"/>
              </w:rPr>
              <w:t> </w:t>
            </w:r>
          </w:p>
        </w:tc>
      </w:tr>
      <w:tr>
        <w:trPr>
          <w:trHeight w:hRule="atLeast" w:val="300"/>
        </w:trPr>
        <w:tc>
          <w:tcPr>
            <w:shd w:val="clear" w:fill="B3EDFB"/>
            <w:tcW w:type="dxa" w:w="2550"/>
            <w:vAlign w:val="center"/>
            <w:tcBorders>
              <w:left w:val="single" w:sz="6" w:space="0" w:color="auto"/>
              <w:top w:val="single" w:sz="6" w:space="0" w:color="auto"/>
              <w:right w:val="single" w:sz="6" w:space="0" w:color="auto"/>
              <w:bottom w:val="single" w:sz="6" w:space="0" w:color="auto"/>
            </w:tcBorders>
          </w:tcPr>
          <w:p>
            <w:pPr>
              <w:rPr>
                <w:rFonts w:ascii="Calibri" w:hAnsi="Calibri" w:cs="Calibri" w:eastAsia="Calibri"/>
              </w:rPr>
              <w:jc w:val="right"/>
              <w:spacing w:after="0" w:lineRule="auto" w:line="240"/>
            </w:pPr>
            <w:r>
              <w:rPr>
                <w:rFonts w:ascii="Calibri" w:hAnsi="Calibri" w:cs="Calibri" w:eastAsia="Calibri"/>
              </w:rPr>
              <w:t>Publication of consultation response: </w:t>
            </w:r>
          </w:p>
        </w:tc>
        <w:tc>
          <w:tcPr>
            <w:tcW w:type="dxa" w:w="7365"/>
            <w:vAlign w:val="center"/>
            <w:tcBorders>
              <w:left w:val="single" w:sz="6" w:space="0" w:color="auto"/>
              <w:top w:val="single" w:sz="6" w:space="0" w:color="auto"/>
              <w:right w:val="single" w:sz="6" w:space="0" w:color="auto"/>
              <w:bottom w:val="single" w:sz="6" w:space="0" w:color="auto"/>
            </w:tcBorders>
            <w:gridSpan w:val="2"/>
          </w:tcPr>
          <w:p>
            <w:pPr>
              <w:rPr>
                <w:rFonts w:cs="Arial" w:eastAsia="Arial"/>
              </w:rPr>
              <w:spacing w:after="0" w:lineRule="auto" w:line="240"/>
            </w:pPr>
            <w:r>
              <w:rPr>
                <w:rFonts w:cs="Arial" w:eastAsia="Arial"/>
              </w:rPr>
              <w:t>N/A </w:t>
            </w:r>
          </w:p>
        </w:tc>
      </w:tr>
    </w:tbl>
    <w:p>
      <w:pPr>
        <w:rPr>
          <w:color w:val="3E5AA8"/>
          <w:rFonts w:ascii="Calibri" w:hAnsi="Calibri" w:cs="Calibri" w:eastAsia="Calibri"/>
          <w:sz w:val="28"/>
          <w:szCs w:val="28"/>
        </w:rPr>
        <w:spacing w:after="0" w:lineRule="auto" w:line="240"/>
      </w:pPr>
      <w:r>
        <w:rPr>
          <w:b w:val="1"/>
          <w:bCs w:val="1"/>
          <w:color w:val="3E5AA8"/>
          <w:rFonts w:ascii="Calibri" w:hAnsi="Calibri" w:cs="Calibri" w:eastAsia="Calibri"/>
          <w:sz w:val="28"/>
          <w:szCs w:val="28"/>
        </w:rPr>
        <w:t>Xoserve’ s Response  </w:t>
      </w:r>
    </w:p>
    <w:tbl>
      <w:tblPr>
        <w:tblLayout w:type="fixed"/>
        <w:tblW w:type="auto" w:w="0"/>
        <w:tblLook w:firstColumn="1" w:firstRow="1" w:lastColumn="0" w:lastRow="0" w:noHBand="0" w:noVBand="1"/>
        <w:tblBorders>
          <w:left w:val="single" w:sz="6" w:space="0" w:color="auto"/>
          <w:top w:val="single" w:sz="6" w:space="0" w:color="auto"/>
          <w:right w:val="single" w:sz="6" w:space="0" w:color="auto"/>
          <w:bottom w:val="single" w:sz="6" w:space="0" w:color="auto"/>
        </w:tblBorders>
      </w:tblPr>
      <w:tblGrid>
        <w:gridCol w:w="2580"/>
        <w:gridCol w:w="7065"/>
      </w:tblGrid>
      <w:tr>
        <w:trPr>
          <w:trHeight w:hRule="atLeast" w:val="300"/>
        </w:trPr>
        <w:tc>
          <w:tcPr>
            <w:shd w:val="clear" w:fill="B3EDFB"/>
            <w:tcW w:type="dxa" w:w="2580"/>
            <w:vAlign w:val="center"/>
            <w:tcBorders>
              <w:left w:val="single" w:sz="6" w:space="0" w:color="auto"/>
              <w:top w:val="single" w:sz="6" w:space="0" w:color="auto"/>
              <w:right w:val="single" w:sz="6" w:space="0" w:color="auto"/>
              <w:bottom w:val="single" w:sz="6" w:space="0" w:color="auto"/>
            </w:tcBorders>
          </w:tcPr>
          <w:p>
            <w:pPr>
              <w:rPr>
                <w:rFonts w:cs="Arial" w:eastAsia="Arial"/>
              </w:rPr>
              <w:jc w:val="right"/>
              <w:spacing w:after="0" w:lineRule="auto" w:line="240"/>
            </w:pPr>
            <w:r>
              <w:rPr>
                <w:rFonts w:ascii="Calibri" w:hAnsi="Calibri" w:cs="Calibri" w:eastAsia="Calibri"/>
              </w:rPr>
              <w:t>Xoserve Response to Organisations Comments</w:t>
            </w:r>
            <w:r>
              <w:rPr>
                <w:rFonts w:cs="Arial" w:eastAsia="Arial"/>
              </w:rPr>
              <w:t>: </w:t>
            </w:r>
          </w:p>
        </w:tc>
        <w:tc>
          <w:tcPr>
            <w:tcW w:type="dxa" w:w="7065"/>
            <w:vAlign w:val="center"/>
            <w:tcBorders>
              <w:left w:val="single" w:sz="6" w:space="0" w:color="auto"/>
              <w:top w:val="single" w:sz="6" w:space="0" w:color="auto"/>
              <w:right w:val="single" w:sz="6" w:space="0" w:color="auto"/>
              <w:bottom w:val="single" w:sz="6" w:space="0" w:color="auto"/>
            </w:tcBorders>
          </w:tcPr>
          <w:p>
            <w:pPr>
              <w:rPr>
                <w:rFonts w:cs="Arial" w:eastAsia="Arial"/>
              </w:rPr>
              <w:spacing w:after="0" w:lineRule="auto" w:line="240"/>
            </w:pPr>
            <w:r>
              <w:rPr>
                <w:color w:val="000000"/>
                <w:rFonts w:cs="Arial" w:eastAsia="Arial"/>
              </w:rPr>
              <w:t>«e2_xoserveResponse»</w:t>
            </w:r>
            <w:r>
              <w:rPr>
                <w:rFonts w:cs="Arial" w:eastAsia="Arial"/>
              </w:rPr>
              <w:t> </w:t>
            </w:r>
          </w:p>
        </w:tc>
      </w:tr>
    </w:tbl>
    <w:p>
      <w:pPr>
        <w:rPr>
          <w:color w:val="000000"/>
          <w:rFonts w:cs="Arial" w:eastAsia="Arial"/>
        </w:rPr>
        <w:spacing w:after="0" w:lineRule="auto" w:line="240"/>
      </w:pPr>
      <w:r>
        <w:rPr>
          <w:color w:val="000000"/>
          <w:rFonts w:cs="Arial" w:eastAsia="Arial"/>
        </w:rPr>
        <w:t> </w:t>
      </w:r>
    </w:p>
    <w:p>
      <w:pPr>
        <w:rPr>
          <w:color w:val="000000"/>
          <w:rFonts w:cs="Arial" w:eastAsia="Arial"/>
        </w:rPr>
        <w:spacing w:after="0" w:lineRule="auto" w:line="240"/>
      </w:pPr>
      <w:r>
        <w:rPr>
          <w:color w:val="000000"/>
          <w:rFonts w:cs="Arial" w:eastAsia="Arial"/>
        </w:rPr>
        <w:t>«</w:t>
      </w:r>
      <w:r>
        <w:rPr>
          <w:color w:val="000000"/>
          <w:rFonts w:cs="Arial" w:eastAsia="Arial"/>
        </w:rPr>
        <w:t>RangeEnd:EDS</w:t>
      </w:r>
      <w:r>
        <w:rPr>
          <w:color w:val="000000"/>
          <w:rFonts w:cs="Arial" w:eastAsia="Arial"/>
        </w:rPr>
        <w:t>» </w:t>
      </w:r>
    </w:p>
    <w:p>
      <w:pPr>
        <w:rPr>
          <w:color w:val="000000"/>
          <w:rFonts w:cs="Arial" w:eastAsia="Arial"/>
        </w:rPr>
        <w:spacing w:after="0" w:lineRule="auto" w:line="240"/>
      </w:pPr>
    </w:p>
    <w:sectPr>
      <w:footnotePr>
        <w:pos w:val="pageBottom"/>
        <w:numFmt w:val="decimal"/>
        <w:numRestart w:val="continuous"/>
        <w:numStart w:val="1"/>
      </w:footnotePr>
      <w:endnotePr>
        <w:pos w:val="docEnd"/>
        <w:numFmt w:val="lowerRoman"/>
        <w:numRestart w:val="continuous"/>
        <w:numStart w:val="1"/>
      </w:endnotePr>
      <w:pgSz w:h="16838" w:orient="portrait" w:w="11906"/>
      <w:pgMar w:bottom="720" w:footer="708" w:gutter="0" w:header="708" w:left="720" w:right="720" w:top="720"/>
      <w:pgNumType w:fmt="decimal"/>
      <w:cols w:equalWidth="1" w:num="1" w:space="708" w:sep="0"/>
      <w:headerReference w:type="default" r:id="R99349bef32854cdf"/>
      <w:footerReference w:type="default" r:id="R6402e74a4e454b8c"/>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1"/>
    <w:family w:val="auto"/>
    <w:notTrueType w:val="off"/>
    <w:pitch w:val="variable"/>
    <w:sig w:usb0="E4002EFF" w:usb1="C000247B" w:usb2="00000009" w:usb3="00000000" w:csb0="200001FF" w:csb1="00000000"/>
  </w:font>
  <w:font w:name="Arial">
    <w:panose1 w:val="020B0604020202020204"/>
    <w:charset w:val="01"/>
    <w:family w:val="auto"/>
    <w:notTrueType w:val="off"/>
    <w:pitch w:val="variable"/>
    <w:sig w:usb0="E0002EFF" w:usb1="C000785B" w:usb2="00000009" w:usb3="00000000" w:csb0="400001FF" w:csb1="FFFF0000"/>
  </w:font>
  <w:font w:name="Tahoma">
    <w:panose1 w:val="020B0604030504040204"/>
    <w:charset w:val="01"/>
    <w:family w:val="auto"/>
    <w:notTrueType w:val="off"/>
    <w:pitch w:val="variable"/>
    <w:sig w:usb0="E1002EFF" w:usb1="C000605B" w:usb2="00000029" w:usb3="00000000" w:csb0="200101FF" w:csb1="20280000"/>
  </w:font>
  <w:font w:name="Times New Roman">
    <w:panose1 w:val="02020603050405020304"/>
    <w:charset w:val="01"/>
    <w:family w:val="auto"/>
    <w:notTrueType w:val="off"/>
    <w:pitch w:val="variable"/>
    <w:sig w:usb0="E0002EFF" w:usb1="C000785B" w:usb2="00000009" w:usb3="00000000" w:csb0="400001FF" w:csb1="FFFF0000"/>
  </w:font>
</w:fonts>
</file>

<file path=word/footer1.xml><?xml version="1.0" encoding="utf-8"?>
<w:ftr xmlns:w="http://schemas.openxmlformats.org/wordprocessingml/2006/main" xmlns:mc="http://schemas.openxmlformats.org/markup-compatibility/2006" xmlns:r="http://schemas.openxmlformats.org/officeDocument/2006/relationships" xmlns:m="http://schemas.openxmlformats.org/officeDocument/2006/math" xmlns:wp="http://schemas.openxmlformats.org/drawingml/2006/wordprocessingDrawing" xmlns:wpc="http://schemas.microsoft.com/office/word/2010/wordprocessingCanvas" xmlns:wpg="http://schemas.microsoft.com/office/word/2010/wordprocessingGroup" xmlns:wps="http://schemas.microsoft.com/office/word/2010/wordprocessingShape" xmlns:wpi="http://schemas.microsoft.com/office/word/2010/wordprocessingInk" xmlns:pic="http://schemas.openxmlformats.org/drawingml/2006/picture" xmlns:a="http://schemas.openxmlformats.org/drawingml/2006/main" xmlns:c="http://schemas.openxmlformats.org/drawingml/2006/chart" xmlns:o="urn:schemas-microsoft-com:office:office" xmlns:v="urn:schemas-microsoft-com:vml" xmlns:w10="urn:schemas-microsoft-com:office:word" xmlns:w14="http://schemas.microsoft.com/office/word/2010/wordml" xmlns:w15="http://schemas.microsoft.com/office/word/2012/wordml" mc:Ignorable="w14 w15" xml:space="preserve">
  <w:p>
    <w:pPr>
      <w:pStyle w:val="footer"/>
    </w:pPr>
    <w:r>
      <w:t>v1.</w:t>
    </w:r>
    <w:r>
      <w:t>2</w:t>
    </w:r>
  </w:p>
  <w:p>
    <w:pPr>
      <w:pStyle w:val="footer"/>
    </w:pPr>
  </w:p>
  <w:p>
    <w:pPr>
      <w:rPr>
        <w:rFonts w:ascii="Calibri" w:hAnsi="Calibri" w:cs="Calibri"/>
      </w:rPr>
      <w:pStyle w:val="footer"/>
    </w:pPr>
    <w:r>
      <mc:AlternateContent>
        <mc:Choice Requires="wps">
          <w:drawing>
            <wp:anchor allowOverlap="1" layoutInCell="1" relativeHeight="251658244" locked="0" simplePos="0" distL="114300" distT="0" distR="114300" distB="0" behindDoc="0">
              <wp:simplePos x="0" y="0"/>
              <wp:positionH relativeFrom="page">
                <wp:posOffset>-409575</wp:posOffset>
              </wp:positionH>
              <wp:positionV relativeFrom="paragraph">
                <wp:posOffset>376554</wp:posOffset>
              </wp:positionV>
              <wp:extent cx="7991475" cy="238125"/>
              <wp:effectExtent l="0" t="0" r="9525" b="9525"/>
              <wp:wrapNone/>
              <wp:docPr id="8" name="drawingObject8"/>
              <wp:cNvGraphicFramePr/>
              <a:graphic>
                <a:graphicData uri="http://schemas.microsoft.com/office/word/2010/wordprocessingShape">
                  <wps:wsp>
                    <wps:cNvSpPr/>
                    <wps:spPr>
                      <a:xfrm rot="0">
                        <a:ext cx="7991475" cy="238125"/>
                      </a:xfrm>
                      <a:prstGeom prst="rect">
                        <a:avLst/>
                      </a:prstGeom>
                      <a:solidFill>
                        <a:srgbClr val="40D1F5"/>
                      </a:solidFill>
                    </wps:spPr>
                    <wps:bodyPr anchor="ctr" horzOverflow="overflow" vertOverflow="overflow" vert="horz" lIns="91440" tIns="45720" rIns="91440" bIns="45720"/>
                  </wps:wsp>
                </a:graphicData>
              </a:graphic>
            </wp:anchor>
          </w:drawing>
        </mc:Choice>
        <mc:Fallback/>
      </mc:AlternateContent>
    </w:r>
    <w:r>
      <w:t>*</w:t>
    </w:r>
    <w:r>
      <w:rPr>
        <w:rFonts w:ascii="Calibri" w:hAnsi="Calibri" w:cs="Calibri"/>
        <w:sz w:val="20"/>
        <w:szCs w:val="20"/>
      </w:rPr>
      <w:t>Assumed impacted parties of the proposed change, all parties are encouraged to review</w:t>
    </w:r>
  </w:p>
</w:ftr>
</file>

<file path=word/header1.xml><?xml version="1.0" encoding="utf-8"?>
<w:hdr xmlns:w="http://schemas.openxmlformats.org/wordprocessingml/2006/main" xmlns:mc="http://schemas.openxmlformats.org/markup-compatibility/2006" xmlns:r="http://schemas.openxmlformats.org/officeDocument/2006/relationships" xmlns:m="http://schemas.openxmlformats.org/officeDocument/2006/math" xmlns:wp="http://schemas.openxmlformats.org/drawingml/2006/wordprocessingDrawing" xmlns:wpc="http://schemas.microsoft.com/office/word/2010/wordprocessingCanvas" xmlns:wpg="http://schemas.microsoft.com/office/word/2010/wordprocessingGroup" xmlns:wps="http://schemas.microsoft.com/office/word/2010/wordprocessingShape" xmlns:wpi="http://schemas.microsoft.com/office/word/2010/wordprocessingInk" xmlns:pic="http://schemas.openxmlformats.org/drawingml/2006/picture" xmlns:a="http://schemas.openxmlformats.org/drawingml/2006/main" xmlns:c="http://schemas.openxmlformats.org/drawingml/2006/chart" xmlns:o="urn:schemas-microsoft-com:office:office" xmlns:v="urn:schemas-microsoft-com:vml" xmlns:w10="urn:schemas-microsoft-com:office:word" xmlns:w14="http://schemas.microsoft.com/office/word/2010/wordml" xmlns:w15="http://schemas.microsoft.com/office/word/2012/wordml" mc:Ignorable="w14 w15" xml:space="preserve">
  <w:p>
    <w:pPr>
      <w:pStyle w:val="header"/>
    </w:pPr>
    <w:r>
      <mc:AlternateContent>
        <mc:Choice Requires="wps">
          <w:drawing>
            <wp:anchor allowOverlap="1" layoutInCell="1" relativeHeight="251658242" locked="0" simplePos="0" distL="114300" distT="0" distR="114300" distB="0" behindDoc="0">
              <wp:simplePos x="0" y="0"/>
              <wp:positionH relativeFrom="page">
                <wp:posOffset>-383540</wp:posOffset>
              </wp:positionH>
              <wp:positionV relativeFrom="paragraph">
                <wp:posOffset>-452120</wp:posOffset>
              </wp:positionV>
              <wp:extent cx="8001000" cy="304800"/>
              <wp:effectExtent l="0" t="0" r="0" b="0"/>
              <wp:wrapNone/>
              <wp:docPr id="5" name="drawingObject5"/>
              <wp:cNvGraphicFramePr/>
              <a:graphic>
                <a:graphicData uri="http://schemas.microsoft.com/office/word/2010/wordprocessingShape">
                  <wps:wsp>
                    <wps:cNvSpPr/>
                    <wps:spPr>
                      <a:xfrm rot="0">
                        <a:ext cx="8001000" cy="304800"/>
                      </a:xfrm>
                      <a:prstGeom prst="rect">
                        <a:avLst/>
                      </a:prstGeom>
                      <a:solidFill>
                        <a:srgbClr val="3E5AA8"/>
                      </a:solidFill>
                    </wps:spPr>
                    <wps:bodyPr anchor="ctr" horzOverflow="overflow" vertOverflow="overflow" vert="horz" lIns="91440" tIns="45720" rIns="91440" bIns="45720"/>
                  </wps:wsp>
                </a:graphicData>
              </a:graphic>
            </wp:anchor>
          </w:drawing>
        </mc:Choice>
        <mc:Fallback/>
      </mc:AlternateContent>
    </w:r>
    <w:r>
      <mc:AlternateContent>
        <mc:Choice Requires="wps">
          <w:drawing>
            <wp:anchor allowOverlap="1" layoutInCell="1" relativeHeight="251658243" locked="0" simplePos="0" distL="114300" distT="0" distR="114300" distB="0" behindDoc="0">
              <wp:simplePos x="0" y="0"/>
              <wp:positionH relativeFrom="margin">
                <wp:align>right</wp:align>
              </wp:positionH>
              <wp:positionV relativeFrom="paragraph">
                <wp:posOffset>3175</wp:posOffset>
              </wp:positionV>
              <wp:extent cx="2066926" cy="325750"/>
              <wp:effectExtent l="0" t="0" r="0" b="0"/>
              <wp:wrapNone/>
              <wp:docPr id="6" name="drawingObject6"/>
              <wp:cNvGraphicFramePr>
                <a:graphicFrameLocks noChangeAspect="1"/>
              </wp:cNvGraphicFramePr>
              <a:graphic>
                <a:graphicData uri="http://schemas.openxmlformats.org/drawingml/2006/picture">
                  <pic:pic>
                    <pic:nvPicPr>
                      <pic:cNvPr id="7" name="Picture 7"/>
                      <pic:cNvPicPr/>
                    </pic:nvPicPr>
                    <pic:blipFill>
                      <a:blip r:embed="R2fb663d1eeb543d3"/>
                      <a:stretch/>
                    </pic:blipFill>
                    <pic:spPr>
                      <a:xfrm rot="0">
                        <a:ext cx="2066926" cy="325750"/>
                      </a:xfrm>
                      <a:prstGeom prst="rect">
                        <a:avLst/>
                      </a:prstGeom>
                      <a:noFill/>
                    </pic:spPr>
                  </pic:pic>
                </a:graphicData>
              </a:graphic>
            </wp:anchor>
          </w:drawing>
        </mc:Choice>
        <mc:Fallback/>
      </mc:AlternateContent>
    </w:r>
  </w:p>
  <w:p>
    <w:pPr>
      <w:pStyle w:val="header"/>
    </w:pPr>
  </w:p>
  <w:p>
    <w:pPr>
      <w:pStyle w:val="header"/>
    </w:pPr>
  </w:p>
</w:hdr>
</file>

<file path=word/numbering.xml><?xml version="1.0" encoding="utf-8"?>
<w:numbering xmlns:w="http://schemas.openxmlformats.org/wordprocessingml/2006/main" xmlns:mc="http://schemas.openxmlformats.org/markup-compatibility/2006" xmlns:r="http://schemas.openxmlformats.org/officeDocument/2006/relationships" xmlns:m="http://schemas.openxmlformats.org/officeDocument/2006/math" xmlns:wp="http://schemas.openxmlformats.org/drawingml/2006/wordprocessingDrawing" xmlns:wpc="http://schemas.microsoft.com/office/word/2010/wordprocessingCanvas" xmlns:wpg="http://schemas.microsoft.com/office/word/2010/wordprocessingGroup" xmlns:wps="http://schemas.microsoft.com/office/word/2010/wordprocessingShape" xmlns:wpi="http://schemas.microsoft.com/office/word/2010/wordprocessingInk" xmlns:a="http://schemas.openxmlformats.org/drawingml/2006/main" xmlns:c="http://schemas.openxmlformats.org/drawingml/2006/chart" xmlns:o="urn:schemas-microsoft-com:office:office" xmlns:v="urn:schemas-microsoft-com:vml" xmlns:w10="urn:schemas-microsoft-com:office:word" xmlns:w14="http://schemas.microsoft.com/office/word/2010/wordml" xmlns:w15="http://schemas.microsoft.com/office/word/2012/wordml" mc:Ignorable="w14 w15">
  <w:abstractNum w:abstractNumId="0">
    <w:styleLink w:val="ListStyle7"/>
    <w:multiLevelType w:val="hybridMultilevel"/>
    <w:name w:val="ListStyle7"/>
    <w:lvl w:ilvl="0">
      <w:numFmt w:val="bullet"/>
      <w:lvlText w:val="•"/>
      <w:lvlJc w:val="left"/>
      <w:pPr>
        <w:ind w:hanging="720" w:left="1080"/>
      </w:pPr>
      <w:rPr>
        <w:rFonts w:ascii="Calibri" w:hAnsi="Calibri" w:cs="Calibri" w:eastAsia="Arial"/>
      </w:rPr>
    </w:lvl>
    <w:lvl w:ilvl="1">
      <w:numFmt w:val="bullet"/>
      <w:start w:val="1"/>
      <w:lvlText w:val="o"/>
      <w:lvlJc w:val="left"/>
      <w:pPr>
        <w:ind w:hanging="360" w:left="1440"/>
      </w:pPr>
      <w:rPr>
        <w:rFonts w:ascii="Courier New" w:hAnsi="Courier New" w:cs="Courier New"/>
      </w:rPr>
    </w:lvl>
    <w:lvl w:ilvl="2">
      <w:numFmt w:val="bullet"/>
      <w:start w:val="1"/>
      <w:lvlText w:val=""/>
      <w:lvlJc w:val="left"/>
      <w:pPr>
        <w:ind w:hanging="360" w:left="2160"/>
      </w:pPr>
      <w:rPr>
        <w:rFonts w:ascii="Wingdings" w:hAnsi="Wingdings"/>
      </w:rPr>
    </w:lvl>
    <w:lvl w:ilvl="3">
      <w:numFmt w:val="bullet"/>
      <w:start w:val="1"/>
      <w:lvlText w:val=""/>
      <w:lvlJc w:val="left"/>
      <w:pPr>
        <w:ind w:hanging="360" w:left="2880"/>
      </w:pPr>
      <w:rPr>
        <w:rFonts w:ascii="Symbol" w:hAnsi="Symbol"/>
      </w:rPr>
    </w:lvl>
    <w:lvl w:ilvl="4">
      <w:numFmt w:val="bullet"/>
      <w:start w:val="1"/>
      <w:lvlText w:val="o"/>
      <w:lvlJc w:val="left"/>
      <w:pPr>
        <w:ind w:hanging="360" w:left="3600"/>
      </w:pPr>
      <w:rPr>
        <w:rFonts w:ascii="Courier New" w:hAnsi="Courier New" w:cs="Courier New"/>
      </w:rPr>
    </w:lvl>
    <w:lvl w:ilvl="5">
      <w:numFmt w:val="bullet"/>
      <w:start w:val="1"/>
      <w:lvlText w:val=""/>
      <w:lvlJc w:val="left"/>
      <w:pPr>
        <w:ind w:hanging="360" w:left="4320"/>
      </w:pPr>
      <w:rPr>
        <w:rFonts w:ascii="Wingdings" w:hAnsi="Wingdings"/>
      </w:rPr>
    </w:lvl>
    <w:lvl w:ilvl="6">
      <w:numFmt w:val="bullet"/>
      <w:start w:val="1"/>
      <w:lvlText w:val=""/>
      <w:lvlJc w:val="left"/>
      <w:pPr>
        <w:ind w:hanging="360" w:left="5040"/>
      </w:pPr>
      <w:rPr>
        <w:rFonts w:ascii="Symbol" w:hAnsi="Symbol"/>
      </w:rPr>
    </w:lvl>
    <w:lvl w:ilvl="7">
      <w:numFmt w:val="bullet"/>
      <w:start w:val="1"/>
      <w:lvlText w:val="o"/>
      <w:lvlJc w:val="left"/>
      <w:pPr>
        <w:ind w:hanging="360" w:left="5760"/>
      </w:pPr>
      <w:rPr>
        <w:rFonts w:ascii="Courier New" w:hAnsi="Courier New" w:cs="Courier New"/>
      </w:rPr>
    </w:lvl>
    <w:lvl w:ilvl="8">
      <w:numFmt w:val="bullet"/>
      <w:start w:val="1"/>
      <w:lvlText w:val=""/>
      <w:lvlJc w:val="left"/>
      <w:pPr>
        <w:ind w:hanging="360" w:left="6480"/>
      </w:pPr>
      <w:rPr>
        <w:rFonts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sl="http://schemas.openxmlformats.org/schemaLibrary/2006/main" xmlns:w10="urn:schemas-microsoft-com:office:word" xmlns:w14="http://schemas.microsoft.com/office/word/2010/wordml" xmlns:w15="http://schemas.microsoft.com/office/word/2012/wordml" mc:Ignorable="w14 w15">
  <w:zoom w:percent="100"/>
  <w:defaultTabStop w:val="720"/>
  <w:characterSpacingControl w:val="doNotCompress"/>
  <w:compat>
    <w:compatSetting w:name="compatibilityMode" w:uri="http://schemas.microsoft.com/office/word" w:val="15"/>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hAnsi="Arial"/>
        <w:lang w:val="en-GB"/>
        <w:sz w:val="22"/>
        <w:szCs w:val="22"/>
      </w:rPr>
    </w:rPrDefault>
    <w:pPrDefault>
      <w:pPr>
        <w:spacing w:after="200" w:lineRule="auto" w:line="276"/>
      </w:pPr>
    </w:pPrDefault>
  </w:docDefaults>
  <w:style w:type="paragraph" w:styleId="Normal" w:default="1">
    <w:name w:val="Normal"/>
    <w:qFormat/>
    <w:rPr>
      <w:rFonts w:ascii="Arial" w:hAnsi="Arial"/>
    </w:rPr>
  </w:style>
  <w:style w:type="paragraph" w:styleId="heading 1">
    <w:name w:val="heading 1"/>
    <w:qFormat/>
    <w:basedOn w:val="Normal"/>
    <w:pPr>
      <w:keepLines w:val="1"/>
      <w:keepNext w:val="1"/>
      <w:spacing w:before="480" w:after="0"/>
      <w:outlineLvl w:val="0"/>
    </w:pPr>
    <w:rPr>
      <w:b w:val="1"/>
      <w:bCs w:val="1"/>
      <w:color w:val="3E5AA8"/>
      <w:sz w:val="28"/>
      <w:szCs w:val="28"/>
    </w:rPr>
  </w:style>
  <w:style w:type="paragraph" w:styleId="heading 2">
    <w:name w:val="heading 2"/>
    <w:qFormat/>
    <w:basedOn w:val="Normal"/>
    <w:pPr>
      <w:keepLines w:val="1"/>
      <w:keepNext w:val="1"/>
      <w:spacing w:before="200" w:after="0"/>
      <w:outlineLvl w:val="1"/>
    </w:pPr>
    <w:rPr>
      <w:b w:val="1"/>
      <w:bCs w:val="1"/>
      <w:color w:val="6440A3"/>
      <w:sz w:val="26"/>
      <w:szCs w:val="26"/>
    </w:rPr>
  </w:style>
  <w:style w:type="paragraph" w:styleId="heading 3">
    <w:name w:val="heading 3"/>
    <w:qFormat/>
    <w:basedOn w:val="Normal"/>
    <w:pPr>
      <w:keepLines w:val="1"/>
      <w:keepNext w:val="1"/>
      <w:spacing w:before="200" w:after="0"/>
      <w:outlineLvl w:val="2"/>
    </w:pPr>
    <w:rPr>
      <w:b w:val="1"/>
      <w:bCs w:val="1"/>
      <w:color w:val="40D1F5"/>
      <w:rFonts w:ascii="Arial" w:hAnsi="Arial"/>
    </w:rPr>
  </w:style>
  <w:style w:type="paragraph" w:styleId="heading 4">
    <w:name w:val="heading 4"/>
    <w:qFormat/>
    <w:basedOn w:val="Normal"/>
    <w:pPr>
      <w:keepLines w:val="1"/>
      <w:keepNext w:val="1"/>
      <w:spacing w:before="200" w:after="0"/>
      <w:outlineLvl w:val="3"/>
    </w:pPr>
    <w:rPr>
      <w:b w:val="1"/>
      <w:bCs w:val="1"/>
      <w:color w:val="3E5AA8"/>
      <w:rFonts w:ascii="Arial" w:hAnsi="Arial"/>
      <w:i w:val="1"/>
      <w:iCs w:val="1"/>
    </w:rPr>
  </w:style>
  <w:style w:type="paragraph" w:styleId="heading 5">
    <w:name w:val="heading 5"/>
    <w:qFormat/>
    <w:basedOn w:val="Normal"/>
    <w:pPr>
      <w:keepLines w:val="1"/>
      <w:keepNext w:val="1"/>
      <w:spacing w:before="200" w:after="0"/>
      <w:outlineLvl w:val="4"/>
    </w:pPr>
    <w:rPr>
      <w:color w:val="1F2D54"/>
      <w:rFonts w:ascii="Arial" w:hAnsi="Arial"/>
    </w:rPr>
  </w:style>
  <w:style w:type="character" w:styleId="Default Paragraph Font" w:default="1">
    <w:name w:val="Default Paragraph Font"/>
    <w:qFormat/>
  </w:style>
  <w:style w:type="table" w:styleId="Normal Table" w:default="1">
    <w:name w:val="Normal Table"/>
    <w:qFormat/>
    <w:tblPr>
      <w:tblCellMar>
        <w:left w:type="dxa" w:w="108"/>
        <w:top w:type="dxa" w:w="0"/>
        <w:right w:type="dxa" w:w="108"/>
        <w:bottom w:type="dxa" w:w="0"/>
      </w:tblCellMar>
      <w:tblInd w:type="dxa" w:w="0"/>
    </w:tblPr>
  </w:style>
  <w:style w:type="paragraph" w:styleId="No Spacing">
    <w:name w:val="No Spacing"/>
    <w:qFormat/>
    <w:pPr>
      <w:spacing w:after="0" w:lineRule="auto" w:line="240"/>
    </w:pPr>
    <w:rPr>
      <w:rFonts w:ascii="Arial" w:hAnsi="Arial"/>
    </w:rPr>
  </w:style>
  <w:style w:type="character" w:styleId="Heading 1 Char">
    <w:name w:val="Heading 1 Char"/>
    <w:qFormat/>
    <w:basedOn w:val="Default Paragraph Font"/>
    <w:rPr>
      <w:b w:val="1"/>
      <w:bCs w:val="1"/>
      <w:color w:val="3E5AA8"/>
      <w:rFonts w:ascii="Arial" w:hAnsi="Arial"/>
      <w:sz w:val="28"/>
      <w:szCs w:val="28"/>
    </w:rPr>
  </w:style>
  <w:style w:type="character" w:styleId="Heading 2 Char">
    <w:name w:val="Heading 2 Char"/>
    <w:qFormat/>
    <w:basedOn w:val="Default Paragraph Font"/>
    <w:rPr>
      <w:b w:val="1"/>
      <w:bCs w:val="1"/>
      <w:color w:val="6440A3"/>
      <w:rFonts w:ascii="Arial" w:hAnsi="Arial"/>
      <w:sz w:val="26"/>
      <w:szCs w:val="26"/>
    </w:rPr>
  </w:style>
  <w:style w:type="paragraph" w:styleId="Title">
    <w:name w:val="Title"/>
    <w:qFormat/>
    <w:basedOn w:val="Normal"/>
    <w:pPr>
      <w:pBdr>
        <w:bottom w:val="single" w:sz="8" w:space="4" w:color="3E5AA8"/>
      </w:pBdr>
      <w:spacing w:after="300" w:lineRule="auto" w:line="240"/>
      <w:contextualSpacing w:val="1"/>
    </w:pPr>
    <w:rPr>
      <w:b w:val="1"/>
      <w:bCs w:val="1"/>
      <w:color w:val="1D3E61"/>
      <w:kern w:val="28"/>
      <w:sz w:val="52"/>
      <w:szCs w:val="52"/>
      <w:spacing w:val="5"/>
    </w:rPr>
  </w:style>
  <w:style w:type="character" w:styleId="Title Char">
    <w:name w:val="Title Char"/>
    <w:qFormat/>
    <w:basedOn w:val="Default Paragraph Font"/>
    <w:rPr>
      <w:b w:val="1"/>
      <w:bCs w:val="1"/>
      <w:color w:val="1D3E61"/>
      <w:rFonts w:ascii="Arial" w:hAnsi="Arial"/>
      <w:kern w:val="28"/>
      <w:sz w:val="52"/>
      <w:szCs w:val="52"/>
      <w:spacing w:val="5"/>
    </w:rPr>
  </w:style>
  <w:style w:type="paragraph" w:styleId="Subtitle">
    <w:name w:val="Subtitle"/>
    <w:qFormat/>
    <w:basedOn w:val="Normal"/>
    <w:rPr>
      <w:color w:val="56CF9E"/>
      <w:i w:val="1"/>
      <w:iCs w:val="1"/>
      <w:sz w:val="24"/>
      <w:szCs w:val="24"/>
      <w:spacing w:val="15"/>
    </w:rPr>
  </w:style>
  <w:style w:type="character" w:styleId="Subtitle Char">
    <w:name w:val="Subtitle Char"/>
    <w:qFormat/>
    <w:basedOn w:val="Default Paragraph Font"/>
    <w:rPr>
      <w:color w:val="56CF9E"/>
      <w:rFonts w:ascii="Arial" w:hAnsi="Arial"/>
      <w:i w:val="1"/>
      <w:iCs w:val="1"/>
      <w:sz w:val="24"/>
      <w:szCs w:val="24"/>
      <w:spacing w:val="15"/>
    </w:rPr>
  </w:style>
  <w:style w:type="character" w:styleId="Subtle Emphasis">
    <w:name w:val="Subtle Emphasis"/>
    <w:qFormat/>
    <w:basedOn w:val="Default Paragraph Font"/>
    <w:rPr>
      <w:color w:val="808080"/>
      <w:rFonts w:ascii="Arial" w:hAnsi="Arial"/>
      <w:i w:val="1"/>
      <w:iCs w:val="1"/>
    </w:rPr>
  </w:style>
  <w:style w:type="paragraph" w:styleId="header">
    <w:name w:val="header"/>
    <w:qFormat/>
    <w:basedOn w:val="Normal"/>
    <w:pPr>
      <w:tabs>
        <w:tab w:val="center" w:leader="none" w:pos="4513"/>
        <w:tab w:val="right" w:leader="none" w:pos="9026"/>
      </w:tabs>
      <w:spacing w:after="0" w:lineRule="auto" w:line="240"/>
    </w:pPr>
  </w:style>
  <w:style w:type="character" w:styleId="Header Char">
    <w:name w:val="Header Char"/>
    <w:qFormat/>
    <w:basedOn w:val="Default Paragraph Font"/>
    <w:rPr>
      <w:rFonts w:ascii="Arial" w:hAnsi="Arial"/>
    </w:rPr>
  </w:style>
  <w:style w:type="paragraph" w:styleId="footer">
    <w:name w:val="footer"/>
    <w:qFormat/>
    <w:basedOn w:val="Normal"/>
    <w:pPr>
      <w:tabs>
        <w:tab w:val="center" w:leader="none" w:pos="4513"/>
        <w:tab w:val="right" w:leader="none" w:pos="9026"/>
      </w:tabs>
      <w:spacing w:after="0" w:lineRule="auto" w:line="240"/>
    </w:pPr>
  </w:style>
  <w:style w:type="character" w:styleId="Footer Char">
    <w:name w:val="Footer Char"/>
    <w:qFormat/>
    <w:basedOn w:val="Default Paragraph Font"/>
    <w:rPr>
      <w:rFonts w:ascii="Arial" w:hAnsi="Arial"/>
    </w:rPr>
  </w:style>
  <w:style w:type="character" w:styleId="Heading 3 Char">
    <w:name w:val="Heading 3 Char"/>
    <w:qFormat/>
    <w:basedOn w:val="Default Paragraph Font"/>
    <w:rPr>
      <w:b w:val="1"/>
      <w:bCs w:val="1"/>
      <w:color w:val="40D1F5"/>
      <w:rFonts w:ascii="Arial" w:hAnsi="Arial"/>
    </w:rPr>
  </w:style>
  <w:style w:type="paragraph" w:styleId="Balloon Text">
    <w:name w:val="Balloon Text"/>
    <w:qFormat/>
    <w:basedOn w:val="Normal"/>
    <w:pPr>
      <w:spacing w:after="0" w:lineRule="auto" w:line="240"/>
    </w:pPr>
    <w:rPr>
      <w:rFonts w:ascii="Tahoma" w:hAnsi="Tahoma" w:cs="Tahoma"/>
      <w:sz w:val="16"/>
      <w:szCs w:val="16"/>
    </w:rPr>
  </w:style>
  <w:style w:type="character" w:styleId="Balloon Text Char">
    <w:name w:val="Balloon Text Char"/>
    <w:qFormat/>
    <w:basedOn w:val="Default Paragraph Font"/>
    <w:rPr>
      <w:rFonts w:ascii="Tahoma" w:hAnsi="Tahoma" w:cs="Tahoma"/>
      <w:sz w:val="16"/>
      <w:szCs w:val="16"/>
    </w:rPr>
  </w:style>
  <w:style w:type="character" w:styleId="Hyperlink">
    <w:name w:val="Hyperlink"/>
    <w:qFormat/>
    <w:basedOn w:val="Default Paragraph Font"/>
    <w:rPr>
      <w:color w:val="6440A3"/>
      <w:u w:val="single"/>
    </w:rPr>
  </w:style>
  <w:style w:type="character" w:styleId="Heading 4 Char">
    <w:name w:val="Heading 4 Char"/>
    <w:qFormat/>
    <w:basedOn w:val="Default Paragraph Font"/>
    <w:rPr>
      <w:b w:val="1"/>
      <w:bCs w:val="1"/>
      <w:color w:val="3E5AA8"/>
      <w:rFonts w:ascii="Arial" w:hAnsi="Arial"/>
      <w:i w:val="1"/>
      <w:iCs w:val="1"/>
    </w:rPr>
  </w:style>
  <w:style w:type="character" w:styleId="Heading 5 Char">
    <w:name w:val="Heading 5 Char"/>
    <w:qFormat/>
    <w:basedOn w:val="Default Paragraph Font"/>
    <w:rPr>
      <w:color w:val="1F2D54"/>
      <w:rFonts w:ascii="Arial" w:hAnsi="Arial"/>
    </w:rPr>
  </w:style>
  <w:style w:type="character" w:styleId="Intense Emphasis">
    <w:name w:val="Intense Emphasis"/>
    <w:qFormat/>
    <w:basedOn w:val="Default Paragraph Font"/>
    <w:rPr>
      <w:b w:val="1"/>
      <w:bCs w:val="1"/>
      <w:color w:val="3E5AA8"/>
      <w:i w:val="1"/>
      <w:iCs w:val="1"/>
    </w:rPr>
  </w:style>
  <w:style w:type="character" w:styleId="Strong">
    <w:name w:val="Strong"/>
    <w:qFormat/>
    <w:basedOn w:val="Default Paragraph Font"/>
    <w:rPr>
      <w:b w:val="1"/>
      <w:bCs w:val="1"/>
    </w:rPr>
  </w:style>
  <w:style w:type="paragraph" w:styleId="Quote">
    <w:name w:val="Quote"/>
    <w:qFormat/>
    <w:basedOn w:val="Normal"/>
    <w:rPr>
      <w:color w:val="000000"/>
      <w:i w:val="1"/>
      <w:iCs w:val="1"/>
    </w:rPr>
  </w:style>
  <w:style w:type="character" w:styleId="Quote Char">
    <w:name w:val="Quote Char"/>
    <w:qFormat/>
    <w:basedOn w:val="Default Paragraph Font"/>
    <w:rPr>
      <w:color w:val="000000"/>
      <w:rFonts w:ascii="Arial" w:hAnsi="Arial"/>
      <w:i w:val="1"/>
      <w:iCs w:val="1"/>
    </w:rPr>
  </w:style>
  <w:style w:type="table" w:styleId="Table Grid">
    <w:name w:val="Table Grid"/>
    <w:qFormat/>
    <w:basedOn w:val="Normal Table"/>
    <w:tblPr>
      <w:tblBorders>
        <w:left w:val="single" w:sz="4" w:space="0" w:color="auto"/>
        <w:top w:val="single" w:sz="4" w:space="0" w:color="auto"/>
        <w:right w:val="single" w:sz="4" w:space="0" w:color="auto"/>
        <w:bottom w:val="single" w:sz="4" w:space="0" w:color="auto"/>
        <w:insideH w:val="single" w:sz="4" w:space="0" w:color="auto"/>
        <w:insideV w:val="single" w:sz="4" w:space="0" w:color="auto"/>
      </w:tblBorders>
    </w:tblPr>
    <w:pPr>
      <w:spacing w:after="0" w:lineRule="auto" w:line="240"/>
    </w:pPr>
  </w:style>
  <w:style w:type="paragraph" w:styleId="List Paragraph">
    <w:name w:val="List Paragraph"/>
    <w:qFormat/>
    <w:basedOn w:val="Normal"/>
    <w:pPr>
      <w:ind w:left="720"/>
      <w:contextualSpacing w:val="1"/>
    </w:pPr>
    <w:rPr>
      <w:rFonts w:ascii="Arial" w:hAnsi="Arial"/>
    </w:rPr>
  </w:style>
  <w:style w:type="character" w:styleId="annotation reference">
    <w:name w:val="annotation reference"/>
    <w:qFormat/>
    <w:basedOn w:val="Default Paragraph Font"/>
    <w:rPr>
      <w:sz w:val="16"/>
      <w:szCs w:val="16"/>
    </w:rPr>
  </w:style>
  <w:style w:type="paragraph" w:styleId="annotation text">
    <w:name w:val="annotation text"/>
    <w:qFormat/>
    <w:basedOn w:val="Normal"/>
    <w:pPr>
      <w:spacing w:lineRule="auto" w:line="240"/>
    </w:pPr>
    <w:rPr>
      <w:sz w:val="20"/>
      <w:szCs w:val="20"/>
    </w:rPr>
  </w:style>
  <w:style w:type="character" w:styleId="Comment Text Char">
    <w:name w:val="Comment Text Char"/>
    <w:qFormat/>
    <w:basedOn w:val="Default Paragraph Font"/>
    <w:rPr>
      <w:rFonts w:ascii="Arial" w:hAnsi="Arial"/>
      <w:sz w:val="20"/>
      <w:szCs w:val="20"/>
    </w:rPr>
  </w:style>
  <w:style w:type="paragraph" w:styleId="annotation subject">
    <w:name w:val="annotation subject"/>
    <w:qFormat/>
    <w:basedOn w:val="annotation text"/>
    <w:rPr>
      <w:b w:val="1"/>
      <w:bCs w:val="1"/>
    </w:rPr>
  </w:style>
  <w:style w:type="character" w:styleId="Comment Subject Char">
    <w:name w:val="Comment Subject Char"/>
    <w:qFormat/>
    <w:basedOn w:val="Comment Text Char"/>
    <w:rPr>
      <w:b w:val="1"/>
      <w:bCs w:val="1"/>
      <w:rFonts w:ascii="Arial" w:hAnsi="Arial"/>
      <w:sz w:val="20"/>
      <w:szCs w:val="20"/>
    </w:rPr>
  </w:style>
  <w:style w:type="character" w:styleId="Placeholder Text">
    <w:name w:val="Placeholder Text"/>
    <w:qFormat/>
    <w:basedOn w:val="Default Paragraph Font"/>
    <w:rPr>
      <w:color w:val="808080"/>
    </w:rPr>
  </w:style>
  <w:style w:type="character" w:styleId="Unresolved Mention">
    <w:name w:val="Unresolved Mention"/>
    <w:qFormat/>
    <w:basedOn w:val="Default Paragraph Font"/>
    <w:rPr>
      <w:shd w:val="clear" w:fill="E1DFDD"/>
      <w:color w:val="605E5C"/>
    </w:rPr>
  </w:style>
  <w:style w:type="table" w:styleId="Table Grid3">
    <w:name w:val="Table Grid3"/>
    <w:qFormat/>
    <w:basedOn w:val="Normal Table"/>
    <w:tblPr>
      <w:tblBorders>
        <w:left w:val="single" w:sz="4" w:space="0" w:color="auto"/>
        <w:top w:val="single" w:sz="4" w:space="0" w:color="auto"/>
        <w:right w:val="single" w:sz="4" w:space="0" w:color="auto"/>
        <w:bottom w:val="single" w:sz="4" w:space="0" w:color="auto"/>
        <w:insideH w:val="single" w:sz="4" w:space="0" w:color="auto"/>
        <w:insideV w:val="single" w:sz="4" w:space="0" w:color="auto"/>
      </w:tblBorders>
    </w:tblPr>
    <w:pPr>
      <w:spacing w:after="0" w:lineRule="auto" w:line="240"/>
    </w:pPr>
    <w:rPr>
      <w:rFonts w:eastAsia="Times New Roman"/>
    </w:rPr>
  </w:style>
  <w:style w:type="character" w:styleId="ui-provider">
    <w:name w:val="ui-provider"/>
    <w:qFormat/>
    <w:basedOn w:val="Default Paragraph Font"/>
  </w:style>
  <w:style w:type="numbering" w:styleId="ListStyle7">
    <w:name w:val="ListStyle7"/>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&#65279;<?xml version="1.0" encoding="utf-8"?><Relationships xmlns="http://schemas.openxmlformats.org/package/2006/relationships"><Relationship Type="http://schemas.openxmlformats.org/officeDocument/2006/relationships/theme" Target="theme/theme1.xml" Id="rId21" /><Relationship Type="http://schemas.openxmlformats.org/officeDocument/2006/relationships/package" Target="embeddings/Microsoft_PowerPoint_Presentation.pptx" Id="rId17" /><Relationship Type="http://schemas.openxmlformats.org/officeDocument/2006/relationships/image" Target="media/image3.emf" Id="rId16" /><Relationship Type="http://schemas.openxmlformats.org/officeDocument/2006/relationships/hyperlink" Target="https://www.xoserve.com/change/customer-change-register/xrn-5569-contact-data-provision-for-igt-customers/" TargetMode="External" Id="R8a65cd5edc6e4de4" /><Relationship Type="http://schemas.openxmlformats.org/officeDocument/2006/relationships/hyperlink" Target="mailto:uklink@xoserve.com" TargetMode="External" Id="R8e29dcfb45d441aa" /><Relationship Type="http://schemas.openxmlformats.org/officeDocument/2006/relationships/hyperlink" Target="https://www.xoserve.com/change/customer-change-register/xrn-4850-notification-of-customer-contact-details-to-transporters/" TargetMode="External" Id="Rb51b3c4ccd974aeb" /><Relationship Type="http://schemas.openxmlformats.org/officeDocument/2006/relationships/image" Target="media/wmn2aabn.png" Id="R4fc5fe9e6cb94968" /><Relationship Type="http://schemas.openxmlformats.org/officeDocument/2006/relationships/image" Target="media/p3spr5rg.png" Id="R4592664c1ffa401b" /><Relationship Type="http://schemas.openxmlformats.org/officeDocument/2006/relationships/image" Target="/word/media/image3.emf" Id="R8f65f812881b4163" /><Relationship Type="http://schemas.openxmlformats.org/officeDocument/2006/relationships/package" Target="/word/embeddings/Microsoft_PowerPoint_Presentation.pptx" Id="R61eebdefd248474e" /><Relationship Type="http://schemas.openxmlformats.org/officeDocument/2006/relationships/header" Target="header1.xml" Id="R99349bef32854cdf" /><Relationship Type="http://schemas.openxmlformats.org/officeDocument/2006/relationships/footer" Target="footer1.xml" Id="R6402e74a4e454b8c" /><Relationship Type="http://schemas.openxmlformats.org/officeDocument/2006/relationships/customXml" Target="/customXml/item1.xml" Id="R3491930afefa40b1" /><Relationship Type="http://schemas.openxmlformats.org/officeDocument/2006/relationships/customXml" Target="/customXml/item2.xml" Id="Rf76bce13db8348eb" /><Relationship Type="http://schemas.openxmlformats.org/officeDocument/2006/relationships/customXml" Target="/customXml/item3.xml" Id="R1bd762176fcd4430" /><Relationship Type="http://schemas.openxmlformats.org/officeDocument/2006/relationships/customXml" Target="/customXml/item4.xml" Id="R95ac8262c8f44fd5" /><Relationship Type="http://schemas.openxmlformats.org/officeDocument/2006/relationships/styles" Target="styles.xml" Id="R97f957bead844ca2" /><Relationship Type="http://schemas.openxmlformats.org/officeDocument/2006/relationships/fontTable" Target="fontTable.xml" Id="Rd4cd593ab2e44499" /><Relationship Type="http://schemas.openxmlformats.org/officeDocument/2006/relationships/numbering" Target="numbering.xml" Id="Rb804342658d447e0" /><Relationship Type="http://schemas.openxmlformats.org/officeDocument/2006/relationships/settings" Target="settings.xml" Id="R61849935ceb04e29" /><Relationship Type="http://schemas.openxmlformats.org/officeDocument/2006/relationships/webSettings" Target="webSettings.xml" Id="R8a4b0e9450204bc1" /></Relationships>
</file>

<file path=word/_rels/header1.xml.rels>&#65279;<?xml version="1.0" encoding="utf-8"?><Relationships xmlns="http://schemas.openxmlformats.org/package/2006/relationships"><Relationship Type="http://schemas.openxmlformats.org/officeDocument/2006/relationships/image" Target="media/zybv2htc.png" Id="R2fb663d1eeb543d3" /></Relationships>
</file>

<file path=word/theme/theme1.xml><?xml version="1.0" encoding="utf-8"?>
<a:theme xmlns:a="http://schemas.openxmlformats.org/drawingml/2006/main" name="Office Theme">
  <a:themeElements>
    <a:clrScheme name="Xoserve 2018">
      <a:dk1>
        <a:sysClr val="windowText" lastClr="000000"/>
      </a:dk1>
      <a:lt1>
        <a:sysClr val="window" lastClr="FFFFFF"/>
      </a:lt1>
      <a:dk2>
        <a:srgbClr val="1D3E61"/>
      </a:dk2>
      <a:lt2>
        <a:srgbClr val="EEECE1"/>
      </a:lt2>
      <a:accent1>
        <a:srgbClr val="3E5AA8"/>
      </a:accent1>
      <a:accent2>
        <a:srgbClr val="D75733"/>
      </a:accent2>
      <a:accent3>
        <a:srgbClr val="56CF9E"/>
      </a:accent3>
      <a:accent4>
        <a:srgbClr val="6440A3"/>
      </a:accent4>
      <a:accent5>
        <a:srgbClr val="40D1F5"/>
      </a:accent5>
      <a:accent6>
        <a:srgbClr val="FCBC55"/>
      </a:accent6>
      <a:hlink>
        <a:srgbClr val="6440A3"/>
      </a:hlink>
      <a:folHlink>
        <a:srgbClr val="D2232A"/>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Relationships xmlns="http://schemas.openxmlformats.org/package/2006/relationships"><Relationship Type="http://schemas.openxmlformats.org/officeDocument/2006/relationships/customXmlProps" Target="itemProps1.xml" Id="R3f195bba282a4203" /></Relationships>
</file>

<file path=customXml/_rels/item2.xml.rels>&#65279;<?xml version="1.0" encoding="utf-8"?><Relationships xmlns="http://schemas.openxmlformats.org/package/2006/relationships"><Relationship Type="http://schemas.openxmlformats.org/officeDocument/2006/relationships/customXmlProps" Target="itemProps2.xml" Id="Ra5f5d8d8dd7c4f44" /></Relationships>
</file>

<file path=customXml/_rels/item3.xml.rels>&#65279;<?xml version="1.0" encoding="utf-8"?><Relationships xmlns="http://schemas.openxmlformats.org/package/2006/relationships"><Relationship Type="http://schemas.openxmlformats.org/officeDocument/2006/relationships/customXmlProps" Target="itemProps3.xml" Id="R6a05d33afa3f4da0" /></Relationships>
</file>

<file path=customXml/_rels/item4.xml.rels>&#65279;<?xml version="1.0" encoding="utf-8"?><Relationships xmlns="http://schemas.openxmlformats.org/package/2006/relationships"><Relationship Type="http://schemas.openxmlformats.org/officeDocument/2006/relationships/customXmlProps" Target="itemProps4.xml" Id="Rcbd617bccb074854" /></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302497C3D8F507488A9CDD43D440A310" ma:contentTypeVersion="9" ma:contentTypeDescription="Create a new document." ma:contentTypeScope="" ma:versionID="f0b7d57ef7209a77ee40aff37bb95d76">
  <xsd:schema xmlns:xsd="http://www.w3.org/2001/XMLSchema" xmlns:xs="http://www.w3.org/2001/XMLSchema" xmlns:p="http://schemas.microsoft.com/office/2006/metadata/properties" xmlns:ns2="13af0b2b-8185-4f6e-b1da-6ba5995e69fd" xmlns:ns3="103fba77-31dd-4780-83f9-c54f26c3a260" targetNamespace="http://schemas.microsoft.com/office/2006/metadata/properties" ma:root="true" ma:fieldsID="18f129e198fdc70392cb2045533f5cc8" ns2:_="" ns3:_="">
    <xsd:import namespace="13af0b2b-8185-4f6e-b1da-6ba5995e69fd"/>
    <xsd:import namespace="103fba77-31dd-4780-83f9-c54f26c3a26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af0b2b-8185-4f6e-b1da-6ba5995e69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03fba77-31dd-4780-83f9-c54f26c3a26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A5FD1E4-E801-45E3-8622-5705A3614C6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EA5C6E6-711B-4C97-AE99-376D9F7E457C}">
  <ds:schemaRefs>
    <ds:schemaRef ds:uri="http://schemas.openxmlformats.org/officeDocument/2006/bibliography"/>
  </ds:schemaRefs>
</ds:datastoreItem>
</file>

<file path=customXml/itemProps3.xml><?xml version="1.0" encoding="utf-8"?>
<ds:datastoreItem xmlns:ds="http://schemas.openxmlformats.org/officeDocument/2006/customXml" ds:itemID="{3855A6C0-087B-462D-8CAA-2D8DB42B12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af0b2b-8185-4f6e-b1da-6ba5995e69fd"/>
    <ds:schemaRef ds:uri="103fba77-31dd-4780-83f9-c54f26c3a2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0FE92D9-C373-4587-A1BF-C6A521F5EE3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Application>Document .Net v.5.5.4.14</Application>
  <Company>National Grid</Company>
  <Pages>5</Pages>
  <Words>911</Words>
  <Characters>5195</Characters>
  <CharactersWithSpaces>6094</CharactersWithSpaces>
  <Lines>43</Lin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National Grid</dc:creator>
  <cp:lastModifiedBy>Kate Lancaster</cp:lastModifiedBy>
  <dcterms:created xsi:type="dcterms:W3CDTF">2025-05-09T14:09:00Z</dcterms:created>
  <dcterms:modified xsi:type="dcterms:W3CDTF">2025-05-12T09:18:00Z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0x010100302497C3D8F507488A9CDD43D440A310</vt:lpwstr>
  </property>
</Properties>
</file>