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e64a5a7688e34206" /><Relationship Type="http://schemas.openxmlformats.org/package/2006/relationships/metadata/core-properties" Target="/docProps/core.xml" Id="Rea42d8996f3b4b1d" /><Relationship Type="http://schemas.openxmlformats.org/officeDocument/2006/relationships/extended-properties" Target="/docProps/app.xml" Id="Rf0dfb3735494466a" /><Relationship Type="http://schemas.openxmlformats.org/officeDocument/2006/relationships/custom-properties" Target="/docProps/custom.xml" Id="Rd95c545b44e044d8"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Detailed Design</w:t>
      </w:r>
      <w:r>
        <w:rPr>
          <w:rFonts w:ascii="Calibri" w:hAnsi="Calibri" w:cs="Calibri"/>
        </w:rPr>
        <w:t xml:space="preserve">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3321.1 – LO -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 xml:space="preserve">Detailed Design for </w:t>
            </w:r>
            <w:r>
              <w:rPr>
                <w:rFonts w:ascii="Calibri" w:hAnsi="Calibri" w:cs="Calibri"/>
              </w:rPr>
              <w:t>XRN5784 - Modification 0862 Amendments to the current Unidentified Gas Reconciliation Period arrangements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4-11-18T00:00:00Z">
                <w:dateFormat w:val="dd/MM/yyyy"/>
                <w:lid w:val="en-GB"/>
                <w:storeMappedDataAs w:val="dateTime"/>
                <w:calendar w:val="gregorian"/>
              </w:date>
            </w:sdtPr>
            <w:sdtContent>
              <w:p>
                <w:pPr/>
                <w:r>
                  <w:rPr>
                    <w:rFonts w:ascii="Calibri" w:hAnsi="Calibri" w:cs="Calibri"/>
                  </w:rPr>
                  <w:t>18/11/2024</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4-12-02T00:00:00Z">
                <w:dateFormat w:val="dd/MM/yyyy"/>
                <w:lid w:val="en-GB"/>
                <w:storeMappedDataAs w:val="dateTime"/>
                <w:calendar w:val="gregorian"/>
              </w:date>
            </w:sdtPr>
            <w:sdtContent>
              <w:p>
                <w:pPr/>
                <w:r>
                  <w:rPr>
                    <w:rFonts w:ascii="Calibri" w:hAnsi="Calibri" w:cs="Calibri"/>
                  </w:rPr>
                  <w:t>02/12/2024</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dxa" w:w="10494"/>
        <w:tblLook w:firstColumn="1" w:firstRow="1" w:lastColumn="0" w:lastRow="0" w:noHBand="0" w:noVBand="1"/>
      </w:tblPr>
      <w:tblGrid>
        <w:gridCol w:w="2565"/>
        <w:gridCol w:w="7929"/>
      </w:tblGrid>
      <w:tr>
        <w:trPr>
          <w:trHeight w:hRule="atLeast" w:val="403"/>
        </w:trPr>
        <w:tc>
          <w:tcPr>
            <w:shd w:val="clear" w:fill="B3EDFB"/>
            <w:tcW w:type="dxa" w:w="2565"/>
            <w:vAlign w:val="center"/>
          </w:tcPr>
          <w:p>
            <w:pPr>
              <w:rPr>
                <w:rFonts w:ascii="Calibri" w:hAnsi="Calibri" w:cs="Calibri"/>
              </w:rPr>
              <w:jc w:val="right"/>
            </w:pPr>
            <w:r>
              <w:rPr>
                <w:rFonts w:ascii="Calibri" w:hAnsi="Calibri" w:cs="Calibri"/>
              </w:rPr>
              <w:t xml:space="preserve">Xoserve Reference Number: </w:t>
            </w:r>
          </w:p>
        </w:tc>
        <w:tc>
          <w:tcPr>
            <w:tcW w:type="dxa" w:w="7929"/>
            <w:vAlign w:val="center"/>
          </w:tcPr>
          <w:p>
            <w:pPr>
              <w:rPr>
                <w:rFonts w:ascii="Calibri" w:hAnsi="Calibri" w:cs="Calibri"/>
              </w:rPr>
            </w:pPr>
            <w:r>
              <w:rPr>
                <w:rFonts w:ascii="Calibri" w:hAnsi="Calibri" w:cs="Calibri"/>
              </w:rPr>
              <w:t>XRN5784</w:t>
            </w:r>
          </w:p>
        </w:tc>
      </w:tr>
      <w:tr>
        <w:trPr>
          <w:trHeight w:hRule="atLeast" w:val="403"/>
        </w:trPr>
        <w:tc>
          <w:tcPr>
            <w:shd w:val="clear" w:fill="B3EDFB"/>
            <w:tcW w:type="dxa" w:w="2565"/>
            <w:vAlign w:val="center"/>
          </w:tcPr>
          <w:p>
            <w:pPr>
              <w:rPr>
                <w:rFonts w:ascii="Calibri" w:hAnsi="Calibri" w:cs="Calibri"/>
              </w:rPr>
              <w:jc w:val="right"/>
            </w:pPr>
            <w:r>
              <w:rPr>
                <w:rFonts w:ascii="Calibri" w:hAnsi="Calibri" w:cs="Calibri"/>
              </w:rPr>
              <w:t>Change Class:</w:t>
            </w:r>
          </w:p>
        </w:tc>
        <w:tc>
          <w:tcPr>
            <w:tcW w:type="dxa" w:w="7929"/>
            <w:vAlign w:val="center"/>
          </w:tcPr>
          <w:p>
            <w:pPr>
              <w:rPr>
                <w:rFonts w:ascii="Calibri" w:hAnsi="Calibri" w:cs="Calibri"/>
              </w:rPr>
            </w:pPr>
            <w:r>
              <w:rPr>
                <w:rFonts w:ascii="Calibri" w:hAnsi="Calibri" w:cs="Calibri"/>
              </w:rPr>
              <w:t>Functional</w:t>
            </w:r>
            <w:r>
              <w:rPr>
                <w:rFonts w:ascii="Calibri" w:hAnsi="Calibri" w:cs="Calibri"/>
              </w:rPr>
              <w:t xml:space="preserve"> Change</w:t>
            </w:r>
          </w:p>
        </w:tc>
      </w:tr>
      <w:tr>
        <w:trPr>
          <w:trHeight w:hRule="atLeast" w:val="403"/>
        </w:trPr>
        <w:tc>
          <w:tcPr>
            <w:shd w:val="clear" w:fill="B3EDFB"/>
            <w:tcW w:type="dxa" w:w="2565"/>
            <w:vAlign w:val="center"/>
          </w:tcPr>
          <w:p>
            <w:pPr>
              <w:rPr>
                <w:rFonts w:ascii="Calibri" w:hAnsi="Calibri" w:cs="Calibri"/>
              </w:rPr>
              <w:jc w:val="right"/>
            </w:pPr>
            <w:r>
              <w:rPr>
                <w:rFonts w:ascii="Calibri" w:hAnsi="Calibri" w:cs="Calibri"/>
              </w:rPr>
              <w:t>*</w:t>
            </w:r>
            <w:r>
              <w:rPr>
                <w:rFonts w:ascii="Calibri" w:hAnsi="Calibri" w:cs="Calibri"/>
              </w:rPr>
              <w:t>ChMC Constituency Impacted:</w:t>
            </w:r>
          </w:p>
        </w:tc>
        <w:tc>
          <w:tcPr>
            <w:tcW w:type="dxa" w:w="7929"/>
            <w:vAlign w:val="center"/>
          </w:tcPr>
          <w:p>
            <w:pPr>
              <w:rPr>
                <w:rFonts w:ascii="Calibri" w:hAnsi="Calibri" w:cs="Calibri"/>
              </w:rPr>
            </w:pPr>
            <w:r>
              <w:rPr>
                <w:rFonts w:ascii="Calibri" w:hAnsi="Calibri" w:cs="Calibri"/>
              </w:rPr>
              <w:t xml:space="preserve">Shippers </w:t>
            </w:r>
            <w:r>
              <w:rPr>
                <w:rFonts w:ascii="Calibri" w:hAnsi="Calibri" w:cs="Calibri"/>
              </w:rPr>
              <w:t>(</w:t>
            </w:r>
            <w:r>
              <w:rPr>
                <w:rFonts w:ascii="Calibri" w:hAnsi="Calibri" w:cs="Calibri"/>
              </w:rPr>
              <w:t>All</w:t>
            </w:r>
            <w:r>
              <w:rPr>
                <w:rFonts w:ascii="Calibri" w:hAnsi="Calibri" w:cs="Calibri"/>
              </w:rPr>
              <w:t xml:space="preserve"> Classes</w:t>
            </w:r>
            <w:r>
              <w:rPr>
                <w:rFonts w:ascii="Calibri" w:hAnsi="Calibri" w:cs="Calibri"/>
              </w:rPr>
              <w:t>)</w:t>
            </w:r>
          </w:p>
          <w:p>
            <w:pPr>
              <w:rPr>
                <w:rFonts w:ascii="Calibri" w:hAnsi="Calibri" w:cs="Calibri"/>
                <w:sz w:val="16"/>
                <w:szCs w:val="16"/>
              </w:rPr>
            </w:pPr>
            <w:r>
              <w:rPr>
                <w:rFonts w:ascii="Calibri" w:hAnsi="Calibri" w:cs="Calibri"/>
                <w:sz w:val="16"/>
                <w:szCs w:val="16"/>
              </w:rPr>
              <w:t>*Assumed impacted parties of the proposed change, all parties are encouraged to review</w:t>
            </w:r>
          </w:p>
        </w:tc>
      </w:tr>
      <w:tr>
        <w:trPr>
          <w:trHeight w:hRule="atLeast" w:val="403"/>
        </w:trPr>
        <w:tc>
          <w:tcPr>
            <w:shd w:val="clear" w:fill="B3EDFB"/>
            <w:tcW w:type="dxa" w:w="2565"/>
            <w:vAlign w:val="center"/>
          </w:tcPr>
          <w:p>
            <w:pPr>
              <w:rPr>
                <w:rFonts w:ascii="Calibri" w:hAnsi="Calibri" w:cs="Calibri"/>
              </w:rPr>
              <w:jc w:val="right"/>
            </w:pPr>
            <w:r>
              <w:rPr>
                <w:rFonts w:ascii="Calibri" w:hAnsi="Calibri" w:cs="Calibri"/>
              </w:rPr>
              <w:t xml:space="preserve">Change Owner: </w:t>
            </w:r>
          </w:p>
        </w:tc>
        <w:tc>
          <w:tcPr>
            <w:tcW w:type="dxa" w:w="7929"/>
            <w:vAlign w:val="center"/>
          </w:tcPr>
          <w:p>
            <w:pPr>
              <w:rPr>
                <w:rFonts w:ascii="Calibri" w:hAnsi="Calibri" w:cs="Calibri"/>
              </w:rPr>
            </w:pPr>
            <w:hyperlink r:id="R4a7d712630794c75">
              <w:r>
                <w:rPr>
                  <w:rStyle w:val="cf01"/>
                  <w:color w:val="0000FF"/>
                  <w:rFonts w:ascii="Arial" w:hAnsi="Arial" w:cs="Arial"/>
                  <w:sz w:val="20"/>
                  <w:szCs w:val="20"/>
                  <w:u w:val="single"/>
                </w:rPr>
                <w:t>uklinkdelivery@xoserve.com</w:t>
              </w:r>
            </w:hyperlink>
          </w:p>
        </w:tc>
      </w:tr>
      <w:tr>
        <w:trPr>
          <w:trHeight w:hRule="atLeast" w:val="403"/>
        </w:trPr>
        <w:tc>
          <w:tcPr>
            <w:shd w:val="clear" w:fill="B3EDFB"/>
            <w:tcW w:type="dxa" w:w="2565"/>
            <w:vAlign w:val="center"/>
          </w:tcPr>
          <w:p>
            <w:pPr>
              <w:rPr>
                <w:rFonts w:ascii="Calibri" w:hAnsi="Calibri" w:cs="Calibri"/>
              </w:rPr>
              <w:jc w:val="right"/>
            </w:pPr>
            <w:r>
              <w:rPr>
                <w:rFonts w:ascii="Calibri" w:hAnsi="Calibri" w:cs="Calibri"/>
              </w:rPr>
              <w:t>Background and Context:</w:t>
            </w:r>
          </w:p>
        </w:tc>
        <w:tc>
          <w:tcPr>
            <w:tcW w:type="dxa" w:w="7929"/>
            <w:vAlign w:val="center"/>
          </w:tcPr>
          <w:p>
            <w:pPr>
              <w:rPr>
                <w:rFonts w:ascii="Calibri" w:hAnsi="Calibri" w:cs="Calibri"/>
              </w:rPr>
            </w:pPr>
          </w:p>
          <w:p>
            <w:pPr>
              <w:rPr>
                <w:rFonts w:ascii="Calibri" w:hAnsi="Calibri" w:cs="Calibri"/>
              </w:rPr>
            </w:pPr>
            <w:r>
              <w:rPr>
                <w:rFonts w:ascii="Calibri" w:hAnsi="Calibri" w:cs="Calibri"/>
              </w:rPr>
              <w:t xml:space="preserve">Modification </w:t>
            </w:r>
            <w:r>
              <w:rPr>
                <w:rFonts w:ascii="Calibri" w:hAnsi="Calibri" w:cs="Calibri"/>
              </w:rPr>
              <w:t xml:space="preserve">0862 </w:t>
            </w:r>
            <w:r>
              <w:rPr>
                <w:rFonts w:ascii="Calibri" w:hAnsi="Calibri" w:cs="Calibri"/>
              </w:rPr>
              <w:t>“</w:t>
            </w:r>
            <w:r>
              <w:rPr>
                <w:rFonts w:ascii="Calibri" w:hAnsi="Calibri" w:cs="Calibri"/>
              </w:rPr>
              <w:t>Amendments to the current Unidentified Gas Reconciliation Period arrangements</w:t>
            </w:r>
            <w:r>
              <w:rPr>
                <w:rFonts w:ascii="Calibri" w:hAnsi="Calibri" w:cs="Calibri"/>
              </w:rPr>
              <w:t>”</w:t>
            </w:r>
            <w:r>
              <w:rPr>
                <w:rFonts w:ascii="Calibri" w:hAnsi="Calibri" w:cs="Calibri"/>
              </w:rPr>
              <w:t xml:space="preserve"> </w:t>
            </w:r>
            <w:r>
              <w:rPr>
                <w:rFonts w:ascii="Calibri" w:hAnsi="Calibri" w:cs="Calibri"/>
              </w:rPr>
              <w:t>seeks</w:t>
            </w:r>
            <w:r>
              <w:rPr>
                <w:rFonts w:ascii="Calibri" w:hAnsi="Calibri" w:cs="Calibri"/>
              </w:rPr>
              <w:t xml:space="preserve"> </w:t>
            </w:r>
            <w:r>
              <w:rPr>
                <w:rFonts w:ascii="Calibri" w:hAnsi="Calibri" w:cs="Calibri"/>
              </w:rPr>
              <w:t>to amend the Unidentified Gas (UIG) Smear period from 12 months to the whole month(s) in which the energy was taken.</w:t>
            </w:r>
            <w:r>
              <w:rPr>
                <w:rFonts w:ascii="Calibri" w:hAnsi="Calibri" w:cs="Calibri"/>
              </w:rPr>
              <w:t xml:space="preserve"> </w:t>
            </w:r>
            <w:r>
              <w:rPr>
                <w:rFonts w:ascii="Calibri" w:hAnsi="Calibri" w:cs="Calibri"/>
              </w:rPr>
              <w:t>Due to increased numbers of meter points being read monthly, a 12-month smear is less accurate than it has been historically.</w:t>
            </w:r>
          </w:p>
          <w:p>
            <w:pPr>
              <w:rPr>
                <w:rFonts w:ascii="Calibri" w:hAnsi="Calibri" w:cs="Calibri"/>
              </w:rPr>
            </w:pPr>
            <w:r>
              <w:rPr>
                <w:rFonts w:ascii="Calibri" w:hAnsi="Calibri" w:cs="Calibri"/>
              </w:rPr>
              <w:t>A</w:t>
            </w:r>
            <w:r>
              <w:rPr>
                <w:rFonts w:ascii="Calibri" w:hAnsi="Calibri" w:cs="Calibri"/>
              </w:rPr>
              <w:t>t</w:t>
            </w:r>
            <w:r>
              <w:rPr>
                <w:rFonts w:ascii="Calibri" w:hAnsi="Calibri" w:cs="Calibri"/>
              </w:rPr>
              <w:t xml:space="preserve"> the point of writing, the modification is currently under review by Ofgem. </w:t>
            </w:r>
            <w:r>
              <w:rPr>
                <w:rFonts w:ascii="Calibri" w:hAnsi="Calibri" w:cs="Calibri"/>
              </w:rPr>
              <w:t xml:space="preserve">More information on the modification can be found </w:t>
            </w:r>
            <w:hyperlink r:id="Re3f561ec9b544a04">
              <w:r>
                <w:rPr>
                  <w:rStyle w:val="Hyperlink"/>
                  <w:rFonts w:ascii="Calibri" w:hAnsi="Calibri" w:cs="Calibri"/>
                </w:rPr>
                <w:t>here</w:t>
              </w:r>
            </w:hyperlink>
            <w:r>
              <w:rPr>
                <w:rFonts w:ascii="Calibri" w:hAnsi="Calibri" w:cs="Calibri"/>
              </w:rPr>
              <w:t>.</w:t>
            </w:r>
            <w:r>
              <w:rPr>
                <w:rFonts w:ascii="Calibri" w:hAnsi="Calibri" w:cs="Calibri"/>
              </w:rPr>
              <w:br w:type="textWrapping"/>
            </w:r>
          </w:p>
          <w:p>
            <w:pPr>
              <w:rPr>
                <w:rFonts w:ascii="Calibri" w:hAnsi="Calibri" w:cs="Calibri"/>
              </w:rPr>
            </w:pPr>
            <w:r>
              <w:rPr>
                <w:rFonts w:ascii="Calibri" w:hAnsi="Calibri" w:cs="Calibri"/>
              </w:rPr>
              <w:t>There was a single solution identified to deliver the required changes to</w:t>
            </w:r>
            <w:r>
              <w:rPr>
                <w:rFonts w:ascii="Calibri" w:hAnsi="Calibri" w:cs="Calibri"/>
              </w:rPr>
              <w:t xml:space="preserve"> the</w:t>
            </w:r>
            <w:r>
              <w:rPr>
                <w:rFonts w:ascii="Calibri" w:hAnsi="Calibri" w:cs="Calibri"/>
              </w:rPr>
              <w:t xml:space="preserve"> </w:t>
            </w:r>
            <w:r>
              <w:rPr>
                <w:rFonts w:ascii="Calibri" w:hAnsi="Calibri" w:cs="Calibri"/>
              </w:rPr>
              <w:t>Central Data Service Provider (</w:t>
            </w:r>
            <w:r>
              <w:rPr>
                <w:rFonts w:ascii="Calibri" w:hAnsi="Calibri" w:cs="Calibri"/>
              </w:rPr>
              <w:t>CDSP</w:t>
            </w:r>
            <w:r>
              <w:rPr>
                <w:rFonts w:ascii="Calibri" w:hAnsi="Calibri" w:cs="Calibri"/>
              </w:rPr>
              <w:t>)</w:t>
            </w:r>
            <w:r>
              <w:rPr>
                <w:rFonts w:ascii="Calibri" w:hAnsi="Calibri" w:cs="Calibri"/>
              </w:rPr>
              <w:t xml:space="preserve"> system and processes</w:t>
            </w:r>
            <w:r>
              <w:rPr>
                <w:rFonts w:ascii="Calibri" w:hAnsi="Calibri" w:cs="Calibri"/>
              </w:rPr>
              <w:t xml:space="preserve"> as a result of the modification</w:t>
            </w:r>
            <w:r>
              <w:rPr>
                <w:rFonts w:ascii="Calibri" w:hAnsi="Calibri" w:cs="Calibri"/>
              </w:rPr>
              <w:t xml:space="preserve"> and, as such</w:t>
            </w:r>
            <w:r>
              <w:rPr>
                <w:rFonts w:ascii="Calibri" w:hAnsi="Calibri" w:cs="Calibri"/>
              </w:rPr>
              <w:t>, the solution and detail design are being presented together in this Change Pack</w:t>
            </w:r>
            <w:r>
              <w:rPr>
                <w:rFonts w:ascii="Calibri" w:hAnsi="Calibri" w:cs="Calibri"/>
              </w:rPr>
              <w:t>.</w:t>
            </w:r>
            <w:r>
              <w:rPr>
                <w:rFonts w:ascii="Calibri" w:hAnsi="Calibri" w:cs="Calibri"/>
              </w:rPr>
              <w:t xml:space="preserve"> </w:t>
            </w:r>
            <w:r>
              <w:rPr>
                <w:rFonts w:ascii="Calibri" w:hAnsi="Calibri" w:cs="Calibri"/>
              </w:rPr>
              <w:t xml:space="preserve">More information on this change can be found </w:t>
            </w:r>
            <w:hyperlink r:id="R178927d0ef0a48db">
              <w:r>
                <w:rPr>
                  <w:rStyle w:val="Hyperlink"/>
                  <w:rFonts w:ascii="Calibri" w:hAnsi="Calibri" w:cs="Calibri"/>
                </w:rPr>
                <w:t>here</w:t>
              </w:r>
            </w:hyperlink>
            <w:r>
              <w:rPr>
                <w:rStyle w:val="Hyperlink"/>
                <w:rFonts w:ascii="Calibri" w:hAnsi="Calibri" w:cs="Calibri"/>
              </w:rPr>
              <w:t>.</w:t>
            </w:r>
          </w:p>
          <w:p>
            <w:pPr>
              <w:rPr>
                <w:rFonts w:ascii="Calibri" w:hAnsi="Calibri" w:cs="Calibri"/>
              </w:rPr>
            </w:pPr>
          </w:p>
          <w:p>
            <w:pPr>
              <w:rPr>
                <w:rFonts w:ascii="Calibri" w:hAnsi="Calibri" w:cs="Calibri"/>
              </w:rPr>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shd w:val="clear" w:fill="FFFFFF"/>
            <w:tcW w:type="pct" w:w="3777"/>
            <w:vAlign w:val="center"/>
          </w:tcPr>
          <w:p>
            <w:pPr>
              <w:rPr>
                <w:rFonts w:ascii="Calibri" w:hAnsi="Calibri" w:cs="Calibri"/>
              </w:rPr>
            </w:pPr>
            <w:r>
              <w:rPr>
                <w:rFonts w:ascii="Calibri" w:hAnsi="Calibri" w:cs="Calibri"/>
              </w:rPr>
              <w:t>UIG Reconciliation</w:t>
            </w:r>
            <w:r>
              <w:rPr>
                <w:rFonts w:ascii="Calibri" w:hAnsi="Calibri" w:cs="Calibri"/>
              </w:rPr>
              <w:t xml:space="preserve"> </w:t>
            </w:r>
            <w:r>
              <w:rPr>
                <w:rFonts w:ascii="Calibri" w:hAnsi="Calibri" w:cs="Calibri"/>
              </w:rPr>
              <w:t>&amp; Invoicing</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Fonts w:ascii="Calibri" w:hAnsi="Calibri" w:cs="Calibri"/>
              </w:rPr>
              <w:t xml:space="preserve">Volume – ASP </w:t>
            </w:r>
            <w:r>
              <w:rPr>
                <w:rFonts w:ascii="Calibri" w:hAnsi="Calibri" w:cs="Calibri"/>
              </w:rPr>
              <w:t>K91</w:t>
            </w:r>
            <w:r>
              <w:rPr>
                <w:rFonts w:ascii="Calibri" w:hAnsi="Calibri" w:cs="Calibri"/>
              </w:rPr>
              <w:t xml:space="preserve"> potential</w:t>
            </w:r>
            <w:r>
              <w:rPr>
                <w:rFonts w:ascii="Calibri" w:hAnsi="Calibri" w:cs="Calibri"/>
              </w:rPr>
              <w:t xml:space="preserve"> record </w:t>
            </w:r>
            <w:r>
              <w:rPr>
                <w:rFonts w:ascii="Calibri" w:hAnsi="Calibri" w:cs="Calibri"/>
              </w:rPr>
              <w:t>occurrence increase, within occurrence limit</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rPr>
            </w:pPr>
            <w:r>
              <w:rPr>
                <w:rFonts w:ascii="Calibri" w:hAnsi="Calibri" w:cs="Calibri"/>
              </w:rPr>
              <w:t>UK Link</w:t>
            </w:r>
            <w:r>
              <w:rPr>
                <w:rFonts w:ascii="Calibri" w:hAnsi="Calibri" w:cs="Calibri"/>
              </w:rPr>
              <w:t xml:space="preserve"> </w:t>
            </w:r>
            <w:r>
              <w:rPr>
                <w:rFonts w:ascii="Calibri" w:hAnsi="Calibri" w:cs="Calibri"/>
              </w:rPr>
              <w:t>(</w:t>
            </w:r>
            <w:r>
              <w:rPr>
                <w:rFonts w:ascii="Calibri" w:hAnsi="Calibri" w:cs="Calibri"/>
              </w:rPr>
              <w:t>SAP ISU</w:t>
            </w:r>
            <w:r>
              <w:rPr>
                <w:rFonts w:ascii="Calibri" w:hAnsi="Calibri" w:cs="Calibri"/>
              </w:rPr>
              <w:t>)</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w:t>
            </w:r>
            <w:r>
              <w:rPr>
                <w:rFonts w:ascii="Calibri" w:hAnsi="Calibri" w:cs="Calibri"/>
              </w:rPr>
              <w:t>(s)</w:t>
            </w:r>
            <w:r>
              <w:rPr>
                <w:rFonts w:ascii="Calibri" w:hAnsi="Calibri" w:cs="Calibri"/>
              </w:rPr>
              <w:t>:</w:t>
            </w:r>
          </w:p>
        </w:tc>
        <w:tc>
          <w:tcPr>
            <w:shd w:val="clear" w:fill="FFFFFF"/>
            <w:tcW w:type="pct" w:w="3777"/>
            <w:vAlign w:val="center"/>
          </w:tcPr>
          <w:p>
            <w:pPr>
              <w:rPr>
                <w:rFonts w:ascii="Calibri" w:hAnsi="Calibri" w:cs="Calibri"/>
              </w:rPr>
            </w:pPr>
            <w:r>
              <w:rPr>
                <w:rFonts w:ascii="Calibri" w:hAnsi="Calibri" w:cs="Calibri"/>
              </w:rPr>
              <w:t>Shippers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8"/>
        <w:gridCol w:w="2569"/>
        <w:gridCol w:w="2472"/>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N/A</w:t>
            </w:r>
          </w:p>
        </w:tc>
        <w:tc>
          <w:tcPr>
            <w:shd w:val="clear" w:fill="FFFFFF"/>
            <w:tcW w:type="pct" w:w="1068"/>
            <w:vAlign w:val="center"/>
          </w:tcPr>
          <w:p>
            <w:pPr>
              <w:rPr>
                <w:rFonts w:ascii="Calibri" w:hAnsi="Calibri" w:cs="Calibri"/>
              </w:rPr>
              <w:jc w:val="center"/>
            </w:pPr>
            <w:r>
              <w:rPr>
                <w:rFonts w:ascii="Calibri" w:hAnsi="Calibri" w:cs="Calibri"/>
              </w:rPr>
              <w:t>N/A</w:t>
            </w:r>
          </w:p>
        </w:tc>
        <w:tc>
          <w:tcPr>
            <w:shd w:val="clear" w:fill="FFFFFF"/>
            <w:tcW w:type="pct" w:w="994"/>
            <w:vAlign w:val="center"/>
          </w:tcPr>
          <w:p>
            <w:pPr>
              <w:rPr>
                <w:rFonts w:ascii="Calibri" w:hAnsi="Calibri" w:cs="Calibri"/>
              </w:rPr>
              <w:jc w:val="center"/>
            </w:pPr>
            <w:r>
              <w:rPr>
                <w:rFonts w:ascii="Calibri" w:hAnsi="Calibri" w:cs="Calibri"/>
              </w:rPr>
              <w:t>N/A</w:t>
            </w:r>
          </w:p>
        </w:tc>
        <w:tc>
          <w:tcPr>
            <w:shd w:val="clear" w:fill="FFFFFF"/>
            <w:tcW w:type="pct" w:w="1224"/>
            <w:vAlign w:val="center"/>
          </w:tcPr>
          <w:p>
            <w:pPr>
              <w:rPr>
                <w:rFonts w:ascii="Calibri" w:hAnsi="Calibri" w:cs="Calibri"/>
              </w:rPr>
              <w:jc w:val="center"/>
            </w:pPr>
            <w:r>
              <w:rPr>
                <w:rFonts w:ascii="Calibri" w:hAnsi="Calibri" w:cs="Calibri"/>
              </w:rPr>
              <w:t>N/A</w:t>
            </w:r>
          </w:p>
        </w:tc>
        <w:tc>
          <w:tcPr>
            <w:shd w:val="clear" w:fill="FFFFFF"/>
            <w:tcW w:type="pct" w:w="1177"/>
            <w:vAlign w:val="center"/>
          </w:tcPr>
          <w:p>
            <w:pPr>
              <w:rPr>
                <w:rFonts w:ascii="Calibri" w:hAnsi="Calibri" w:cs="Calibri"/>
              </w:rPr>
              <w:jc w:val="center"/>
            </w:pPr>
            <w:r>
              <w:rPr>
                <w:rFonts w:ascii="Calibri" w:hAnsi="Calibri" w:cs="Calibri"/>
              </w:rPr>
              <w:t>N/A</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2897"/>
        </w:trPr>
        <w:tc>
          <w:tcPr>
            <w:tcW w:type="pct" w:w="5000"/>
            <w:vAlign w:val="center"/>
          </w:tcPr>
          <w:p>
            <w:pPr>
              <w:rPr>
                <w:rFonts w:ascii="Calibri" w:hAnsi="Calibri" w:cs="Calibri"/>
              </w:rPr>
            </w:pPr>
            <w:r>
              <w:rPr>
                <w:rFonts w:ascii="Calibri" w:hAnsi="Calibri" w:cs="Calibri"/>
              </w:rPr>
              <w:t xml:space="preserve">For the CDSP to </w:t>
            </w:r>
            <w:r>
              <w:rPr>
                <w:rFonts w:ascii="Calibri" w:hAnsi="Calibri" w:cs="Calibri"/>
              </w:rPr>
              <w:t>amend the UIG Smear period from 12 months to the whole month(s) in which the energy was taken</w:t>
            </w:r>
            <w:r>
              <w:rPr>
                <w:rFonts w:ascii="Calibri" w:hAnsi="Calibri" w:cs="Calibri"/>
              </w:rPr>
              <w:t>,</w:t>
            </w:r>
            <w:r>
              <w:rPr>
                <w:rFonts w:ascii="Calibri" w:hAnsi="Calibri" w:cs="Calibri"/>
              </w:rPr>
              <w:t xml:space="preserve"> smear periods for LDZ Offtake, Insignificant LDZ Measurement Errors and Offline Reconciliations will be aligned the same way as proposed for the UIG Reconciliation Smear. Significant LDZ Measurement Errors Reconciliation, however, </w:t>
            </w:r>
            <w:r>
              <w:rPr>
                <w:rFonts w:ascii="Calibri" w:hAnsi="Calibri" w:cs="Calibri"/>
              </w:rPr>
              <w:t xml:space="preserve">which </w:t>
            </w:r>
            <w:r>
              <w:rPr>
                <w:rFonts w:ascii="Calibri" w:hAnsi="Calibri" w:cs="Calibri"/>
              </w:rPr>
              <w:t xml:space="preserve">already follows the month(s) energy was used </w:t>
            </w:r>
            <w:r>
              <w:rPr>
                <w:rFonts w:ascii="Calibri" w:hAnsi="Calibri" w:cs="Calibri"/>
              </w:rPr>
              <w:t xml:space="preserve">as the </w:t>
            </w:r>
            <w:r>
              <w:rPr>
                <w:rFonts w:ascii="Calibri" w:hAnsi="Calibri" w:cs="Calibri"/>
              </w:rPr>
              <w:t>logic.</w:t>
            </w:r>
            <w:r>
              <w:rPr>
                <w:rFonts w:ascii="Calibri" w:hAnsi="Calibri" w:cs="Calibri"/>
              </w:rPr>
              <w:t xml:space="preserve"> These Reconciliations all feed into the UIG Smear.</w:t>
            </w:r>
          </w:p>
          <w:p>
            <w:pPr>
              <w:rPr>
                <w:rFonts w:ascii="Calibri" w:hAnsi="Calibri" w:cs="Calibri"/>
              </w:rPr>
            </w:pPr>
            <w:r>
              <w:rPr>
                <w:rFonts w:ascii="Calibri" w:hAnsi="Calibri" w:cs="Calibri"/>
              </w:rPr>
              <w:br w:type="textWrapping"/>
            </w:r>
            <w:r>
              <w:rPr>
                <w:rFonts w:ascii="Calibri" w:hAnsi="Calibri" w:cs="Calibri"/>
              </w:rPr>
              <w:t xml:space="preserve">UIG </w:t>
            </w:r>
            <w:r>
              <w:rPr>
                <w:rFonts w:ascii="Calibri" w:hAnsi="Calibri" w:cs="Calibri"/>
              </w:rPr>
              <w:t xml:space="preserve">Reconciliation </w:t>
            </w:r>
            <w:r>
              <w:rPr>
                <w:rFonts w:ascii="Calibri" w:hAnsi="Calibri" w:cs="Calibri"/>
              </w:rPr>
              <w:t xml:space="preserve">Smear </w:t>
            </w:r>
            <w:r>
              <w:rPr>
                <w:rFonts w:ascii="Calibri" w:hAnsi="Calibri" w:cs="Calibri"/>
              </w:rPr>
              <w:t>will use</w:t>
            </w:r>
            <w:r>
              <w:rPr>
                <w:rFonts w:ascii="Calibri" w:hAnsi="Calibri" w:cs="Calibri"/>
              </w:rPr>
              <w:t xml:space="preserve"> historical throughput values and AUGE weighting factors relevant to the UIG Reconciliation period. UIG will also be reconciled back to L</w:t>
            </w:r>
            <w:r>
              <w:rPr>
                <w:rFonts w:ascii="Calibri" w:hAnsi="Calibri" w:cs="Calibri"/>
              </w:rPr>
              <w:t>IS</w:t>
            </w:r>
            <w:r>
              <w:rPr>
                <w:rFonts w:ascii="Calibri" w:hAnsi="Calibri" w:cs="Calibri"/>
              </w:rPr>
              <w:t xml:space="preserve"> and </w:t>
            </w:r>
            <w:r>
              <w:rPr>
                <w:rFonts w:ascii="Calibri" w:hAnsi="Calibri" w:cs="Calibri"/>
              </w:rPr>
              <w:t xml:space="preserve">Unidentified Gas Reconciliation </w:t>
            </w:r>
            <w:r>
              <w:rPr>
                <w:rFonts w:ascii="Calibri" w:hAnsi="Calibri" w:cs="Calibri"/>
              </w:rPr>
              <w:t xml:space="preserve">(UGR) </w:t>
            </w:r>
            <w:r>
              <w:rPr>
                <w:rFonts w:ascii="Calibri" w:hAnsi="Calibri" w:cs="Calibri"/>
              </w:rPr>
              <w:t xml:space="preserve">Charges </w:t>
            </w:r>
            <w:r>
              <w:rPr>
                <w:rFonts w:ascii="Calibri" w:hAnsi="Calibri" w:cs="Calibri"/>
              </w:rPr>
              <w:t xml:space="preserve">will be </w:t>
            </w:r>
            <w:r>
              <w:rPr>
                <w:rFonts w:ascii="Calibri" w:hAnsi="Calibri" w:cs="Calibri"/>
              </w:rPr>
              <w:t>aggregated the same as today (Shipper, LDZ, EUC, Class type and Billing Period level) which are issued within the Amendment Invoice (</w:t>
            </w:r>
            <w:r>
              <w:rPr>
                <w:rFonts w:ascii="Calibri" w:hAnsi="Calibri" w:cs="Calibri"/>
              </w:rPr>
              <w:t>.</w:t>
            </w:r>
            <w:r>
              <w:rPr>
                <w:rFonts w:ascii="Calibri" w:hAnsi="Calibri" w:cs="Calibri"/>
              </w:rPr>
              <w:t>ASP file)</w:t>
            </w:r>
            <w:r>
              <w:rPr>
                <w:rFonts w:ascii="Calibri" w:hAnsi="Calibri" w:cs="Calibri"/>
              </w:rPr>
              <w:t xml:space="preserve"> and supporting information</w:t>
            </w:r>
            <w:r>
              <w:rPr>
                <w:rFonts w:ascii="Calibri" w:hAnsi="Calibri" w:cs="Calibri"/>
              </w:rPr>
              <w:t>.</w:t>
            </w:r>
            <w:r>
              <w:rPr>
                <w:rFonts w:ascii="Calibri" w:hAnsi="Calibri" w:cs="Calibri"/>
              </w:rPr>
              <w:t xml:space="preserve"> </w:t>
            </w:r>
            <w:r>
              <w:rPr>
                <w:rFonts w:ascii="Calibri" w:hAnsi="Calibri" w:cs="Calibri"/>
              </w:rPr>
              <w:t>These charges appear in the K91 record in the .ASP file and require no</w:t>
            </w:r>
            <w:r>
              <w:rPr>
                <w:rFonts w:ascii="Calibri" w:hAnsi="Calibri" w:cs="Calibri"/>
              </w:rPr>
              <w:t xml:space="preserve"> changes to the file format or allowable occurrence value</w:t>
            </w:r>
            <w:r>
              <w:rPr>
                <w:rFonts w:ascii="Calibri" w:hAnsi="Calibri" w:cs="Calibri"/>
              </w:rPr>
              <w:t>.</w:t>
            </w:r>
          </w:p>
          <w:p>
            <w:pPr>
              <w:rPr>
                <w:rFonts w:ascii="Calibri" w:hAnsi="Calibri" w:cs="Calibri"/>
              </w:rPr>
              <w:pStyle w:val="heading 3"/>
            </w:pPr>
            <w:r>
              <w:rPr>
                <w:rFonts w:ascii="Calibri" w:hAnsi="Calibri" w:cs="Calibri"/>
              </w:rPr>
              <w:t>To Be Process Model</w:t>
            </w:r>
          </w:p>
          <w:p>
            <w:pPr/>
            <w:r>
              <mc:AlternateContent>
                <mc:Choice Requires="wps">
                  <w:drawing>
                    <wp:inline>
                      <wp:extent cx="6526530" cy="2838450"/>
                      <wp:docPr id="1" name="drawingObject1"/>
                      <wp:cNvGraphicFramePr/>
                      <a:graphic>
                        <a:graphicData uri="http://schemas.openxmlformats.org/drawingml/2006/picture">
                          <pic:pic>
                            <pic:nvPicPr>
                              <pic:cNvPr id="2" name="Picture 2"/>
                              <pic:cNvPicPr/>
                            </pic:nvPicPr>
                            <pic:blipFill>
                              <a:blip r:embed="R14e17f2583274179"/>
                              <a:stretch/>
                            </pic:blipFill>
                            <pic:spPr>
                              <a:xfrm rot="0">
                                <a:ext cx="6526530" cy="2838450"/>
                              </a:xfrm>
                              <a:prstGeom prst="rect">
                                <a:avLst/>
                              </a:prstGeom>
                              <a:noFill/>
                            </pic:spPr>
                          </pic:pic>
                        </a:graphicData>
                      </a:graphic>
                    </wp:inline>
                  </w:drawing>
                </mc:Choice>
                <mc:Fallback/>
              </mc:AlternateContent>
            </w:r>
          </w:p>
          <w:p>
            <w:pPr>
              <w:rPr>
                <w:rFonts w:ascii="Calibri" w:hAnsi="Calibri" w:cs="Calibri"/>
              </w:rPr>
              <w:pStyle w:val="caption"/>
            </w:pPr>
            <w:r>
              <w:rPr>
                <w:rFonts w:ascii="Calibri" w:hAnsi="Calibri" w:cs="Calibri"/>
              </w:rPr>
              <w:t xml:space="preserve">Figure </w:t>
            </w:r>
            <w:r>
              <w:rPr>
                <w:rFonts w:ascii="Calibri" w:hAnsi="Calibri" w:cs="Calibri"/>
              </w:rPr>
              <w:fldChar w:fldCharType="begin"/>
            </w:r>
            <w:r>
              <w:rPr>
                <w:rFonts w:ascii="Calibri" w:hAnsi="Calibri" w:cs="Calibri"/>
              </w:rPr>
              <w:instrText xml:space="preserve"> SEQ  Figure \* ARABIC</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 The To Be Process Model for the UIG Smear Period Amendments. Steps 1.03 &amp; 1.04 are the areas which have been amended</w:t>
            </w:r>
            <w:r>
              <w:rPr>
                <w:rFonts w:ascii="Calibri" w:hAnsi="Calibri" w:cs="Calibri"/>
              </w:rPr>
              <w:t xml:space="preserve"> for this change.</w:t>
            </w:r>
          </w:p>
          <w:p>
            <w:pPr>
              <w:rPr>
                <w:rFonts w:ascii="Calibri" w:hAnsi="Calibri" w:cs="Calibri"/>
              </w:rPr>
            </w:pPr>
          </w:p>
          <w:p>
            <w:pPr>
              <w:rPr>
                <w:rFonts w:ascii="Calibri" w:hAnsi="Calibri" w:cs="Calibri"/>
              </w:rPr>
              <w:numPr>
                <w:ilvl w:val="0"/>
                <w:numId w:val="1"/>
              </w:numPr>
              <w:pStyle w:val="List Paragraph"/>
            </w:pPr>
            <w:r>
              <w:rPr>
                <w:rFonts w:ascii="Calibri" w:hAnsi="Calibri" w:cs="Calibri"/>
              </w:rPr>
              <w:t xml:space="preserve">The UIG Smearing is triggered monthly after </w:t>
            </w:r>
            <w:r>
              <w:rPr>
                <w:rFonts w:ascii="Calibri" w:hAnsi="Calibri" w:cs="Calibri"/>
              </w:rPr>
              <w:t xml:space="preserve">the tenth calendar day, </w:t>
            </w:r>
            <w:r>
              <w:rPr>
                <w:rFonts w:ascii="Calibri" w:hAnsi="Calibri" w:cs="Calibri"/>
              </w:rPr>
              <w:t>post A</w:t>
            </w:r>
            <w:r>
              <w:rPr>
                <w:rFonts w:ascii="Calibri" w:hAnsi="Calibri" w:cs="Calibri"/>
              </w:rPr>
              <w:t>mendment</w:t>
            </w:r>
            <w:r>
              <w:rPr>
                <w:rFonts w:ascii="Calibri" w:hAnsi="Calibri" w:cs="Calibri"/>
              </w:rPr>
              <w:t xml:space="preserve"> invoice cut-off date.</w:t>
            </w:r>
            <w:r>
              <w:rPr>
                <w:rFonts w:ascii="Calibri" w:hAnsi="Calibri" w:cs="Calibri"/>
              </w:rPr>
              <w:t xml:space="preserve"> </w:t>
            </w:r>
          </w:p>
          <w:p>
            <w:pPr>
              <w:rPr>
                <w:rFonts w:ascii="Calibri" w:hAnsi="Calibri" w:cs="Calibri"/>
              </w:rPr>
              <w:numPr>
                <w:ilvl w:val="0"/>
                <w:numId w:val="1"/>
              </w:numPr>
              <w:pStyle w:val="List Paragraph"/>
            </w:pPr>
            <w:r>
              <w:rPr>
                <w:rFonts w:ascii="Calibri" w:hAnsi="Calibri" w:cs="Calibri"/>
              </w:rPr>
              <w:t>As part of the Smear process</w:t>
            </w:r>
            <w:r>
              <w:rPr>
                <w:rFonts w:ascii="Calibri" w:hAnsi="Calibri" w:cs="Calibri"/>
              </w:rPr>
              <w:t xml:space="preserve"> applicable </w:t>
            </w:r>
            <w:r>
              <w:rPr>
                <w:rFonts w:ascii="Calibri" w:hAnsi="Calibri" w:cs="Calibri"/>
              </w:rPr>
              <w:t xml:space="preserve">Reconciliations </w:t>
            </w:r>
            <w:r>
              <w:rPr>
                <w:rFonts w:ascii="Calibri" w:hAnsi="Calibri" w:cs="Calibri"/>
              </w:rPr>
              <w:t xml:space="preserve">(1.01) for the billing month and updates the </w:t>
            </w:r>
            <w:r>
              <w:rPr>
                <w:rFonts w:ascii="Calibri" w:hAnsi="Calibri" w:cs="Calibri"/>
              </w:rPr>
              <w:t>Throughput positions (1.02).</w:t>
            </w:r>
            <w:r>
              <w:rPr>
                <w:rFonts w:ascii="Calibri" w:hAnsi="Calibri" w:cs="Calibri"/>
              </w:rPr>
              <w:t xml:space="preserve"> </w:t>
            </w:r>
          </w:p>
          <w:p>
            <w:pPr>
              <w:rPr>
                <w:rFonts w:ascii="Calibri" w:hAnsi="Calibri" w:cs="Calibri"/>
              </w:rPr>
              <w:numPr>
                <w:ilvl w:val="0"/>
                <w:numId w:val="1"/>
              </w:numPr>
              <w:pStyle w:val="List Paragraph"/>
            </w:pPr>
            <w:r>
              <w:rPr>
                <w:rFonts w:ascii="Calibri" w:hAnsi="Calibri" w:cs="Calibri"/>
              </w:rPr>
              <w:t xml:space="preserve">Here the system </w:t>
            </w:r>
            <w:r>
              <w:rPr>
                <w:rFonts w:ascii="Calibri" w:hAnsi="Calibri" w:cs="Calibri"/>
              </w:rPr>
              <w:t xml:space="preserve">will </w:t>
            </w:r>
            <w:r>
              <w:rPr>
                <w:rFonts w:ascii="Calibri" w:hAnsi="Calibri" w:cs="Calibri"/>
              </w:rPr>
              <w:t xml:space="preserve">calculate the Smear Value based on the individual </w:t>
            </w:r>
            <w:r>
              <w:rPr>
                <w:rFonts w:ascii="Calibri" w:hAnsi="Calibri" w:cs="Calibri"/>
              </w:rPr>
              <w:t>Reconciliations, back to LIS date (1.03)</w:t>
            </w:r>
            <w:r>
              <w:rPr>
                <w:rFonts w:ascii="Calibri" w:hAnsi="Calibri" w:cs="Calibri"/>
              </w:rPr>
              <w:t xml:space="preserve"> and then apportion</w:t>
            </w:r>
            <w:r>
              <w:rPr>
                <w:rFonts w:ascii="Calibri" w:hAnsi="Calibri" w:cs="Calibri"/>
              </w:rPr>
              <w:t>s the UIG Smear across the months of the original reconciliation period</w:t>
            </w:r>
            <w:r>
              <w:rPr>
                <w:rFonts w:ascii="Calibri" w:hAnsi="Calibri" w:cs="Calibri"/>
              </w:rPr>
              <w:t xml:space="preserve"> for each UIG group, within each LDZ</w:t>
            </w:r>
            <w:r>
              <w:rPr>
                <w:rFonts w:ascii="Calibri" w:hAnsi="Calibri" w:cs="Calibri"/>
              </w:rPr>
              <w:t xml:space="preserve"> (1.04)</w:t>
            </w:r>
            <w:r>
              <w:rPr>
                <w:rFonts w:ascii="Calibri" w:hAnsi="Calibri" w:cs="Calibri"/>
              </w:rPr>
              <w:t>.</w:t>
            </w:r>
            <w:r>
              <w:rPr>
                <w:rFonts w:ascii="Calibri" w:hAnsi="Calibri" w:cs="Calibri"/>
              </w:rPr>
              <w:t xml:space="preserve"> </w:t>
            </w:r>
          </w:p>
          <w:p>
            <w:pPr>
              <w:rPr>
                <w:rFonts w:ascii="Calibri" w:hAnsi="Calibri" w:cs="Calibri"/>
              </w:rPr>
              <w:numPr>
                <w:ilvl w:val="0"/>
                <w:numId w:val="1"/>
              </w:numPr>
              <w:pStyle w:val="List Paragraph"/>
            </w:pPr>
            <w:r>
              <w:rPr>
                <w:rFonts w:ascii="Calibri" w:hAnsi="Calibri" w:cs="Calibri"/>
              </w:rPr>
              <w:t>This is where the changes are being made</w:t>
            </w:r>
            <w:r>
              <w:rPr>
                <w:rFonts w:ascii="Calibri" w:hAnsi="Calibri" w:cs="Calibri"/>
              </w:rPr>
              <w:t xml:space="preserve"> in 1.03 and 1.04</w:t>
            </w:r>
            <w:r>
              <w:rPr>
                <w:rFonts w:ascii="Calibri" w:hAnsi="Calibri" w:cs="Calibri"/>
              </w:rPr>
              <w:t>,</w:t>
            </w:r>
            <w:r>
              <w:rPr>
                <w:rFonts w:ascii="Calibri" w:hAnsi="Calibri" w:cs="Calibri"/>
              </w:rPr>
              <w:t xml:space="preserve"> from using </w:t>
            </w:r>
            <w:r>
              <w:rPr>
                <w:rFonts w:ascii="Calibri" w:hAnsi="Calibri" w:cs="Calibri"/>
              </w:rPr>
              <w:t>12-month</w:t>
            </w:r>
            <w:r>
              <w:rPr>
                <w:rFonts w:ascii="Calibri" w:hAnsi="Calibri" w:cs="Calibri"/>
              </w:rPr>
              <w:t xml:space="preserve"> smear period</w:t>
            </w:r>
            <w:r>
              <w:rPr>
                <w:rFonts w:ascii="Calibri" w:hAnsi="Calibri" w:cs="Calibri"/>
              </w:rPr>
              <w:t xml:space="preserve"> to months of the individual Reconciliations</w:t>
            </w:r>
            <w:r>
              <w:rPr>
                <w:rFonts w:ascii="Calibri" w:hAnsi="Calibri" w:cs="Calibri"/>
              </w:rPr>
              <w:t xml:space="preserve"> (month(s) when the energy was used</w:t>
            </w:r>
            <w:r>
              <w:rPr>
                <w:rFonts w:ascii="Calibri" w:hAnsi="Calibri" w:cs="Calibri"/>
              </w:rPr>
              <w:t>).</w:t>
            </w:r>
          </w:p>
          <w:p>
            <w:pPr>
              <w:rPr>
                <w:rFonts w:ascii="Calibri" w:hAnsi="Calibri" w:cs="Calibri"/>
              </w:rPr>
              <w:numPr>
                <w:ilvl w:val="0"/>
                <w:numId w:val="1"/>
              </w:numPr>
              <w:pStyle w:val="List Paragraph"/>
            </w:pPr>
            <w:r>
              <w:rPr>
                <w:rFonts w:ascii="Calibri" w:hAnsi="Calibri" w:cs="Calibri"/>
              </w:rPr>
              <w:t xml:space="preserve">This then leads to the calculation of UGR Charges </w:t>
            </w:r>
            <w:r>
              <w:rPr>
                <w:rFonts w:ascii="Calibri" w:hAnsi="Calibri" w:cs="Calibri"/>
              </w:rPr>
              <w:t>(1.05) and then Invoicing those charges to the relevant Shipper(s) (1.06)</w:t>
            </w:r>
            <w:r>
              <w:rPr>
                <w:rFonts w:ascii="Calibri" w:hAnsi="Calibri" w:cs="Calibri"/>
              </w:rPr>
              <w:t xml:space="preserve"> in the</w:t>
            </w:r>
            <w:r>
              <w:rPr>
                <w:rFonts w:ascii="Calibri" w:hAnsi="Calibri" w:cs="Calibri"/>
              </w:rPr>
              <w:t xml:space="preserve"> Amendments invoice and supporting information (</w:t>
            </w:r>
            <w:r>
              <w:rPr>
                <w:rFonts w:ascii="Calibri" w:hAnsi="Calibri" w:cs="Calibri"/>
              </w:rPr>
              <w:t>.ASP file</w:t>
            </w:r>
            <w:r>
              <w:rPr>
                <w:rFonts w:ascii="Calibri" w:hAnsi="Calibri" w:cs="Calibri"/>
              </w:rPr>
              <w:t xml:space="preserve"> K91 record</w:t>
            </w:r>
            <w:r>
              <w:rPr>
                <w:rFonts w:ascii="Calibri" w:hAnsi="Calibri" w:cs="Calibri"/>
              </w:rPr>
              <w:t>)</w:t>
            </w:r>
            <w:r>
              <w:rPr>
                <w:rFonts w:ascii="Calibri" w:hAnsi="Calibri" w:cs="Calibri"/>
              </w:rPr>
              <w:t>.</w:t>
            </w:r>
          </w:p>
          <w:p>
            <w:pPr/>
          </w:p>
          <w:p>
            <w:pPr>
              <w:rPr>
                <w:rFonts w:ascii="Calibri" w:hAnsi="Calibri" w:cs="Calibri"/>
              </w:rPr>
            </w:pPr>
            <w:r>
              <w:rPr>
                <w:rFonts w:ascii="Calibri" w:hAnsi="Calibri" w:cs="Calibri"/>
              </w:rPr>
              <w:t xml:space="preserve">Due </w:t>
            </w:r>
            <w:r>
              <w:rPr>
                <w:rFonts w:ascii="Calibri" w:hAnsi="Calibri" w:cs="Calibri"/>
              </w:rPr>
              <w:t xml:space="preserve">the change in the UIG Smear periods, the </w:t>
            </w:r>
            <w:r>
              <w:rPr>
                <w:rFonts w:ascii="Calibri" w:hAnsi="Calibri" w:cs="Calibri"/>
              </w:rPr>
              <w:t>consequential</w:t>
            </w:r>
            <w:r>
              <w:rPr>
                <w:rFonts w:ascii="Calibri" w:hAnsi="Calibri" w:cs="Calibri"/>
              </w:rPr>
              <w:t xml:space="preserve"> impact to Shippers would be that they would potentially see the</w:t>
            </w:r>
            <w:r>
              <w:rPr>
                <w:rFonts w:ascii="Calibri" w:hAnsi="Calibri" w:cs="Calibri"/>
              </w:rPr>
              <w:t xml:space="preserve"> K91 record having more occurrences within their </w:t>
            </w:r>
            <w:r>
              <w:rPr>
                <w:rFonts w:ascii="Calibri" w:hAnsi="Calibri" w:cs="Calibri"/>
              </w:rPr>
              <w:t xml:space="preserve">respective </w:t>
            </w:r>
            <w:r>
              <w:rPr>
                <w:rFonts w:ascii="Calibri" w:hAnsi="Calibri" w:cs="Calibri"/>
              </w:rPr>
              <w:t>monthly .ASP file.</w:t>
            </w:r>
            <w:r>
              <w:rPr>
                <w:rFonts w:ascii="Calibri" w:hAnsi="Calibri" w:cs="Calibri"/>
              </w:rPr>
              <w:t xml:space="preserve"> However, as previously mentioned, the estimated volumes </w:t>
            </w:r>
            <w:r>
              <w:rPr>
                <w:rFonts w:ascii="Calibri" w:hAnsi="Calibri" w:cs="Calibri"/>
              </w:rPr>
              <w:t xml:space="preserve">would still be within the 900,000 occurrence value </w:t>
            </w:r>
            <w:r>
              <w:rPr>
                <w:rFonts w:ascii="Calibri" w:hAnsi="Calibri" w:cs="Calibri"/>
              </w:rPr>
              <w:t xml:space="preserve">currently defined </w:t>
            </w:r>
            <w:r>
              <w:rPr>
                <w:rFonts w:ascii="Calibri" w:hAnsi="Calibri" w:cs="Calibri"/>
              </w:rPr>
              <w:t>within the .ASP File Format.</w:t>
            </w:r>
            <w:r>
              <w:rPr>
                <w:rFonts w:ascii="Calibri" w:hAnsi="Calibri" w:cs="Calibri"/>
              </w:rPr>
              <w:br w:type="textWrapping"/>
            </w:r>
            <w:r>
              <w:rPr>
                <w:rFonts w:ascii="Calibri" w:hAnsi="Calibri" w:cs="Calibri"/>
              </w:rPr>
              <w:t>The estimate is based on full 48 months of UGR</w:t>
            </w:r>
            <w:r>
              <w:rPr>
                <w:rFonts w:ascii="Calibri" w:hAnsi="Calibri" w:cs="Calibri"/>
              </w:rPr>
              <w:t xml:space="preserve"> </w:t>
            </w:r>
            <w:r>
              <w:rPr>
                <w:rFonts w:ascii="Calibri" w:hAnsi="Calibri" w:cs="Calibri"/>
              </w:rPr>
              <w:t xml:space="preserve">Charges </w:t>
            </w:r>
            <w:r>
              <w:rPr>
                <w:rFonts w:ascii="Calibri" w:hAnsi="Calibri" w:cs="Calibri"/>
              </w:rPr>
              <w:t xml:space="preserve">in </w:t>
            </w:r>
            <w:r>
              <w:rPr>
                <w:rFonts w:ascii="Calibri" w:hAnsi="Calibri" w:cs="Calibri"/>
              </w:rPr>
              <w:t xml:space="preserve">a </w:t>
            </w:r>
            <w:r>
              <w:rPr>
                <w:rFonts w:ascii="Calibri" w:hAnsi="Calibri" w:cs="Calibri"/>
              </w:rPr>
              <w:t>March</w:t>
            </w:r>
            <w:r>
              <w:rPr>
                <w:rFonts w:ascii="Calibri" w:hAnsi="Calibri" w:cs="Calibri"/>
              </w:rPr>
              <w:t xml:space="preserve"> Amendment Invoice</w:t>
            </w:r>
            <w:r>
              <w:rPr>
                <w:rFonts w:ascii="Calibri" w:hAnsi="Calibri" w:cs="Calibri"/>
              </w:rPr>
              <w:t>.</w:t>
            </w:r>
            <w:r>
              <w:rPr>
                <w:rFonts w:ascii="Calibri" w:hAnsi="Calibri" w:cs="Calibri"/>
              </w:rPr>
              <w:t xml:space="preserve"> using Class</w:t>
            </w:r>
            <w:r>
              <w:rPr>
                <w:rFonts w:ascii="Calibri" w:hAnsi="Calibri" w:cs="Calibri"/>
              </w:rPr>
              <w:t xml:space="preserve"> 3 and 4</w:t>
            </w:r>
            <w:r>
              <w:rPr>
                <w:rFonts w:ascii="Calibri" w:hAnsi="Calibri" w:cs="Calibri"/>
              </w:rPr>
              <w:t>s</w:t>
            </w:r>
            <w:r>
              <w:rPr>
                <w:rFonts w:ascii="Calibri" w:hAnsi="Calibri" w:cs="Calibri"/>
              </w:rPr>
              <w:t xml:space="preserve"> against 702 EUCs (</w:t>
            </w:r>
            <w:r>
              <w:rPr>
                <w:rFonts w:ascii="Calibri" w:hAnsi="Calibri" w:cs="Calibri"/>
              </w:rPr>
              <w:t>39 EUCs in 18 LDZs)</w:t>
            </w:r>
            <w:r>
              <w:rPr>
                <w:rFonts w:ascii="Calibri" w:hAnsi="Calibri" w:cs="Calibri"/>
              </w:rPr>
              <w:t xml:space="preserve"> which would total around 67k records.</w:t>
            </w:r>
            <w:r>
              <w:rPr>
                <w:rFonts w:ascii="Calibri" w:hAnsi="Calibri" w:cs="Calibri"/>
              </w:rPr>
              <w:t xml:space="preserve"> There are very few Class 1 and 2 sites</w:t>
            </w:r>
            <w:r>
              <w:rPr>
                <w:rFonts w:ascii="Calibri" w:hAnsi="Calibri" w:cs="Calibri"/>
              </w:rPr>
              <w:t xml:space="preserve"> and would make little impact on the total record count, so have not been used in the estimation. </w:t>
            </w:r>
          </w:p>
          <w:p>
            <w:pPr>
              <w:rPr>
                <w:rFonts w:ascii="Calibri" w:hAnsi="Calibri" w:cs="Calibri"/>
              </w:rPr>
            </w:pPr>
          </w:p>
          <w:p>
            <w:pPr>
              <w:rPr>
                <w:rFonts w:ascii="Calibri" w:hAnsi="Calibri" w:cs="Calibri"/>
              </w:rPr>
            </w:pPr>
            <w:r>
              <w:rPr>
                <w:rFonts w:ascii="Calibri" w:hAnsi="Calibri" w:cs="Calibri"/>
              </w:rPr>
              <w:t>In addition, due to this being an established service</w:t>
            </w:r>
            <w:r>
              <w:rPr>
                <w:rFonts w:ascii="Calibri" w:hAnsi="Calibri" w:cs="Calibri"/>
              </w:rPr>
              <w:t>,</w:t>
            </w:r>
            <w:r>
              <w:rPr>
                <w:rFonts w:ascii="Calibri" w:hAnsi="Calibri" w:cs="Calibri"/>
              </w:rPr>
              <w:t xml:space="preserve"> provisions for queries</w:t>
            </w:r>
            <w:r>
              <w:rPr>
                <w:rFonts w:ascii="Calibri" w:hAnsi="Calibri" w:cs="Calibri"/>
              </w:rPr>
              <w:t xml:space="preserve"> and</w:t>
            </w:r>
            <w:r>
              <w:rPr>
                <w:rFonts w:ascii="Calibri" w:hAnsi="Calibri" w:cs="Calibri"/>
              </w:rPr>
              <w:t xml:space="preserve"> exceptions</w:t>
            </w:r>
            <w:r>
              <w:rPr>
                <w:rFonts w:ascii="Calibri" w:hAnsi="Calibri" w:cs="Calibri"/>
              </w:rPr>
              <w:t xml:space="preserve"> are already in place</w:t>
            </w:r>
            <w:r>
              <w:rPr>
                <w:rFonts w:ascii="Calibri" w:hAnsi="Calibri" w:cs="Calibri"/>
              </w:rPr>
              <w:t>.</w:t>
            </w:r>
          </w:p>
          <w:p>
            <w:pPr>
              <w:rPr>
                <w:rFonts w:ascii="Calibri" w:hAnsi="Calibri" w:cs="Calibri"/>
              </w:rPr>
            </w:pPr>
          </w:p>
          <w:p>
            <w:pPr>
              <w:rPr>
                <w:rFonts w:ascii="Calibri" w:hAnsi="Calibri" w:cs="Calibri"/>
              </w:rPr>
              <w:pStyle w:val="heading 3"/>
            </w:pPr>
            <w:r>
              <w:rPr>
                <w:rFonts w:ascii="Calibri" w:hAnsi="Calibri" w:cs="Calibri"/>
              </w:rPr>
              <w:t>Cost</w:t>
            </w:r>
            <w:r>
              <w:rPr>
                <w:rFonts w:ascii="Calibri" w:hAnsi="Calibri" w:cs="Calibri"/>
              </w:rPr>
              <w:t xml:space="preserve"> Range</w:t>
            </w:r>
            <w:r>
              <w:rPr>
                <w:rFonts w:ascii="Calibri" w:hAnsi="Calibri" w:cs="Calibri"/>
              </w:rPr>
              <w:t xml:space="preserve"> &amp; Timelines</w:t>
            </w:r>
          </w:p>
          <w:p>
            <w:pPr>
              <w:rPr>
                <w:rFonts w:ascii="Calibri" w:hAnsi="Calibri" w:cs="Calibri"/>
              </w:rPr>
            </w:pPr>
            <w:r>
              <w:rPr>
                <w:rFonts w:ascii="Calibri" w:hAnsi="Calibri" w:cs="Calibri"/>
              </w:rPr>
              <w:t>Following detailed design</w:t>
            </w:r>
            <w:r>
              <w:rPr>
                <w:rFonts w:ascii="Calibri" w:hAnsi="Calibri" w:cs="Calibri"/>
              </w:rPr>
              <w:t>,</w:t>
            </w:r>
            <w:r>
              <w:rPr>
                <w:rFonts w:ascii="Calibri" w:hAnsi="Calibri" w:cs="Calibri"/>
              </w:rPr>
              <w:t xml:space="preserve"> the </w:t>
            </w:r>
            <w:r>
              <w:rPr>
                <w:rFonts w:ascii="Calibri" w:hAnsi="Calibri" w:cs="Calibri"/>
              </w:rPr>
              <w:t xml:space="preserve">overall size and cost of the change required to </w:t>
            </w:r>
            <w:r>
              <w:rPr>
                <w:rFonts w:ascii="Calibri" w:hAnsi="Calibri" w:cs="Calibri"/>
              </w:rPr>
              <w:t>update</w:t>
            </w:r>
            <w:r>
              <w:rPr>
                <w:rFonts w:ascii="Calibri" w:hAnsi="Calibri" w:cs="Calibri"/>
              </w:rPr>
              <w:t xml:space="preserve"> the</w:t>
            </w:r>
            <w:r>
              <w:rPr>
                <w:rFonts w:ascii="Calibri" w:hAnsi="Calibri" w:cs="Calibri"/>
              </w:rPr>
              <w:t xml:space="preserve"> CDSP systems and processes have reduced from those presented in the</w:t>
            </w:r>
            <w:r>
              <w:rPr>
                <w:rFonts w:ascii="Calibri" w:hAnsi="Calibri" w:cs="Calibri"/>
              </w:rPr>
              <w:t xml:space="preserve"> original Rough Order of Magnitude (ROM) generated for the modification workgroup</w:t>
            </w:r>
            <w:r>
              <w:rPr>
                <w:rFonts w:ascii="Calibri" w:hAnsi="Calibri" w:cs="Calibri"/>
              </w:rPr>
              <w:t>. These are as follows:</w:t>
            </w:r>
          </w:p>
          <w:p>
            <w:pPr>
              <w:rPr>
                <w:rFonts w:ascii="Calibri" w:hAnsi="Calibri" w:cs="Calibri"/>
              </w:rPr>
            </w:pPr>
          </w:p>
          <w:p>
            <w:pPr>
              <w:rPr>
                <w:rFonts w:ascii="Calibri" w:hAnsi="Calibri" w:cs="Calibri"/>
              </w:rPr>
            </w:pPr>
            <w:r>
              <w:rPr>
                <w:rFonts w:ascii="Calibri" w:hAnsi="Calibri" w:cs="Calibri"/>
              </w:rPr>
              <w:t>Original ROM</w:t>
            </w:r>
            <w:r>
              <w:rPr>
                <w:rFonts w:ascii="Calibri" w:hAnsi="Calibri" w:cs="Calibri"/>
              </w:rPr>
              <w:t xml:space="preserve"> cost</w:t>
            </w:r>
            <w:r>
              <w:rPr>
                <w:rFonts w:ascii="Calibri" w:hAnsi="Calibri" w:cs="Calibri"/>
              </w:rPr>
              <w:t xml:space="preserve"> </w:t>
            </w:r>
            <w:r>
              <w:rPr>
                <w:rFonts w:ascii="Calibri" w:hAnsi="Calibri" w:cs="Calibri"/>
              </w:rPr>
              <w:t>r</w:t>
            </w:r>
            <w:r>
              <w:rPr>
                <w:rFonts w:ascii="Calibri" w:hAnsi="Calibri" w:cs="Calibri"/>
              </w:rPr>
              <w:t>ange: £130K to £250K</w:t>
            </w:r>
          </w:p>
          <w:p>
            <w:pPr>
              <w:rPr>
                <w:rFonts w:ascii="Calibri" w:hAnsi="Calibri" w:cs="Calibri"/>
              </w:rPr>
            </w:pPr>
            <w:r>
              <w:rPr>
                <w:rFonts w:ascii="Calibri" w:hAnsi="Calibri" w:cs="Calibri"/>
              </w:rPr>
              <w:t xml:space="preserve">Cost </w:t>
            </w:r>
            <w:r>
              <w:rPr>
                <w:rFonts w:ascii="Calibri" w:hAnsi="Calibri" w:cs="Calibri"/>
              </w:rPr>
              <w:t>r</w:t>
            </w:r>
            <w:r>
              <w:rPr>
                <w:rFonts w:ascii="Calibri" w:hAnsi="Calibri" w:cs="Calibri"/>
              </w:rPr>
              <w:t>ange</w:t>
            </w:r>
            <w:r>
              <w:rPr>
                <w:rFonts w:ascii="Calibri" w:hAnsi="Calibri" w:cs="Calibri"/>
              </w:rPr>
              <w:t xml:space="preserve"> of design proposed above</w:t>
            </w:r>
            <w:r>
              <w:rPr>
                <w:rFonts w:ascii="Calibri" w:hAnsi="Calibri" w:cs="Calibri"/>
              </w:rPr>
              <w:t>: £85K to £115K</w:t>
            </w:r>
          </w:p>
          <w:p>
            <w:pPr>
              <w:rPr>
                <w:rFonts w:ascii="Calibri" w:hAnsi="Calibri" w:cs="Calibri"/>
              </w:rPr>
            </w:pPr>
          </w:p>
          <w:p>
            <w:pPr>
              <w:rPr>
                <w:rFonts w:ascii="Calibri" w:hAnsi="Calibri" w:cs="Calibri"/>
              </w:rPr>
            </w:pPr>
            <w:r>
              <w:rPr>
                <w:rFonts w:ascii="Calibri" w:hAnsi="Calibri" w:cs="Calibri"/>
              </w:rPr>
              <w:t>The o</w:t>
            </w:r>
            <w:r>
              <w:rPr>
                <w:rFonts w:ascii="Calibri" w:hAnsi="Calibri" w:cs="Calibri"/>
              </w:rPr>
              <w:t xml:space="preserve">riginal timeframe was </w:t>
            </w:r>
            <w:r>
              <w:rPr>
                <w:rFonts w:ascii="Calibri" w:hAnsi="Calibri" w:cs="Calibri"/>
              </w:rPr>
              <w:t>assessed at</w:t>
            </w:r>
            <w:r>
              <w:rPr>
                <w:rFonts w:ascii="Calibri" w:hAnsi="Calibri" w:cs="Calibri"/>
              </w:rPr>
              <w:t xml:space="preserve"> </w:t>
            </w:r>
            <w:r>
              <w:rPr>
                <w:rFonts w:ascii="Calibri" w:hAnsi="Calibri" w:cs="Calibri"/>
              </w:rPr>
              <w:t>16 weeks, not including P</w:t>
            </w:r>
            <w:r>
              <w:rPr>
                <w:rFonts w:ascii="Calibri" w:hAnsi="Calibri" w:cs="Calibri"/>
              </w:rPr>
              <w:t xml:space="preserve">ost </w:t>
            </w:r>
            <w:r>
              <w:rPr>
                <w:rFonts w:ascii="Calibri" w:hAnsi="Calibri" w:cs="Calibri"/>
              </w:rPr>
              <w:t>I</w:t>
            </w:r>
            <w:r>
              <w:rPr>
                <w:rFonts w:ascii="Calibri" w:hAnsi="Calibri" w:cs="Calibri"/>
              </w:rPr>
              <w:t xml:space="preserve">mplementation </w:t>
            </w:r>
            <w:r>
              <w:rPr>
                <w:rFonts w:ascii="Calibri" w:hAnsi="Calibri" w:cs="Calibri"/>
              </w:rPr>
              <w:t>S</w:t>
            </w:r>
            <w:r>
              <w:rPr>
                <w:rFonts w:ascii="Calibri" w:hAnsi="Calibri" w:cs="Calibri"/>
              </w:rPr>
              <w:t>upport (PIS)</w:t>
            </w:r>
            <w:r>
              <w:rPr>
                <w:rFonts w:ascii="Calibri" w:hAnsi="Calibri" w:cs="Calibri"/>
              </w:rPr>
              <w:t xml:space="preserve"> (</w:t>
            </w:r>
            <w:r>
              <w:rPr>
                <w:rFonts w:ascii="Calibri" w:hAnsi="Calibri" w:cs="Calibri"/>
              </w:rPr>
              <w:t>estimated</w:t>
            </w:r>
            <w:r>
              <w:rPr>
                <w:rFonts w:ascii="Calibri" w:hAnsi="Calibri" w:cs="Calibri"/>
              </w:rPr>
              <w:t xml:space="preserve"> at 4 weeks). Through further investigations </w:t>
            </w:r>
            <w:r>
              <w:rPr>
                <w:rFonts w:ascii="Calibri" w:hAnsi="Calibri" w:cs="Calibri"/>
              </w:rPr>
              <w:t>during this</w:t>
            </w:r>
            <w:r>
              <w:rPr>
                <w:rFonts w:ascii="Calibri" w:hAnsi="Calibri" w:cs="Calibri"/>
              </w:rPr>
              <w:t xml:space="preserve"> </w:t>
            </w:r>
            <w:r>
              <w:rPr>
                <w:rFonts w:ascii="Calibri" w:hAnsi="Calibri" w:cs="Calibri"/>
              </w:rPr>
              <w:t>d</w:t>
            </w:r>
            <w:r>
              <w:rPr>
                <w:rFonts w:ascii="Calibri" w:hAnsi="Calibri" w:cs="Calibri"/>
              </w:rPr>
              <w:t>esign</w:t>
            </w:r>
            <w:r>
              <w:rPr>
                <w:rFonts w:ascii="Calibri" w:hAnsi="Calibri" w:cs="Calibri"/>
              </w:rPr>
              <w:t xml:space="preserve"> phase</w:t>
            </w:r>
            <w:r>
              <w:rPr>
                <w:rFonts w:ascii="Calibri" w:hAnsi="Calibri" w:cs="Calibri"/>
              </w:rPr>
              <w:t xml:space="preserve">, </w:t>
            </w:r>
            <w:r>
              <w:rPr>
                <w:rFonts w:ascii="Calibri" w:hAnsi="Calibri" w:cs="Calibri"/>
              </w:rPr>
              <w:t>the</w:t>
            </w:r>
            <w:r>
              <w:rPr>
                <w:rFonts w:ascii="Calibri" w:hAnsi="Calibri" w:cs="Calibri"/>
              </w:rPr>
              <w:t xml:space="preserve"> timeframe </w:t>
            </w:r>
            <w:r>
              <w:rPr>
                <w:rFonts w:ascii="Calibri" w:hAnsi="Calibri" w:cs="Calibri"/>
              </w:rPr>
              <w:t>ha</w:t>
            </w:r>
            <w:r>
              <w:rPr>
                <w:rFonts w:ascii="Calibri" w:hAnsi="Calibri" w:cs="Calibri"/>
              </w:rPr>
              <w:t>s</w:t>
            </w:r>
            <w:r>
              <w:rPr>
                <w:rFonts w:ascii="Calibri" w:hAnsi="Calibri" w:cs="Calibri"/>
              </w:rPr>
              <w:t xml:space="preserve"> </w:t>
            </w:r>
            <w:r>
              <w:rPr>
                <w:rFonts w:ascii="Calibri" w:hAnsi="Calibri" w:cs="Calibri"/>
              </w:rPr>
              <w:t>been narrowed down</w:t>
            </w:r>
            <w:r>
              <w:rPr>
                <w:rFonts w:ascii="Calibri" w:hAnsi="Calibri" w:cs="Calibri"/>
              </w:rPr>
              <w:t xml:space="preserve"> </w:t>
            </w:r>
            <w:r>
              <w:rPr>
                <w:rFonts w:ascii="Calibri" w:hAnsi="Calibri" w:cs="Calibri"/>
              </w:rPr>
              <w:t>a</w:t>
            </w:r>
            <w:r>
              <w:rPr>
                <w:rFonts w:ascii="Calibri" w:hAnsi="Calibri" w:cs="Calibri"/>
              </w:rPr>
              <w:t>nd this is shown below:</w:t>
            </w:r>
          </w:p>
          <w:p>
            <w:pPr/>
            <w:r>
              <w:rPr>
                <w:rFonts w:ascii="Calibri" w:hAnsi="Calibri" w:cs="Calibri"/>
              </w:rPr>
              <mc:AlternateContent>
                <mc:Choice Requires="wps">
                  <w:drawing>
                    <wp:inline>
                      <wp:extent cx="5071070" cy="703580"/>
                      <wp:docPr id="3" name="drawingObject3"/>
                      <wp:cNvGraphicFramePr/>
                      <a:graphic>
                        <a:graphicData uri="http://schemas.openxmlformats.org/drawingml/2006/picture">
                          <pic:pic>
                            <pic:nvPicPr>
                              <pic:cNvPr id="4" name="Picture 4"/>
                              <pic:cNvPicPr/>
                            </pic:nvPicPr>
                            <pic:blipFill>
                              <a:blip r:embed="R76e4aa08d53741e0"/>
                              <a:stretch/>
                            </pic:blipFill>
                            <pic:spPr>
                              <a:xfrm rot="0">
                                <a:ext cx="5071070" cy="703580"/>
                              </a:xfrm>
                              <a:prstGeom prst="rect">
                                <a:avLst/>
                              </a:prstGeom>
                              <a:noFill/>
                            </pic:spPr>
                          </pic:pic>
                        </a:graphicData>
                      </a:graphic>
                    </wp:inline>
                  </w:drawing>
                </mc:Choice>
                <mc:Fallback/>
              </mc:AlternateContent>
            </w:r>
          </w:p>
          <w:p>
            <w:pP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pPr>
            <w:r>
              <w:rPr>
                <w:rFonts w:ascii="Calibri" w:hAnsi="Calibri" w:cs="Calibri"/>
              </w:rPr>
              <w:t>N/A</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sdt>
            <w:sdtPr>
              <w:rPr>
                <w:rFonts w:ascii="Calibri" w:hAnsi="Calibri" w:cs="Calibri"/>
              </w:rPr>
              <w:id w:val="165912924"/>
              <w:date w:fullDate="2024-11-25T00:00:00Z">
                <w:dateFormat w:val="dd/MM/yyyy"/>
                <w:lid w:val="en-GB"/>
                <w:storeMappedDataAs w:val="dateTime"/>
                <w:calendar w:val="gregorian"/>
              </w:date>
            </w:sdtPr>
            <w:sdtContent>
              <w:p>
                <w:pPr/>
                <w:r>
                  <w:rPr>
                    <w:rFonts w:ascii="Calibri" w:hAnsi="Calibri" w:cs="Calibri"/>
                  </w:rPr>
                  <w:t>25/11/2024</w:t>
                </w:r>
              </w:p>
            </w:sdtContent>
          </w:sdt>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r>
              <w:rPr>
                <w:rFonts w:ascii="Calibri" w:hAnsi="Calibri" w:cs="Calibri"/>
              </w:rPr>
              <w:t>To provide an overview of the changes to the detailed design</w:t>
            </w: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 xml:space="preserve">Release: </w:t>
            </w:r>
            <w:r>
              <w:rPr>
                <w:rFonts w:ascii="Calibri" w:hAnsi="Calibri" w:cs="Calibri"/>
              </w:rPr>
              <w:t>June 2025</w:t>
            </w:r>
            <w:r>
              <w:rPr>
                <w:rFonts w:ascii="Calibri" w:hAnsi="Calibri" w:cs="Calibri"/>
              </w:rPr>
              <w:t xml:space="preserve"> or </w:t>
            </w:r>
            <w:r>
              <w:rPr>
                <w:rFonts w:ascii="Calibri" w:hAnsi="Calibri" w:cs="Calibri"/>
              </w:rPr>
              <w:t xml:space="preserve">Ad </w:t>
            </w:r>
            <w:r>
              <w:rPr>
                <w:rFonts w:ascii="Calibri" w:hAnsi="Calibri" w:cs="Calibri"/>
              </w:rPr>
              <w:t>hoc</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p>
        </w:tc>
      </w:tr>
    </w:tbl>
    <w:p>
      <w:pPr>
        <w:rPr>
          <w:rFonts w:ascii="Calibri" w:hAnsi="Calibri" w:cs="Calibri"/>
        </w:rPr>
      </w:pPr>
      <w:r>
        <w:rPr>
          <w:rFonts w:ascii="Calibri" w:hAnsi="Calibri" w:cs="Calibri"/>
        </w:rPr>
        <w:br w:type="page"/>
      </w:r>
    </w:p>
    <w:p>
      <w:pPr>
        <w:rPr>
          <w:rFonts w:ascii="Calibri" w:hAnsi="Calibri" w:cs="Calibri"/>
        </w:rPr>
        <w:pStyle w:val="Title"/>
      </w:pPr>
      <w:r>
        <w:rPr>
          <w:rFonts w:ascii="Calibri" w:hAnsi="Calibri" w:cs="Calibri"/>
        </w:rPr>
        <w:t>Industry Response Detailed Design Review</w:t>
      </w:r>
    </w:p>
    <w:p>
      <w:pPr/>
      <w:r>
        <w:t>  </w:t>
      </w:r>
      <w:r>
        <w:br w:type="textWrapping"/>
      </w:r>
      <w:r>
        <w:rPr>
          <w:b w:val="1"/>
          <w:bCs w:val="1"/>
        </w:rPr>
        <w:t>Change Representation</w:t>
      </w:r>
      <w:r>
        <w:t>   </w:t>
      </w:r>
    </w:p>
    <w:p>
      <w:pPr/>
      <w:r>
        <w:t>(To be completed by User and returned for response)  </w:t>
      </w:r>
    </w:p>
    <w:p>
      <w:pPr/>
      <w:r>
        <w:rPr>
          <w:b w:val="1"/>
          <w:bCs w:val="1"/>
          <w:i w:val="1"/>
          <w:iCs w:val="1"/>
        </w:rPr>
        <w:t>Please consider any commercial impacts to your organisation that Xoserve need to be aware of when formulating your response</w:t>
      </w:r>
      <w:r>
        <w:rPr>
          <w:b w:val="1"/>
          <w:bCs w:val="1"/>
        </w:rPr>
        <w:t> </w:t>
      </w:r>
      <w:r>
        <w:t> </w:t>
      </w:r>
    </w:p>
    <w:p>
      <w:pPr/>
      <w:r>
        <w:t>  </w:t>
      </w: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280"/>
        <w:gridCol w:w="1755"/>
        <w:gridCol w:w="5010"/>
      </w:tblGrid>
      <w:tr>
        <w:trPr>
          <w:trHeight w:hRule="atLeast" w:val="300"/>
        </w:trPr>
        <w:tc>
          <w:tcPr>
            <w:shd w:val="clear" w:fill="B3EDFB"/>
            <w:tcW w:type="dxa" w:w="2280"/>
            <w:vAlign w:val="center"/>
            <w:tcBorders>
              <w:left w:val="single" w:sz="6" w:space="0" w:color="auto"/>
              <w:top w:val="single" w:sz="6" w:space="0" w:color="auto"/>
              <w:right w:val="single" w:sz="6" w:space="0" w:color="auto"/>
              <w:bottom w:val="single" w:sz="6" w:space="0" w:color="auto"/>
            </w:tcBorders>
            <w:vMerge w:val="restart"/>
          </w:tcPr>
          <w:p>
            <w:pPr/>
            <w:r>
              <w:t>User Contact Details:  </w:t>
            </w:r>
          </w:p>
        </w:tc>
        <w:tc>
          <w:tcPr>
            <w:shd w:val="clear" w:fill="B3EDFB"/>
            <w:tcW w:type="dxa" w:w="1755"/>
            <w:vAlign w:val="center"/>
            <w:tcBorders>
              <w:left w:val="single" w:sz="6" w:space="0" w:color="auto"/>
              <w:top w:val="single" w:sz="6" w:space="0" w:color="auto"/>
              <w:right w:val="single" w:sz="6" w:space="0" w:color="auto"/>
              <w:bottom w:val="single" w:sz="6" w:space="0" w:color="auto"/>
            </w:tcBorders>
          </w:tcPr>
          <w:p>
            <w:pPr/>
            <w:r>
              <w:t>Organisation:  </w:t>
            </w:r>
          </w:p>
        </w:tc>
        <w:tc>
          <w:tcPr>
            <w:shd w:val="clear" w:fill="FFFFFF"/>
            <w:tcW w:type="dxa" w:w="4995"/>
            <w:vAlign w:val="center"/>
            <w:tcBorders>
              <w:left w:val="single" w:sz="6" w:space="0" w:color="auto"/>
              <w:top w:val="single" w:sz="6" w:space="0" w:color="auto"/>
              <w:right w:val="single" w:sz="6" w:space="0" w:color="auto"/>
              <w:bottom w:val="single" w:sz="6" w:space="0" w:color="auto"/>
            </w:tcBorders>
          </w:tcPr>
          <w:p>
            <w:pPr/>
            <w:r>
              <w:t>Centrica</w:t>
            </w:r>
          </w:p>
        </w:tc>
      </w:tr>
      <w:tr>
        <w:trPr>
          <w:trHeight w:hRule="atLeast" w:val="300"/>
        </w:trPr>
        <w:tc>
          <w:tcPr>
            <w:tcW w:type="auto" w:w="0"/>
            <w:vAlign w:val="center"/>
            <w:vMerge w:val="continue"/>
          </w:tcPr>
          <w:p/>
        </w:tc>
        <w:tc>
          <w:tcPr>
            <w:shd w:val="clear" w:fill="B3EDFB"/>
            <w:tcW w:type="dxa" w:w="1755"/>
            <w:vAlign w:val="center"/>
            <w:tcBorders>
              <w:left w:val="single" w:sz="6" w:space="0" w:color="auto"/>
              <w:top w:val="single" w:sz="6" w:space="0" w:color="auto"/>
              <w:right w:val="single" w:sz="6" w:space="0" w:color="auto"/>
              <w:bottom w:val="single" w:sz="6" w:space="0" w:color="auto"/>
            </w:tcBorders>
          </w:tcPr>
          <w:p>
            <w:pPr/>
            <w:r>
              <w:t>Name:  </w:t>
            </w:r>
          </w:p>
        </w:tc>
        <w:tc>
          <w:tcPr>
            <w:shd w:val="clear" w:fill="FFFFFF"/>
            <w:tcW w:type="dxa" w:w="4995"/>
            <w:vAlign w:val="center"/>
            <w:tcBorders>
              <w:left w:val="single" w:sz="6" w:space="0" w:color="auto"/>
              <w:top w:val="single" w:sz="6" w:space="0" w:color="auto"/>
              <w:right w:val="single" w:sz="6" w:space="0" w:color="auto"/>
              <w:bottom w:val="single" w:sz="6" w:space="0" w:color="auto"/>
            </w:tcBorders>
          </w:tcPr>
          <w:p>
            <w:pPr>
              <w:rPr>
                <w:rFonts w:cs="Arial" w:eastAsia="Arial"/>
              </w:rPr>
            </w:pPr>
            <w:r>
              <w:rPr>
                <w:rFonts w:ascii="Aptos" w:hAnsi="Aptos" w:cs="Aptos" w:eastAsia="Aptos"/>
                <w:sz w:val="24"/>
                <w:szCs w:val="24"/>
              </w:rPr>
              <w:t>Lee Greenwood</w:t>
            </w:r>
          </w:p>
        </w:tc>
      </w:tr>
      <w:tr>
        <w:trPr>
          <w:trHeight w:hRule="atLeast" w:val="300"/>
        </w:trPr>
        <w:tc>
          <w:tcPr>
            <w:tcW w:type="auto" w:w="0"/>
            <w:vAlign w:val="center"/>
            <w:vMerge w:val="continue"/>
          </w:tcPr>
          <w:p/>
        </w:tc>
        <w:tc>
          <w:tcPr>
            <w:shd w:val="clear" w:fill="B3EDFB"/>
            <w:tcW w:type="dxa" w:w="1755"/>
            <w:vAlign w:val="center"/>
            <w:tcBorders>
              <w:left w:val="single" w:sz="6" w:space="0" w:color="auto"/>
              <w:top w:val="single" w:sz="6" w:space="0" w:color="auto"/>
              <w:right w:val="single" w:sz="6" w:space="0" w:color="auto"/>
              <w:bottom w:val="single" w:sz="6" w:space="0" w:color="auto"/>
            </w:tcBorders>
          </w:tcPr>
          <w:p>
            <w:pPr/>
            <w:r>
              <w:t>Email:  </w:t>
            </w:r>
          </w:p>
        </w:tc>
        <w:tc>
          <w:tcPr>
            <w:shd w:val="clear" w:fill="FFFFFF"/>
            <w:tcW w:type="dxa" w:w="4995"/>
            <w:vAlign w:val="center"/>
            <w:tcBorders>
              <w:left w:val="single" w:sz="6" w:space="0" w:color="auto"/>
              <w:top w:val="single" w:sz="6" w:space="0" w:color="auto"/>
              <w:right w:val="single" w:sz="6" w:space="0" w:color="auto"/>
              <w:bottom w:val="single" w:sz="6" w:space="0" w:color="auto"/>
            </w:tcBorders>
          </w:tcPr>
          <w:p>
            <w:pPr/>
            <w:r>
              <w:rPr>
                <w:rFonts w:ascii="Aptos" w:hAnsi="Aptos" w:cs="Aptos" w:eastAsia="Aptos"/>
                <w:sz w:val="24"/>
                <w:szCs w:val="24"/>
              </w:rPr>
              <w:t>lee.greenwood@centrica.com</w:t>
            </w:r>
          </w:p>
        </w:tc>
      </w:tr>
      <w:tr>
        <w:trPr>
          <w:trHeight w:hRule="atLeast" w:val="300"/>
        </w:trPr>
        <w:tc>
          <w:tcPr>
            <w:tcW w:type="auto" w:w="0"/>
            <w:vAlign w:val="center"/>
            <w:vMerge w:val="continue"/>
          </w:tcPr>
          <w:p/>
        </w:tc>
        <w:tc>
          <w:tcPr>
            <w:shd w:val="clear" w:fill="B3EDFB"/>
            <w:tcW w:type="dxa" w:w="1755"/>
            <w:vAlign w:val="center"/>
            <w:tcBorders>
              <w:left w:val="single" w:sz="6" w:space="0" w:color="auto"/>
              <w:top w:val="single" w:sz="6" w:space="0" w:color="auto"/>
              <w:right w:val="single" w:sz="6" w:space="0" w:color="auto"/>
              <w:bottom w:val="single" w:sz="6" w:space="0" w:color="auto"/>
            </w:tcBorders>
          </w:tcPr>
          <w:p>
            <w:pPr/>
            <w:r>
              <w:t>Telephone:  </w:t>
            </w:r>
          </w:p>
        </w:tc>
        <w:tc>
          <w:tcPr>
            <w:shd w:val="clear" w:fill="FFFFFF"/>
            <w:tcW w:type="dxa" w:w="4995"/>
            <w:vAlign w:val="center"/>
            <w:tcBorders>
              <w:left w:val="single" w:sz="6" w:space="0" w:color="auto"/>
              <w:top w:val="single" w:sz="6" w:space="0" w:color="auto"/>
              <w:right w:val="single" w:sz="6" w:space="0" w:color="auto"/>
              <w:bottom w:val="single" w:sz="6" w:space="0" w:color="auto"/>
            </w:tcBorders>
          </w:tcPr>
          <w:p>
            <w:pPr>
              <w:rPr>
                <w:rFonts w:cs="Arial" w:eastAsia="Arial"/>
              </w:rPr>
            </w:pPr>
            <w:r>
              <w:rPr>
                <w:rFonts w:ascii="Aptos" w:hAnsi="Aptos" w:cs="Aptos" w:eastAsia="Aptos"/>
                <w:sz w:val="24"/>
                <w:szCs w:val="24"/>
              </w:rPr>
              <w:t>07376360749</w:t>
            </w:r>
          </w:p>
        </w:tc>
      </w:tr>
      <w:tr>
        <w:trPr>
          <w:trHeight w:hRule="atLeast" w:val="300"/>
        </w:trPr>
        <w:tc>
          <w:tcPr>
            <w:shd w:val="clear" w:fill="B3EDFB"/>
            <w:tcW w:type="dxa" w:w="2280"/>
            <w:vAlign w:val="center"/>
            <w:tcBorders>
              <w:left w:val="single" w:sz="6" w:space="0" w:color="auto"/>
              <w:top w:val="single" w:sz="6" w:space="0" w:color="auto"/>
              <w:right w:val="single" w:sz="6" w:space="0" w:color="auto"/>
              <w:bottom w:val="single" w:sz="6" w:space="0" w:color="auto"/>
            </w:tcBorders>
          </w:tcPr>
          <w:p>
            <w:pPr/>
            <w:r>
              <w:t>Customer decision on Change Pack:  </w:t>
            </w:r>
          </w:p>
        </w:tc>
        <w:tc>
          <w:tcPr>
            <w:shd w:val="clear" w:fill="FFFFFF"/>
            <w:tcW w:type="dxa" w:w="6765"/>
            <w:vAlign w:val="center"/>
            <w:tcBorders>
              <w:left w:val="single" w:sz="6" w:space="0" w:color="auto"/>
              <w:top w:val="single" w:sz="6" w:space="0" w:color="auto"/>
              <w:right w:val="single" w:sz="6" w:space="0" w:color="auto"/>
              <w:bottom w:val="single" w:sz="6" w:space="0" w:color="auto"/>
            </w:tcBorders>
            <w:gridSpan w:val="2"/>
          </w:tcPr>
          <w:p>
            <w:pPr/>
            <w:r>
              <w:t>Defer</w:t>
            </w:r>
          </w:p>
        </w:tc>
      </w:tr>
      <w:tr>
        <w:trPr>
          <w:trHeight w:hRule="atLeast" w:val="300"/>
        </w:trPr>
        <w:tc>
          <w:tcPr>
            <w:shd w:val="clear" w:fill="B3EDFB"/>
            <w:tcW w:type="dxa" w:w="2280"/>
            <w:vAlign w:val="center"/>
            <w:tcBorders>
              <w:left w:val="single" w:sz="6" w:space="0" w:color="auto"/>
              <w:top w:val="single" w:sz="6" w:space="0" w:color="auto"/>
              <w:right w:val="single" w:sz="6" w:space="0" w:color="auto"/>
              <w:bottom w:val="single" w:sz="6" w:space="0" w:color="auto"/>
            </w:tcBorders>
          </w:tcPr>
          <w:p>
            <w:pPr/>
            <w:r>
              <w:t>Commercial impacts:  </w:t>
            </w:r>
          </w:p>
        </w:tc>
        <w:tc>
          <w:tcPr>
            <w:shd w:val="clear" w:fill="FFFFFF"/>
            <w:tcW w:type="dxa" w:w="6765"/>
            <w:vAlign w:val="center"/>
            <w:tcBorders>
              <w:left w:val="single" w:sz="6" w:space="0" w:color="auto"/>
              <w:top w:val="single" w:sz="6" w:space="0" w:color="auto"/>
              <w:right w:val="single" w:sz="6" w:space="0" w:color="auto"/>
              <w:bottom w:val="single" w:sz="6" w:space="0" w:color="auto"/>
            </w:tcBorders>
            <w:gridSpan w:val="2"/>
          </w:tcPr>
          <w:p>
            <w:pPr/>
            <w:r>
              <w:t>The inclusion of the Supply ID would result in reduced costs and streamlined administrative processes. This change would benefit other industry participants by simplifying the management of UIG and enhancing the accuracy of its allocation.</w:t>
            </w:r>
          </w:p>
        </w:tc>
      </w:tr>
      <w:tr>
        <w:trPr>
          <w:trHeight w:hRule="atLeast" w:val="300"/>
        </w:trPr>
        <w:tc>
          <w:tcPr>
            <w:shd w:val="clear" w:fill="B3EDFB"/>
            <w:tcW w:type="dxa" w:w="2280"/>
            <w:vAlign w:val="center"/>
            <w:tcBorders>
              <w:left w:val="single" w:sz="6" w:space="0" w:color="auto"/>
              <w:top w:val="single" w:sz="6" w:space="0" w:color="auto"/>
              <w:right w:val="single" w:sz="6" w:space="0" w:color="auto"/>
              <w:bottom w:val="single" w:sz="6" w:space="0" w:color="auto"/>
            </w:tcBorders>
          </w:tcPr>
          <w:p>
            <w:pPr/>
            <w:r>
              <w:t>Representation Publication:  </w:t>
            </w:r>
          </w:p>
        </w:tc>
        <w:tc>
          <w:tcPr>
            <w:shd w:val="clear" w:fill="FFFFFF"/>
            <w:tcW w:type="dxa" w:w="6765"/>
            <w:vAlign w:val="center"/>
            <w:tcBorders>
              <w:left w:val="single" w:sz="6" w:space="0" w:color="auto"/>
              <w:top w:val="single" w:sz="6" w:space="0" w:color="auto"/>
              <w:right w:val="single" w:sz="6" w:space="0" w:color="auto"/>
              <w:bottom w:val="single" w:sz="6" w:space="0" w:color="auto"/>
            </w:tcBorders>
            <w:gridSpan w:val="2"/>
          </w:tcPr>
          <w:p>
            <w:pPr/>
            <w:r>
              <w:t>Publish</w:t>
            </w:r>
          </w:p>
        </w:tc>
      </w:tr>
      <w:tr>
        <w:trPr>
          <w:trHeight w:hRule="atLeast" w:val="300"/>
        </w:trPr>
        <w:tc>
          <w:tcPr>
            <w:shd w:val="clear" w:fill="B3EDFB"/>
            <w:tcW w:type="dxa" w:w="2280"/>
            <w:vAlign w:val="center"/>
            <w:tcBorders>
              <w:left w:val="single" w:sz="6" w:space="0" w:color="auto"/>
              <w:top w:val="single" w:sz="6" w:space="0" w:color="auto"/>
              <w:right w:val="single" w:sz="6" w:space="0" w:color="auto"/>
              <w:bottom w:val="single" w:sz="6" w:space="0" w:color="auto"/>
            </w:tcBorders>
          </w:tcPr>
          <w:p>
            <w:pPr/>
            <w:r>
              <w:t>Representation Comments:  </w:t>
            </w:r>
          </w:p>
        </w:tc>
        <w:tc>
          <w:tcPr>
            <w:shd w:val="clear" w:fill="FFFFFF"/>
            <w:tcW w:type="dxa" w:w="6765"/>
            <w:vAlign w:val="center"/>
            <w:tcBorders>
              <w:left w:val="single" w:sz="6" w:space="0" w:color="auto"/>
              <w:top w:val="single" w:sz="6" w:space="0" w:color="auto"/>
              <w:right w:val="single" w:sz="6" w:space="0" w:color="auto"/>
              <w:bottom w:val="single" w:sz="6" w:space="0" w:color="auto"/>
            </w:tcBorders>
            <w:gridSpan w:val="2"/>
          </w:tcPr>
          <w:p>
            <w:pPr/>
            <w:r>
              <w:t xml:space="preserve">The current methodology splits UGR in a relatively arbitrary way with UGR even splits allocated across the last 12 months, shippers with multiple supply IDs may split their UGR charges between supply IDs in a similar arbitrary way. </w:t>
            </w:r>
          </w:p>
          <w:p>
            <w:pPr/>
            <w:r>
              <w:t xml:space="preserve">With the implementation of this modification the invoice data now provides the information required to allocate the UGR to the settlement month (which is more cost reflective) but not between Supply IDs which we believe is an oversight. </w:t>
            </w:r>
          </w:p>
          <w:p>
            <w:pPr/>
            <w:r>
              <w:t>Adding the Supply ID to the invoice fits with the aims of the modification in increasing accuracy and fairness of UGR allocation as well as streamlining administrative processes and reducing the complexity of managing UIG.</w:t>
            </w:r>
          </w:p>
        </w:tc>
      </w:tr>
    </w:tbl>
    <w:p>
      <w:pPr/>
      <w:r>
        <w:t>  </w:t>
      </w:r>
    </w:p>
    <w:p>
      <w:pPr/>
      <w:r>
        <w:rPr>
          <w:b w:val="1"/>
          <w:bCs w:val="1"/>
        </w:rPr>
        <w:t>Xoserve’ s Response  </w:t>
      </w:r>
      <w:r>
        <w:t> </w:t>
      </w: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280"/>
        <w:gridCol w:w="6765"/>
      </w:tblGrid>
      <w:tr>
        <w:trPr>
          <w:trHeight w:hRule="atLeast" w:val="300"/>
        </w:trPr>
        <w:tc>
          <w:tcPr>
            <w:shd w:val="clear" w:fill="B3EDFB"/>
            <w:tcW w:type="dxa" w:w="2280"/>
            <w:vAlign w:val="center"/>
            <w:tcBorders>
              <w:left w:val="single" w:sz="6" w:space="0" w:color="auto"/>
              <w:top w:val="single" w:sz="6" w:space="0" w:color="auto"/>
              <w:right w:val="single" w:sz="6" w:space="0" w:color="auto"/>
              <w:bottom w:val="single" w:sz="6" w:space="0" w:color="auto"/>
            </w:tcBorders>
          </w:tcPr>
          <w:p>
            <w:pPr/>
            <w:r>
              <w:t>Xoserve Response to Organisations Comments:  </w:t>
            </w:r>
          </w:p>
        </w:tc>
        <w:tc>
          <w:tcPr>
            <w:shd w:val="clear" w:fill="FFFFFF"/>
            <w:tcW w:type="dxa" w:w="6765"/>
            <w:vAlign w:val="center"/>
            <w:tcBorders>
              <w:left w:val="single" w:sz="6" w:space="0" w:color="auto"/>
              <w:top w:val="single" w:sz="6" w:space="0" w:color="auto"/>
              <w:right w:val="single" w:sz="6" w:space="0" w:color="auto"/>
              <w:bottom w:val="single" w:sz="6" w:space="0" w:color="auto"/>
            </w:tcBorders>
          </w:tcPr>
          <w:p>
            <w:pPr/>
            <w:r>
              <w:t>Xoserve is responding back directly with Centrica and will update the industry at ChMC</w:t>
            </w:r>
          </w:p>
        </w:tc>
      </w:tr>
    </w:tbl>
    <w:p>
      <w:pPr/>
      <w:r>
        <w:t>  </w:t>
      </w:r>
    </w:p>
    <w:p>
      <w:pPr/>
      <w:r>
        <w:t xml:space="preserve">Please send the completed representation response to </w:t>
      </w:r>
      <w:hyperlink w:tgtFrame="_blank" r:id="R8f948db620734fa1">
        <w:r>
          <w:rPr>
            <w:rStyle w:val="Hyperlink"/>
          </w:rPr>
          <w:t>uklink@xoserve.com</w:t>
        </w:r>
      </w:hyperlink>
      <w:r>
        <w:t>   </w:t>
      </w:r>
    </w:p>
    <w:p>
      <w:pPr/>
      <w:r>
        <w:t>  </w:t>
      </w:r>
    </w:p>
    <w:p>
      <w:pPr/>
    </w:p>
    <w:p>
      <w:pPr>
        <w:pStyle w:val="Title"/>
      </w:pPr>
    </w:p>
    <w:p>
      <w:pPr>
        <w:pStyle w:val="Title"/>
      </w:pPr>
    </w:p>
    <w:p>
      <w:p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showingPlcHdr/>
              <w:id w:val="-342008601"/>
              <w:placeholder>
                <w:docPart w:val="60799F7CBA8941F6933391729FA62E76"/>
              </w:placeholder>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w:t>
            </w:r>
            <w:r>
              <w:rPr>
                <w:rFonts w:ascii="Calibri" w:hAnsi="Calibri" w:cs="Calibri"/>
              </w:rPr>
              <w:t>as</w:t>
            </w:r>
            <w:r>
              <w:rPr>
                <w:rFonts w:ascii="Calibri" w:hAnsi="Calibri" w:cs="Calibri"/>
              </w:rPr>
              <w:t xml:space="preserve">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showingPlcHdr/>
              <w:id w:val="626280683"/>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Release: Feb / Jun / Nov XX or Adhoc DD/MM/YYYY or NA</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5a806992bf894243">
        <w:r>
          <w:rPr>
            <w:rStyle w:val="Hyperlink"/>
            <w:rFonts w:ascii="Calibri" w:hAnsi="Calibri" w:cs="Calibri"/>
          </w:rPr>
          <w:t>uklink@xoserve.com</w:t>
        </w:r>
      </w:hyperlink>
      <w:r>
        <w:rPr>
          <w:rFonts w:ascii="Calibri" w:hAnsi="Calibri" w:cs="Calibri"/>
        </w:rPr>
        <w:t xml:space="preserve"> </w:t>
      </w: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r>
              <w:rPr>
                <w:rFonts w:ascii="Calibri" w:hAnsi="Calibri" w:cs="Calibri"/>
              </w:rPr>
              <w:t>0.1</w:t>
            </w:r>
          </w:p>
        </w:tc>
        <w:tc>
          <w:tcPr>
            <w:shd w:val="clear" w:fill="FFFFFF"/>
            <w:tcW w:type="pct" w:w="766"/>
            <w:vAlign w:val="center"/>
          </w:tcPr>
          <w:p>
            <w:pPr>
              <w:rPr>
                <w:rFonts w:ascii="Calibri" w:hAnsi="Calibri" w:cs="Calibri"/>
              </w:rPr>
            </w:pPr>
            <w:r>
              <w:rPr>
                <w:rFonts w:ascii="Calibri" w:hAnsi="Calibri" w:cs="Calibri"/>
              </w:rPr>
              <w:t>Draft</w:t>
            </w:r>
          </w:p>
        </w:tc>
        <w:tc>
          <w:tcPr>
            <w:shd w:val="clear" w:fill="FFFFFF"/>
            <w:tcW w:type="pct" w:w="767"/>
            <w:vAlign w:val="center"/>
          </w:tcPr>
          <w:p>
            <w:pPr>
              <w:rPr>
                <w:rFonts w:ascii="Calibri" w:hAnsi="Calibri" w:cs="Calibri"/>
              </w:rPr>
            </w:pPr>
            <w:r>
              <w:rPr>
                <w:rFonts w:ascii="Calibri" w:hAnsi="Calibri" w:cs="Calibri"/>
              </w:rPr>
              <w:t>16/10/2024</w:t>
            </w:r>
          </w:p>
        </w:tc>
        <w:tc>
          <w:tcPr>
            <w:shd w:val="clear" w:fill="FFFFFF"/>
            <w:tcW w:type="pct" w:w="921"/>
            <w:vAlign w:val="center"/>
          </w:tcPr>
          <w:p>
            <w:pPr>
              <w:rPr>
                <w:rFonts w:ascii="Calibri" w:hAnsi="Calibri" w:cs="Calibri"/>
              </w:rPr>
            </w:pPr>
            <w:r>
              <w:rPr>
                <w:rFonts w:ascii="Calibri" w:hAnsi="Calibri" w:cs="Calibri"/>
              </w:rPr>
              <w:t>Helen Gilbert (BA)</w:t>
            </w:r>
          </w:p>
        </w:tc>
        <w:tc>
          <w:tcPr>
            <w:shd w:val="clear" w:fill="FFFFFF"/>
            <w:tcW w:type="pct" w:w="1950"/>
            <w:vAlign w:val="center"/>
          </w:tcPr>
          <w:p>
            <w:pPr>
              <w:rPr>
                <w:rFonts w:ascii="Calibri" w:hAnsi="Calibri" w:cs="Calibri"/>
              </w:rPr>
            </w:pPr>
            <w:r>
              <w:rPr>
                <w:rFonts w:ascii="Calibri" w:hAnsi="Calibri" w:cs="Calibri"/>
              </w:rPr>
              <w:t>Drafted</w:t>
            </w:r>
          </w:p>
        </w:tc>
      </w:tr>
      <w:tr>
        <w:trPr>
          <w:trHeight w:hRule="atLeast" w:val="403"/>
        </w:trPr>
        <w:tc>
          <w:tcPr>
            <w:shd w:val="clear" w:fill="FFFFFF"/>
            <w:tcW w:type="pct" w:w="596"/>
            <w:vAlign w:val="center"/>
          </w:tcPr>
          <w:p>
            <w:pPr>
              <w:rPr>
                <w:rFonts w:ascii="Calibri" w:hAnsi="Calibri" w:cs="Calibri"/>
              </w:rPr>
            </w:pPr>
            <w:r>
              <w:rPr>
                <w:rFonts w:ascii="Calibri" w:hAnsi="Calibri" w:cs="Calibri"/>
              </w:rPr>
              <w:t>1</w:t>
            </w:r>
          </w:p>
        </w:tc>
        <w:tc>
          <w:tcPr>
            <w:shd w:val="clear" w:fill="FFFFFF"/>
            <w:tcW w:type="pct" w:w="766"/>
            <w:vAlign w:val="center"/>
          </w:tcPr>
          <w:p>
            <w:pPr>
              <w:rPr>
                <w:rFonts w:ascii="Calibri" w:hAnsi="Calibri" w:cs="Calibri"/>
              </w:rPr>
            </w:pPr>
            <w:r>
              <w:rPr>
                <w:rFonts w:ascii="Calibri" w:hAnsi="Calibri" w:cs="Calibri"/>
              </w:rPr>
              <w:t>Approved</w:t>
            </w:r>
          </w:p>
        </w:tc>
        <w:tc>
          <w:tcPr>
            <w:shd w:val="clear" w:fill="FFFFFF"/>
            <w:tcW w:type="pct" w:w="767"/>
            <w:vAlign w:val="center"/>
          </w:tcPr>
          <w:p>
            <w:pPr>
              <w:rPr>
                <w:rFonts w:ascii="Calibri" w:hAnsi="Calibri" w:cs="Calibri"/>
              </w:rPr>
            </w:pPr>
            <w:r>
              <w:rPr>
                <w:rFonts w:ascii="Calibri" w:hAnsi="Calibri" w:cs="Calibri"/>
              </w:rPr>
              <w:t>12/11/2024</w:t>
            </w:r>
          </w:p>
        </w:tc>
        <w:tc>
          <w:tcPr>
            <w:shd w:val="clear" w:fill="FFFFFF"/>
            <w:tcW w:type="pct" w:w="921"/>
            <w:vAlign w:val="center"/>
          </w:tcPr>
          <w:p>
            <w:pPr>
              <w:rPr>
                <w:rFonts w:ascii="Calibri" w:hAnsi="Calibri" w:cs="Calibri"/>
              </w:rPr>
            </w:pPr>
            <w:r>
              <w:rPr>
                <w:rFonts w:ascii="Calibri" w:hAnsi="Calibri" w:cs="Calibri"/>
              </w:rPr>
              <w:t>Helen Gilbert (BA)</w:t>
            </w:r>
          </w:p>
        </w:tc>
        <w:tc>
          <w:tcPr>
            <w:shd w:val="clear" w:fill="FFFFFF"/>
            <w:tcW w:type="pct" w:w="1950"/>
            <w:vAlign w:val="center"/>
          </w:tcPr>
          <w:p>
            <w:pPr>
              <w:rPr>
                <w:rFonts w:ascii="Calibri" w:hAnsi="Calibri" w:cs="Calibri"/>
              </w:rPr>
            </w:pPr>
            <w:r>
              <w:rPr>
                <w:rFonts w:ascii="Calibri" w:hAnsi="Calibri" w:cs="Calibri"/>
              </w:rPr>
              <w:t>Approved and</w:t>
            </w:r>
            <w:r>
              <w:rPr>
                <w:rFonts w:ascii="Calibri" w:hAnsi="Calibri" w:cs="Calibri"/>
              </w:rPr>
              <w:t xml:space="preserve"> uploaded</w:t>
            </w: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w:t>
            </w:r>
            <w:r>
              <w:rPr>
                <w:rFonts w:ascii="Calibri" w:hAnsi="Calibri" w:cs="Calibri"/>
              </w:rPr>
              <w:t>.0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 xml:space="preserve">Detail Design Change Pack </w:t>
            </w:r>
            <w:r>
              <w:rPr>
                <w:rFonts w:ascii="Calibri" w:hAnsi="Calibri" w:cs="Calibri"/>
              </w:rPr>
              <w:t>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1.2</w:t>
            </w:r>
          </w:p>
        </w:tc>
        <w:tc>
          <w:tcPr>
            <w:shd w:val="clear" w:fill="FFFFFF"/>
            <w:tcW w:type="pct" w:w="714"/>
            <w:vAlign w:val="center"/>
          </w:tcPr>
          <w:p>
            <w:pPr>
              <w:rPr>
                <w:rFonts w:ascii="Calibri" w:hAnsi="Calibri" w:cs="Calibri"/>
              </w:rPr>
            </w:pPr>
            <w:r>
              <w:rPr>
                <w:rFonts w:ascii="Calibri" w:hAnsi="Calibri" w:cs="Calibri"/>
              </w:rPr>
              <w:t>Updated</w:t>
            </w:r>
          </w:p>
        </w:tc>
        <w:tc>
          <w:tcPr>
            <w:shd w:val="clear" w:fill="FFFFFF"/>
            <w:tcW w:type="pct" w:w="714"/>
            <w:vAlign w:val="center"/>
          </w:tcPr>
          <w:p>
            <w:pPr>
              <w:rPr>
                <w:rFonts w:ascii="Calibri" w:hAnsi="Calibri" w:cs="Calibri"/>
              </w:rPr>
            </w:pPr>
            <w:r>
              <w:rPr>
                <w:rFonts w:ascii="Calibri" w:hAnsi="Calibri" w:cs="Calibri"/>
              </w:rPr>
              <w:t>14/08/2023</w:t>
            </w:r>
          </w:p>
        </w:tc>
        <w:tc>
          <w:tcPr>
            <w:shd w:val="clear" w:fill="FFFFFF"/>
            <w:tcW w:type="pct" w:w="572"/>
            <w:vAlign w:val="center"/>
          </w:tcPr>
          <w:p>
            <w:pPr>
              <w:rPr>
                <w:rFonts w:ascii="Calibri" w:hAnsi="Calibri" w:cs="Calibri"/>
              </w:rPr>
            </w:pPr>
            <w:r>
              <w:rPr>
                <w:rFonts w:ascii="Calibri" w:hAnsi="Calibri" w:cs="Calibri"/>
              </w:rPr>
              <w:t>Kate Lancaster</w:t>
            </w:r>
          </w:p>
        </w:tc>
        <w:tc>
          <w:tcPr>
            <w:shd w:val="clear" w:fill="FFFFFF"/>
            <w:tcW w:type="pct" w:w="1286"/>
            <w:vAlign w:val="center"/>
          </w:tcPr>
          <w:p>
            <w:pPr>
              <w:rPr>
                <w:rFonts w:ascii="Calibri" w:hAnsi="Calibri" w:cs="Calibri"/>
              </w:rPr>
            </w:pPr>
            <w:r>
              <w:rPr>
                <w:rFonts w:ascii="Calibri" w:hAnsi="Calibri" w:cs="Calibri"/>
              </w:rPr>
              <w:t>Updated with Representation tabs</w:t>
            </w:r>
          </w:p>
        </w:tc>
        <w:tc>
          <w:tcPr>
            <w:tcW w:type="pct" w:w="1215"/>
            <w:vAlign w:val="center"/>
          </w:tcPr>
          <w:p>
            <w:pPr>
              <w:rPr>
                <w:rFonts w:ascii="Calibri" w:hAnsi="Calibri" w:cs="Calibri"/>
              </w:rPr>
            </w:pPr>
          </w:p>
        </w:tc>
      </w:tr>
      <w:tr>
        <w:trPr>
          <w:trHeight w:hRule="atLeast" w:val="403"/>
        </w:trPr>
        <w:tc>
          <w:tcPr>
            <w:shd w:val="clear" w:fill="FFFFFF"/>
            <w:tcW w:type="pct" w:w="499"/>
            <w:vAlign w:val="center"/>
          </w:tcPr>
          <w:p>
            <w:pPr>
              <w:rPr>
                <w:rFonts w:ascii="Calibri" w:hAnsi="Calibri" w:cs="Calibri"/>
              </w:rPr>
            </w:pPr>
            <w:r>
              <w:rPr>
                <w:rFonts w:ascii="Calibri" w:hAnsi="Calibri" w:cs="Calibri"/>
              </w:rPr>
              <w:t>1.3</w:t>
            </w:r>
          </w:p>
        </w:tc>
        <w:tc>
          <w:tcPr>
            <w:shd w:val="clear" w:fill="FFFFFF"/>
            <w:tcW w:type="pct" w:w="714"/>
            <w:vAlign w:val="center"/>
          </w:tcPr>
          <w:p>
            <w:pPr>
              <w:rPr>
                <w:rFonts w:ascii="Calibri" w:hAnsi="Calibri" w:cs="Calibri"/>
              </w:rPr>
            </w:pPr>
            <w:r>
              <w:rPr>
                <w:rFonts w:ascii="Calibri" w:hAnsi="Calibri" w:cs="Calibri"/>
              </w:rPr>
              <w:t xml:space="preserve">Updated </w:t>
            </w:r>
          </w:p>
        </w:tc>
        <w:tc>
          <w:tcPr>
            <w:shd w:val="clear" w:fill="FFFFFF"/>
            <w:tcW w:type="pct" w:w="714"/>
            <w:vAlign w:val="center"/>
          </w:tcPr>
          <w:p>
            <w:pPr>
              <w:rPr>
                <w:rFonts w:ascii="Calibri" w:hAnsi="Calibri" w:cs="Calibri"/>
              </w:rPr>
            </w:pPr>
            <w:r>
              <w:rPr>
                <w:rFonts w:ascii="Calibri" w:hAnsi="Calibri" w:cs="Calibri"/>
              </w:rPr>
              <w:t>25/06/2024</w:t>
            </w:r>
          </w:p>
        </w:tc>
        <w:tc>
          <w:tcPr>
            <w:shd w:val="clear" w:fill="FFFFFF"/>
            <w:tcW w:type="pct" w:w="572"/>
            <w:vAlign w:val="center"/>
          </w:tcPr>
          <w:p>
            <w:pPr>
              <w:rPr>
                <w:rFonts w:ascii="Calibri" w:hAnsi="Calibri" w:cs="Calibri"/>
              </w:rPr>
            </w:pPr>
            <w:r>
              <w:rPr>
                <w:rFonts w:ascii="Calibri" w:hAnsi="Calibri" w:cs="Calibri"/>
              </w:rPr>
              <w:t>Richard Hadfield</w:t>
            </w:r>
          </w:p>
        </w:tc>
        <w:tc>
          <w:tcPr>
            <w:shd w:val="clear" w:fill="FFFFFF"/>
            <w:tcW w:type="pct" w:w="1286"/>
            <w:vAlign w:val="center"/>
          </w:tcPr>
          <w:p>
            <w:pPr>
              <w:rPr>
                <w:rFonts w:ascii="Calibri" w:hAnsi="Calibri" w:cs="Calibri"/>
              </w:rPr>
            </w:pPr>
            <w:r>
              <w:rPr>
                <w:rFonts w:ascii="Calibri" w:hAnsi="Calibri" w:cs="Calibri"/>
              </w:rPr>
              <w:t>Updated to add cost ran</w:t>
            </w:r>
            <w:r>
              <w:rPr>
                <w:rFonts w:ascii="Calibri" w:hAnsi="Calibri" w:cs="Calibri"/>
              </w:rPr>
              <w:t>ge to Implementation section</w:t>
            </w:r>
          </w:p>
        </w:tc>
        <w:tc>
          <w:tcPr>
            <w:tcW w:type="pct" w:w="1215"/>
            <w:vAlign w:val="center"/>
          </w:tcPr>
          <w:p>
            <w:pPr>
              <w:rPr>
                <w:rFonts w:ascii="Calibri" w:hAnsi="Calibri" w:cs="Calibri"/>
              </w:rPr>
            </w:pPr>
          </w:p>
        </w:tc>
      </w:tr>
    </w:tbl>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ad8c89014d7b424f"/>
      <w:footerReference w:type="default" r:id="R52e378378ee449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 w:name="Segoe UI">
    <w:panose1 w:val="020B0502040204020203"/>
    <w:charset w:val="01"/>
    <w:family w:val="auto"/>
    <w:notTrueType w:val="off"/>
    <w:pitch w:val="variable"/>
    <w:sig w:usb0="E4002EFF" w:usb1="C000E47F" w:usb2="00000009" w:usb3="00000000" w:csb0="200001FF" w:csb1="0000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w:t>
    </w:r>
    <w:r>
      <w:t>.</w:t>
    </w:r>
    <w:r>
      <w:t>3</w:t>
    </w:r>
  </w:p>
  <w:p>
    <w:pPr>
      <w:pStyle w:val="footer"/>
    </w:pPr>
  </w:p>
  <w:p>
    <w:pPr>
      <w:rPr>
        <w:rFonts w:ascii="Calibri" w:hAnsi="Calibri" w:cs="Calibri"/>
      </w:rPr>
      <w:pStyle w:val="footer"/>
    </w:pPr>
    <w:r>
      <w:rPr>
        <w:rFonts w:ascii="Calibri" w:hAnsi="Calibri" w:cs="Calibri"/>
      </w:rPr>
      <mc:AlternateContent>
        <mc:Choice Requires="wps">
          <w:drawing>
            <wp:anchor allowOverlap="1" layoutInCell="1" relativeHeight="251658243"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8" name="drawingObject8"/>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5" name="drawingObject5"/>
              <wp:cNvGraphicFramePr>
                <a:graphicFrameLocks noChangeAspect="1"/>
              </wp:cNvGraphicFramePr>
              <a:graphic>
                <a:graphicData uri="http://schemas.openxmlformats.org/drawingml/2006/picture">
                  <pic:pic>
                    <pic:nvPicPr>
                      <pic:cNvPr id="6" name="Picture 6"/>
                      <pic:cNvPicPr/>
                    </pic:nvPicPr>
                    <pic:blipFill>
                      <a:blip r:embed="Rf69e1737b5a24158"/>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7" name="drawingObject7"/>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0"/>
    <w:multiLevelType w:val="hybridMultilevel"/>
    <w:name w:val="ListStyle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ui-provider">
    <w:name w:val="ui-provider"/>
    <w:qFormat/>
    <w:basedOn w:val="Default Paragraph Font"/>
  </w:style>
  <w:style w:type="character" w:styleId="cf01">
    <w:name w:val="cf01"/>
    <w:qFormat/>
    <w:basedOn w:val="Default Paragraph Font"/>
    <w:rPr>
      <w:rFonts w:ascii="Segoe UI" w:hAnsi="Segoe UI" w:cs="Segoe UI"/>
      <w:sz w:val="18"/>
      <w:szCs w:val="18"/>
    </w:rPr>
  </w:style>
  <w:style w:type="paragraph" w:styleId="caption">
    <w:name w:val="caption"/>
    <w:qFormat/>
    <w:basedOn w:val="Normal"/>
    <w:pPr>
      <w:spacing w:lineRule="auto" w:line="240"/>
    </w:pPr>
    <w:rPr>
      <w:color w:val="1D3E61"/>
      <w:i w:val="1"/>
      <w:iCs w:val="1"/>
      <w:sz w:val="18"/>
      <w:szCs w:val="18"/>
    </w:rPr>
  </w:style>
  <w:style w:type="paragraph" w:styleId="Revision">
    <w:name w:val="Revision"/>
    <w:qFormat/>
    <w:pPr>
      <w:spacing w:after="0" w:lineRule="auto" w:line="240"/>
    </w:pPr>
    <w:rPr>
      <w:rFonts w:ascii="Arial" w:hAnsi="Arial"/>
    </w:rPr>
  </w:style>
  <w:style w:type="character" w:styleId="FollowedHyperlink">
    <w:name w:val="FollowedHyperlink"/>
    <w:qFormat/>
    <w:basedOn w:val="Default Paragraph Font"/>
    <w:rPr>
      <w:color w:val="D2232A"/>
      <w:u w:val="single"/>
    </w:rPr>
  </w:style>
  <w:style w:type="numbering" w:styleId="ListStyle0">
    <w:name w:val="ListStyle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klinkdelivery@xoserve.com" TargetMode="External" Id="R4a7d712630794c75" /><Relationship Type="http://schemas.openxmlformats.org/officeDocument/2006/relationships/hyperlink" Target="https://www.gasgovernance.co.uk/0862" TargetMode="External" Id="Re3f561ec9b544a04" /><Relationship Type="http://schemas.openxmlformats.org/officeDocument/2006/relationships/hyperlink" Target="https://www.xoserve.com/change/customer-change-register/xrn-5784-modification-0862-amendments-to-the-current-unidentified-gas-reconciliation-period-arrangements/" TargetMode="External" Id="R178927d0ef0a48db" /><Relationship Type="http://schemas.openxmlformats.org/officeDocument/2006/relationships/image" Target="media/kqw4fcdl.png" Id="R14e17f2583274179" /><Relationship Type="http://schemas.openxmlformats.org/officeDocument/2006/relationships/image" Target="media/mcccmsew.png" Id="R76e4aa08d53741e0" /><Relationship Type="http://schemas.openxmlformats.org/officeDocument/2006/relationships/hyperlink" Target="mailto:uklink@xoserve.com" TargetMode="External" Id="R8f948db620734fa1" /><Relationship Type="http://schemas.openxmlformats.org/officeDocument/2006/relationships/hyperlink" Target="mailto:uklink@xoserve.com" TargetMode="External" Id="R5a806992bf894243" /><Relationship Type="http://schemas.openxmlformats.org/officeDocument/2006/relationships/header" Target="header1.xml" Id="Rad8c89014d7b424f" /><Relationship Type="http://schemas.openxmlformats.org/officeDocument/2006/relationships/footer" Target="footer1.xml" Id="R52e378378ee4491a" /><Relationship Type="http://schemas.openxmlformats.org/officeDocument/2006/relationships/customXml" Target="/customXml/item1.xml" Id="R6848ddb92e7f4e63" /><Relationship Type="http://schemas.openxmlformats.org/officeDocument/2006/relationships/customXml" Target="/customXml/item2.xml" Id="R7aca8fad325c422e" /><Relationship Type="http://schemas.openxmlformats.org/officeDocument/2006/relationships/customXml" Target="/customXml/item3.xml" Id="R551a30ba69da43c5" /><Relationship Type="http://schemas.openxmlformats.org/officeDocument/2006/relationships/customXml" Target="/customXml/item4.xml" Id="Rd8f4fb82c7024fa2" /><Relationship Type="http://schemas.openxmlformats.org/officeDocument/2006/relationships/styles" Target="styles.xml" Id="Ra20e428fec9e4cfe" /><Relationship Type="http://schemas.openxmlformats.org/officeDocument/2006/relationships/fontTable" Target="fontTable.xml" Id="R1a4969ceca7a4102" /><Relationship Type="http://schemas.openxmlformats.org/officeDocument/2006/relationships/numbering" Target="numbering.xml" Id="R886bcfd523114a13" /><Relationship Type="http://schemas.openxmlformats.org/officeDocument/2006/relationships/settings" Target="settings.xml" Id="R81a21469cc43477a" /><Relationship Type="http://schemas.openxmlformats.org/officeDocument/2006/relationships/webSettings" Target="webSettings.xml" Id="Ra7ba6f8ba3714d3f" /><Relationship Type="http://schemas.openxmlformats.org/officeDocument/2006/relationships/glossaryDocument" Target="glossary/document.xml" Id="Rc68ee302d9bb4d68" /></Relationships>
</file>

<file path=word/_rels/header1.xml.rels>&#65279;<?xml version="1.0" encoding="utf-8"?><Relationships xmlns="http://schemas.openxmlformats.org/package/2006/relationships"><Relationship Type="http://schemas.openxmlformats.org/officeDocument/2006/relationships/image" Target="media/v3zw5tn4.png" Id="Rf69e1737b5a24158" /></Relationships>
</file>

<file path=word/glossary/_rels/document.xml.rels>&#65279;<?xml version="1.0" encoding="utf-8"?><Relationships xmlns="http://schemas.openxmlformats.org/package/2006/relationships"><Relationship Type="http://schemas.openxmlformats.org/officeDocument/2006/relationships/styles" Target="styles.xml" Id="Ra0f80fe1a894449d" /><Relationship Type="http://schemas.openxmlformats.org/officeDocument/2006/relationships/fontTable" Target="fontTable.xml" Id="Rab8cfc4e17784751" /><Relationship Type="http://schemas.openxmlformats.org/officeDocument/2006/relationships/settings" Target="settings.xml" Id="R8075ff28361b4371" /><Relationship Type="http://schemas.openxmlformats.org/officeDocument/2006/relationships/webSettings" Target="webSettings.xml" Id="R220e0914e22c4956"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da9ff6b19b5341c6" /></Relationships>
</file>

<file path=customXml/_rels/item2.xml.rels>&#65279;<?xml version="1.0" encoding="utf-8"?><Relationships xmlns="http://schemas.openxmlformats.org/package/2006/relationships"><Relationship Type="http://schemas.openxmlformats.org/officeDocument/2006/relationships/customXmlProps" Target="itemProps2.xml" Id="R3a068fa5b96044bc" /></Relationships>
</file>

<file path=customXml/_rels/item3.xml.rels>&#65279;<?xml version="1.0" encoding="utf-8"?><Relationships xmlns="http://schemas.openxmlformats.org/package/2006/relationships"><Relationship Type="http://schemas.openxmlformats.org/officeDocument/2006/relationships/customXmlProps" Target="itemProps3.xml" Id="R459c418b47b84bd4" /></Relationships>
</file>

<file path=customXml/_rels/item4.xml.rels>&#65279;<?xml version="1.0" encoding="utf-8"?><Relationships xmlns="http://schemas.openxmlformats.org/package/2006/relationships"><Relationship Type="http://schemas.openxmlformats.org/officeDocument/2006/relationships/customXmlProps" Target="itemProps4.xml" Id="Recc7465607214a51"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38E1511D-CE9F-4557-8E1A-57E7F37A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6</Pages>
  <Words>1326</Words>
  <Characters>7560</Characters>
  <CharactersWithSpaces>8869</CharactersWithSpaces>
  <Lines>63</Lin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2024-12-09T15:55:00Z</dcterms:created>
  <dcterms:modified xsi:type="dcterms:W3CDTF">2024-12-09T15:55:00Z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