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0B62" w14:textId="64665516" w:rsidR="00DE4418" w:rsidRPr="00EA5A7C" w:rsidRDefault="00246426" w:rsidP="00681903">
      <w:pPr>
        <w:pStyle w:val="Title"/>
        <w:rPr>
          <w:rFonts w:ascii="Century Gothic" w:hAnsi="Century Gothic"/>
        </w:rPr>
      </w:pPr>
      <w:r>
        <w:rPr>
          <w:rFonts w:ascii="Century Gothic" w:hAnsi="Century Gothic"/>
        </w:rPr>
        <w:t xml:space="preserve">Detailed Design </w:t>
      </w:r>
      <w:r w:rsidR="001C09A5">
        <w:rPr>
          <w:rFonts w:ascii="Century Gothic" w:hAnsi="Century Gothic"/>
        </w:rPr>
        <w:t>Change Pack</w:t>
      </w:r>
    </w:p>
    <w:p w14:paraId="0CEF708B" w14:textId="5EFF848B" w:rsidR="00DE4418" w:rsidRPr="00EA5A7C" w:rsidRDefault="00B01CC9" w:rsidP="00EA5A7C">
      <w:pPr>
        <w:pStyle w:val="Heading1"/>
      </w:pPr>
      <w:r>
        <w:t>Communication detail</w:t>
      </w:r>
    </w:p>
    <w:tbl>
      <w:tblPr>
        <w:tblStyle w:val="ListTable3"/>
        <w:tblW w:w="9093" w:type="dxa"/>
        <w:tblLook w:val="04A0" w:firstRow="1" w:lastRow="0" w:firstColumn="1" w:lastColumn="0" w:noHBand="0" w:noVBand="1"/>
      </w:tblPr>
      <w:tblGrid>
        <w:gridCol w:w="2490"/>
        <w:gridCol w:w="6603"/>
      </w:tblGrid>
      <w:tr w:rsidR="00A86D70" w:rsidRPr="00CE732A" w14:paraId="01BD808F" w14:textId="77777777" w:rsidTr="7BAAF4A3">
        <w:trPr>
          <w:cnfStyle w:val="100000000000" w:firstRow="1" w:lastRow="0" w:firstColumn="0" w:lastColumn="0" w:oddVBand="0" w:evenVBand="0" w:oddHBand="0" w:evenHBand="0" w:firstRowFirstColumn="0" w:firstRowLastColumn="0" w:lastRowFirstColumn="0" w:lastRowLastColumn="0"/>
          <w:trHeight w:val="444"/>
        </w:trPr>
        <w:tc>
          <w:tcPr>
            <w:cnfStyle w:val="001000000100" w:firstRow="0" w:lastRow="0" w:firstColumn="1" w:lastColumn="0" w:oddVBand="0" w:evenVBand="0" w:oddHBand="0" w:evenHBand="0" w:firstRowFirstColumn="1" w:firstRowLastColumn="0" w:lastRowFirstColumn="0" w:lastRowLastColumn="0"/>
            <w:tcW w:w="2490" w:type="dxa"/>
            <w:tcBorders>
              <w:bottom w:val="single" w:sz="4" w:space="0" w:color="F5F7FF" w:themeColor="background2"/>
              <w:right w:val="single" w:sz="4" w:space="0" w:color="212133" w:themeColor="text2"/>
            </w:tcBorders>
            <w:shd w:val="clear" w:color="auto" w:fill="212133" w:themeFill="text2"/>
            <w:vAlign w:val="center"/>
          </w:tcPr>
          <w:p w14:paraId="75C8EF0D" w14:textId="5E6DA09E" w:rsidR="00A86D70" w:rsidRPr="00CE732A" w:rsidRDefault="00A86D70" w:rsidP="00B30513">
            <w:pPr>
              <w:jc w:val="right"/>
              <w:rPr>
                <w:b w:val="0"/>
                <w:bCs w:val="0"/>
                <w:color w:val="FFFFFF"/>
              </w:rPr>
            </w:pPr>
            <w:bookmarkStart w:id="0" w:name="_Hlk204004886"/>
            <w:r w:rsidRPr="00787779">
              <w:rPr>
                <w:b w:val="0"/>
                <w:bCs w:val="0"/>
                <w:color w:val="FFFFFF"/>
              </w:rPr>
              <w:t>Comm Reference:</w:t>
            </w:r>
          </w:p>
        </w:tc>
        <w:tc>
          <w:tcPr>
            <w:tcW w:w="6603" w:type="dxa"/>
            <w:tcBorders>
              <w:left w:val="single" w:sz="4" w:space="0" w:color="212133" w:themeColor="text2"/>
              <w:right w:val="single" w:sz="4" w:space="0" w:color="212133" w:themeColor="text2"/>
            </w:tcBorders>
            <w:shd w:val="clear" w:color="auto" w:fill="FFFFFF"/>
            <w:vAlign w:val="center"/>
          </w:tcPr>
          <w:p w14:paraId="3887BF68" w14:textId="1DC3CAD4" w:rsidR="00A86D70" w:rsidRPr="00AC0E02" w:rsidRDefault="00962FE6" w:rsidP="00D16007">
            <w:pPr>
              <w:cnfStyle w:val="100000000000" w:firstRow="1" w:lastRow="0" w:firstColumn="0" w:lastColumn="0" w:oddVBand="0" w:evenVBand="0" w:oddHBand="0" w:evenHBand="0" w:firstRowFirstColumn="0" w:firstRowLastColumn="0" w:lastRowFirstColumn="0" w:lastRowLastColumn="0"/>
              <w:rPr>
                <w:b w:val="0"/>
                <w:bCs w:val="0"/>
                <w:color w:val="212133" w:themeColor="text1"/>
              </w:rPr>
            </w:pPr>
            <w:r w:rsidRPr="00AC0E02">
              <w:rPr>
                <w:b w:val="0"/>
                <w:bCs w:val="0"/>
                <w:color w:val="212133" w:themeColor="text1"/>
              </w:rPr>
              <w:t>3425.1 - VO - KG</w:t>
            </w:r>
          </w:p>
        </w:tc>
      </w:tr>
      <w:tr w:rsidR="00A86D70" w:rsidRPr="00CE732A" w14:paraId="7B35BCF1" w14:textId="77777777" w:rsidTr="7BAAF4A3">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F5F7FF" w:themeColor="background2"/>
              <w:bottom w:val="single" w:sz="4" w:space="0" w:color="F5F7FF" w:themeColor="background2"/>
              <w:right w:val="single" w:sz="4" w:space="0" w:color="212133" w:themeColor="text2"/>
            </w:tcBorders>
            <w:shd w:val="clear" w:color="auto" w:fill="212133" w:themeFill="text2"/>
            <w:vAlign w:val="center"/>
          </w:tcPr>
          <w:p w14:paraId="5DF99EF3" w14:textId="5661034A" w:rsidR="00A86D70" w:rsidRPr="00CE732A" w:rsidRDefault="00A86D70" w:rsidP="00B30513">
            <w:pPr>
              <w:jc w:val="right"/>
              <w:rPr>
                <w:b w:val="0"/>
                <w:bCs w:val="0"/>
                <w:color w:val="FFFFFF"/>
              </w:rPr>
            </w:pPr>
            <w:r w:rsidRPr="00787779">
              <w:rPr>
                <w:b w:val="0"/>
                <w:bCs w:val="0"/>
                <w:color w:val="FFFFFF"/>
              </w:rPr>
              <w:t>Comm Title:</w:t>
            </w:r>
          </w:p>
        </w:tc>
        <w:tc>
          <w:tcPr>
            <w:tcW w:w="6603" w:type="dxa"/>
            <w:tcBorders>
              <w:left w:val="single" w:sz="4" w:space="0" w:color="212133" w:themeColor="text2"/>
              <w:right w:val="single" w:sz="4" w:space="0" w:color="212133" w:themeColor="text2"/>
            </w:tcBorders>
            <w:vAlign w:val="center"/>
          </w:tcPr>
          <w:p w14:paraId="4C53C88A" w14:textId="5D38AE4C" w:rsidR="00A86D70" w:rsidRPr="00CE732A" w:rsidRDefault="765FA3F7" w:rsidP="00D16007">
            <w:pPr>
              <w:cnfStyle w:val="000000100000" w:firstRow="0" w:lastRow="0" w:firstColumn="0" w:lastColumn="0" w:oddVBand="0" w:evenVBand="0" w:oddHBand="1" w:evenHBand="0" w:firstRowFirstColumn="0" w:firstRowLastColumn="0" w:lastRowFirstColumn="0" w:lastRowLastColumn="0"/>
              <w:rPr>
                <w:color w:val="212133" w:themeColor="text1"/>
              </w:rPr>
            </w:pPr>
            <w:r w:rsidRPr="7BAAF4A3">
              <w:rPr>
                <w:color w:val="212133" w:themeColor="text2"/>
              </w:rPr>
              <w:t>XRN</w:t>
            </w:r>
            <w:r w:rsidR="00044F47">
              <w:rPr>
                <w:color w:val="212133" w:themeColor="text2"/>
              </w:rPr>
              <w:t xml:space="preserve"> </w:t>
            </w:r>
            <w:r w:rsidRPr="7BAAF4A3">
              <w:rPr>
                <w:color w:val="212133" w:themeColor="text2"/>
              </w:rPr>
              <w:t>5732 - Inclusion of IGT MPRNs into specified existing DSC Processes</w:t>
            </w:r>
          </w:p>
        </w:tc>
      </w:tr>
      <w:tr w:rsidR="7BAAF4A3" w14:paraId="66EFDD6A" w14:textId="77777777" w:rsidTr="7BAAF4A3">
        <w:trPr>
          <w:trHeight w:val="300"/>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F5F7FF" w:themeColor="background2"/>
              <w:right w:val="single" w:sz="4" w:space="0" w:color="212133" w:themeColor="text2"/>
            </w:tcBorders>
            <w:shd w:val="clear" w:color="auto" w:fill="212133" w:themeFill="text2"/>
            <w:vAlign w:val="center"/>
          </w:tcPr>
          <w:p w14:paraId="434B2DAE" w14:textId="41E78F79" w:rsidR="1C1549A1" w:rsidRDefault="1C1549A1" w:rsidP="7BAAF4A3">
            <w:pPr>
              <w:jc w:val="right"/>
              <w:rPr>
                <w:b w:val="0"/>
                <w:bCs w:val="0"/>
                <w:color w:val="FFFFFF"/>
              </w:rPr>
            </w:pPr>
            <w:r w:rsidRPr="7BAAF4A3">
              <w:rPr>
                <w:b w:val="0"/>
                <w:bCs w:val="0"/>
                <w:color w:val="FFFFFF"/>
              </w:rPr>
              <w:t>Comm Date:</w:t>
            </w:r>
          </w:p>
        </w:tc>
        <w:tc>
          <w:tcPr>
            <w:tcW w:w="6603" w:type="dxa"/>
            <w:tcBorders>
              <w:left w:val="single" w:sz="4" w:space="0" w:color="212133" w:themeColor="text2"/>
              <w:right w:val="single" w:sz="4" w:space="0" w:color="212133" w:themeColor="text2"/>
            </w:tcBorders>
            <w:vAlign w:val="center"/>
          </w:tcPr>
          <w:p w14:paraId="246E7DD0" w14:textId="71336F10" w:rsidR="1C1549A1" w:rsidRDefault="1C1549A1" w:rsidP="7BAAF4A3">
            <w:pPr>
              <w:cnfStyle w:val="000000000000" w:firstRow="0" w:lastRow="0" w:firstColumn="0" w:lastColumn="0" w:oddVBand="0" w:evenVBand="0" w:oddHBand="0" w:evenHBand="0" w:firstRowFirstColumn="0" w:firstRowLastColumn="0" w:lastRowFirstColumn="0" w:lastRowLastColumn="0"/>
              <w:rPr>
                <w:rStyle w:val="PlaceholderText"/>
                <w:rFonts w:cs="Calibri"/>
                <w:color w:val="auto"/>
              </w:rPr>
            </w:pPr>
            <w:r w:rsidRPr="7BAAF4A3">
              <w:rPr>
                <w:rStyle w:val="PlaceholderText"/>
                <w:rFonts w:cs="Calibri"/>
                <w:color w:val="auto"/>
              </w:rPr>
              <w:t>13</w:t>
            </w:r>
            <w:r w:rsidR="00044F47">
              <w:rPr>
                <w:rStyle w:val="PlaceholderText"/>
                <w:rFonts w:cs="Calibri"/>
                <w:color w:val="auto"/>
              </w:rPr>
              <w:t>/</w:t>
            </w:r>
            <w:r w:rsidRPr="7BAAF4A3">
              <w:rPr>
                <w:rStyle w:val="PlaceholderText"/>
                <w:rFonts w:cs="Calibri"/>
                <w:color w:val="auto"/>
              </w:rPr>
              <w:t>10</w:t>
            </w:r>
            <w:r w:rsidR="00044F47">
              <w:rPr>
                <w:rStyle w:val="PlaceholderText"/>
                <w:rFonts w:cs="Calibri"/>
                <w:color w:val="auto"/>
              </w:rPr>
              <w:t>/</w:t>
            </w:r>
            <w:r w:rsidRPr="7BAAF4A3">
              <w:rPr>
                <w:rStyle w:val="PlaceholderText"/>
                <w:rFonts w:cs="Calibri"/>
                <w:color w:val="auto"/>
              </w:rPr>
              <w:t>2025</w:t>
            </w:r>
          </w:p>
        </w:tc>
      </w:tr>
    </w:tbl>
    <w:bookmarkEnd w:id="0"/>
    <w:p w14:paraId="0C52EB01" w14:textId="4F23AF32" w:rsidR="00A86D70" w:rsidRDefault="00B01CC9" w:rsidP="00A86D70">
      <w:pPr>
        <w:pStyle w:val="Heading1"/>
      </w:pPr>
      <w:r>
        <w:t>Change Representation</w:t>
      </w:r>
    </w:p>
    <w:tbl>
      <w:tblPr>
        <w:tblStyle w:val="ListTable3"/>
        <w:tblW w:w="9093" w:type="dxa"/>
        <w:tblLook w:val="04A0" w:firstRow="1" w:lastRow="0" w:firstColumn="1" w:lastColumn="0" w:noHBand="0" w:noVBand="1"/>
      </w:tblPr>
      <w:tblGrid>
        <w:gridCol w:w="2830"/>
        <w:gridCol w:w="6263"/>
      </w:tblGrid>
      <w:tr w:rsidR="00A86D70" w:rsidRPr="00CE732A" w14:paraId="46EF9A5A" w14:textId="77777777" w:rsidTr="7BAAF4A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F5F7FF" w:themeColor="background2"/>
              <w:right w:val="single" w:sz="4" w:space="0" w:color="212133" w:themeColor="text2"/>
            </w:tcBorders>
            <w:shd w:val="clear" w:color="auto" w:fill="212133" w:themeFill="text2"/>
            <w:vAlign w:val="center"/>
          </w:tcPr>
          <w:p w14:paraId="5FE01D72" w14:textId="002C9D53" w:rsidR="00A86D70" w:rsidRPr="00CE732A" w:rsidRDefault="00A86D70" w:rsidP="00B30513">
            <w:pPr>
              <w:jc w:val="right"/>
              <w:rPr>
                <w:b w:val="0"/>
                <w:bCs w:val="0"/>
                <w:color w:val="FFFFFF"/>
              </w:rPr>
            </w:pPr>
            <w:r w:rsidRPr="00787779">
              <w:rPr>
                <w:b w:val="0"/>
                <w:bCs w:val="0"/>
                <w:color w:val="FFFFFF"/>
              </w:rPr>
              <w:t>Action Required:</w:t>
            </w:r>
          </w:p>
        </w:tc>
        <w:tc>
          <w:tcPr>
            <w:tcW w:w="6263" w:type="dxa"/>
            <w:tcBorders>
              <w:left w:val="single" w:sz="4" w:space="0" w:color="212133" w:themeColor="text2"/>
              <w:right w:val="single" w:sz="4" w:space="0" w:color="212133" w:themeColor="text2"/>
            </w:tcBorders>
            <w:shd w:val="clear" w:color="auto" w:fill="FFFFFF"/>
            <w:vAlign w:val="center"/>
          </w:tcPr>
          <w:p w14:paraId="33D67FBF" w14:textId="19E954A5" w:rsidR="00A86D70" w:rsidRPr="00CE732A" w:rsidRDefault="37D49FC8" w:rsidP="7EA55C80">
            <w:pPr>
              <w:spacing w:line="259" w:lineRule="auto"/>
              <w:cnfStyle w:val="100000000000" w:firstRow="1" w:lastRow="0" w:firstColumn="0" w:lastColumn="0" w:oddVBand="0" w:evenVBand="0" w:oddHBand="0" w:evenHBand="0" w:firstRowFirstColumn="0" w:firstRowLastColumn="0" w:lastRowFirstColumn="0" w:lastRowLastColumn="0"/>
              <w:rPr>
                <w:color w:val="212133" w:themeColor="text2"/>
              </w:rPr>
            </w:pPr>
            <w:r w:rsidRPr="7EA55C80">
              <w:rPr>
                <w:b w:val="0"/>
                <w:bCs w:val="0"/>
                <w:color w:val="212133" w:themeColor="text2"/>
              </w:rPr>
              <w:t>For Representation</w:t>
            </w:r>
          </w:p>
        </w:tc>
      </w:tr>
      <w:tr w:rsidR="00A86D70" w:rsidRPr="00CE732A" w14:paraId="1442C3AB" w14:textId="77777777" w:rsidTr="7BAAF4A3">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5F7FF" w:themeColor="background2"/>
              <w:bottom w:val="single" w:sz="4" w:space="0" w:color="F5F7FF" w:themeColor="background2"/>
              <w:right w:val="single" w:sz="4" w:space="0" w:color="212133" w:themeColor="text2"/>
            </w:tcBorders>
            <w:shd w:val="clear" w:color="auto" w:fill="212133" w:themeFill="text2"/>
            <w:vAlign w:val="center"/>
          </w:tcPr>
          <w:p w14:paraId="710151F9" w14:textId="46DC711B" w:rsidR="00A86D70" w:rsidRPr="00CE732A" w:rsidRDefault="00A86D70" w:rsidP="00B30513">
            <w:pPr>
              <w:jc w:val="right"/>
              <w:rPr>
                <w:b w:val="0"/>
                <w:bCs w:val="0"/>
                <w:color w:val="FFFFFF"/>
              </w:rPr>
            </w:pPr>
            <w:r w:rsidRPr="00787779">
              <w:rPr>
                <w:b w:val="0"/>
                <w:bCs w:val="0"/>
                <w:color w:val="FFFFFF"/>
              </w:rPr>
              <w:t>Close Out Date:</w:t>
            </w:r>
          </w:p>
        </w:tc>
        <w:tc>
          <w:tcPr>
            <w:tcW w:w="6263" w:type="dxa"/>
            <w:tcBorders>
              <w:left w:val="single" w:sz="4" w:space="0" w:color="212133" w:themeColor="text2"/>
              <w:right w:val="single" w:sz="4" w:space="0" w:color="212133" w:themeColor="text2"/>
            </w:tcBorders>
            <w:vAlign w:val="center"/>
          </w:tcPr>
          <w:p w14:paraId="5AB2B125" w14:textId="2BCE9694" w:rsidR="00A86D70" w:rsidRPr="00CE732A" w:rsidRDefault="00C9514D" w:rsidP="7BAAF4A3">
            <w:pPr>
              <w:cnfStyle w:val="000000100000" w:firstRow="0" w:lastRow="0" w:firstColumn="0" w:lastColumn="0" w:oddVBand="0" w:evenVBand="0" w:oddHBand="1" w:evenHBand="0" w:firstRowFirstColumn="0" w:firstRowLastColumn="0" w:lastRowFirstColumn="0" w:lastRowLastColumn="0"/>
              <w:rPr>
                <w:rFonts w:cs="Calibri"/>
              </w:rPr>
            </w:pPr>
            <w:r>
              <w:rPr>
                <w:rFonts w:cs="Calibri"/>
              </w:rPr>
              <w:t>27/10/25</w:t>
            </w:r>
          </w:p>
        </w:tc>
      </w:tr>
    </w:tbl>
    <w:p w14:paraId="56BA3512" w14:textId="0E244916" w:rsidR="00A86D70" w:rsidRDefault="00A86D70" w:rsidP="00A86D70">
      <w:pPr>
        <w:pStyle w:val="Heading1"/>
      </w:pPr>
      <w:r>
        <w:t xml:space="preserve">Change </w:t>
      </w:r>
      <w:r w:rsidR="00787779">
        <w:t>Detail</w:t>
      </w:r>
    </w:p>
    <w:tbl>
      <w:tblPr>
        <w:tblStyle w:val="ListTable3"/>
        <w:tblW w:w="9093" w:type="dxa"/>
        <w:tblLook w:val="04A0" w:firstRow="1" w:lastRow="0" w:firstColumn="1" w:lastColumn="0" w:noHBand="0" w:noVBand="1"/>
      </w:tblPr>
      <w:tblGrid>
        <w:gridCol w:w="2830"/>
        <w:gridCol w:w="6263"/>
      </w:tblGrid>
      <w:tr w:rsidR="00A86D70" w:rsidRPr="00CE732A" w14:paraId="5553E9FD" w14:textId="77777777" w:rsidTr="79E3EC47">
        <w:trPr>
          <w:cnfStyle w:val="100000000000" w:firstRow="1" w:lastRow="0" w:firstColumn="0" w:lastColumn="0" w:oddVBand="0" w:evenVBand="0" w:oddHBand="0" w:evenHBand="0" w:firstRowFirstColumn="0" w:firstRowLastColumn="0" w:lastRowFirstColumn="0" w:lastRowLastColumn="0"/>
          <w:trHeight w:val="444"/>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FFFFFF"/>
              <w:right w:val="single" w:sz="4" w:space="0" w:color="212133" w:themeColor="text2"/>
            </w:tcBorders>
            <w:shd w:val="clear" w:color="auto" w:fill="212133" w:themeFill="text2"/>
            <w:vAlign w:val="center"/>
          </w:tcPr>
          <w:p w14:paraId="79D0F2C9" w14:textId="2757629E" w:rsidR="00A86D70" w:rsidRPr="00CE732A" w:rsidRDefault="00A86D70" w:rsidP="00B30513">
            <w:pPr>
              <w:jc w:val="right"/>
              <w:rPr>
                <w:b w:val="0"/>
                <w:bCs w:val="0"/>
                <w:color w:val="FFFFFF"/>
              </w:rPr>
            </w:pPr>
            <w:r w:rsidRPr="00787779">
              <w:rPr>
                <w:b w:val="0"/>
                <w:bCs w:val="0"/>
                <w:color w:val="FFFFFF"/>
              </w:rPr>
              <w:t>Xoserve reference N</w:t>
            </w:r>
            <w:r w:rsidR="00787779" w:rsidRPr="00787779">
              <w:rPr>
                <w:b w:val="0"/>
                <w:bCs w:val="0"/>
                <w:color w:val="FFFFFF"/>
              </w:rPr>
              <w:t>umber</w:t>
            </w:r>
            <w:r w:rsidRPr="00787779">
              <w:rPr>
                <w:b w:val="0"/>
                <w:bCs w:val="0"/>
                <w:color w:val="FFFFFF"/>
              </w:rPr>
              <w:t>:</w:t>
            </w:r>
          </w:p>
        </w:tc>
        <w:tc>
          <w:tcPr>
            <w:tcW w:w="6263" w:type="dxa"/>
            <w:tcBorders>
              <w:left w:val="single" w:sz="4" w:space="0" w:color="212133" w:themeColor="text2"/>
              <w:right w:val="single" w:sz="4" w:space="0" w:color="212133" w:themeColor="text2"/>
            </w:tcBorders>
            <w:shd w:val="clear" w:color="auto" w:fill="FFFFFF"/>
            <w:vAlign w:val="center"/>
          </w:tcPr>
          <w:p w14:paraId="5FFF0446" w14:textId="6283929E" w:rsidR="00A86D70" w:rsidRPr="00C9514D" w:rsidRDefault="7ABB2997" w:rsidP="00D16007">
            <w:pPr>
              <w:cnfStyle w:val="100000000000" w:firstRow="1" w:lastRow="0" w:firstColumn="0" w:lastColumn="0" w:oddVBand="0" w:evenVBand="0" w:oddHBand="0" w:evenHBand="0" w:firstRowFirstColumn="0" w:firstRowLastColumn="0" w:lastRowFirstColumn="0" w:lastRowLastColumn="0"/>
              <w:rPr>
                <w:b w:val="0"/>
                <w:bCs w:val="0"/>
              </w:rPr>
            </w:pPr>
            <w:r w:rsidRPr="00C9514D">
              <w:rPr>
                <w:b w:val="0"/>
                <w:bCs w:val="0"/>
              </w:rPr>
              <w:t>XRN</w:t>
            </w:r>
            <w:r w:rsidR="00044F47" w:rsidRPr="00C9514D">
              <w:rPr>
                <w:b w:val="0"/>
                <w:bCs w:val="0"/>
              </w:rPr>
              <w:t xml:space="preserve"> </w:t>
            </w:r>
            <w:r w:rsidRPr="00C9514D">
              <w:rPr>
                <w:b w:val="0"/>
                <w:bCs w:val="0"/>
              </w:rPr>
              <w:t>5732</w:t>
            </w:r>
          </w:p>
        </w:tc>
      </w:tr>
      <w:tr w:rsidR="007E3E11" w:rsidRPr="00CE732A" w14:paraId="7E2848B9" w14:textId="77777777" w:rsidTr="79E3EC4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single" w:sz="4" w:space="0" w:color="FFFFFF"/>
              <w:right w:val="single" w:sz="4" w:space="0" w:color="212133" w:themeColor="text2"/>
            </w:tcBorders>
            <w:shd w:val="clear" w:color="auto" w:fill="212133" w:themeFill="text2"/>
            <w:vAlign w:val="center"/>
          </w:tcPr>
          <w:p w14:paraId="3B391C74" w14:textId="45DC9823" w:rsidR="007E3E11" w:rsidRPr="007E3E11" w:rsidRDefault="007E3E11" w:rsidP="00B30513">
            <w:pPr>
              <w:jc w:val="right"/>
              <w:rPr>
                <w:b w:val="0"/>
                <w:bCs w:val="0"/>
                <w:color w:val="FFFFFF"/>
              </w:rPr>
            </w:pPr>
            <w:r w:rsidRPr="007E3E11">
              <w:rPr>
                <w:b w:val="0"/>
                <w:bCs w:val="0"/>
                <w:color w:val="FFFFFF"/>
              </w:rPr>
              <w:t>Change Class:</w:t>
            </w:r>
          </w:p>
        </w:tc>
        <w:tc>
          <w:tcPr>
            <w:tcW w:w="6263" w:type="dxa"/>
            <w:tcBorders>
              <w:left w:val="single" w:sz="4" w:space="0" w:color="212133" w:themeColor="text2"/>
              <w:right w:val="single" w:sz="4" w:space="0" w:color="212133" w:themeColor="text2"/>
            </w:tcBorders>
            <w:vAlign w:val="center"/>
          </w:tcPr>
          <w:p w14:paraId="19055F5E" w14:textId="3485C4A4" w:rsidR="007E3E11" w:rsidRPr="00CE732A" w:rsidRDefault="453A7421" w:rsidP="7BAAF4A3">
            <w:pPr>
              <w:spacing w:line="259" w:lineRule="auto"/>
              <w:cnfStyle w:val="000000100000" w:firstRow="0" w:lastRow="0" w:firstColumn="0" w:lastColumn="0" w:oddVBand="0" w:evenVBand="0" w:oddHBand="1" w:evenHBand="0" w:firstRowFirstColumn="0" w:firstRowLastColumn="0" w:lastRowFirstColumn="0" w:lastRowLastColumn="0"/>
            </w:pPr>
            <w:r>
              <w:t>Functional Change</w:t>
            </w:r>
          </w:p>
        </w:tc>
      </w:tr>
      <w:tr w:rsidR="00A86D70" w:rsidRPr="00CE732A" w14:paraId="05B58F16" w14:textId="77777777" w:rsidTr="79E3EC47">
        <w:trPr>
          <w:trHeight w:val="423"/>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single" w:sz="4" w:space="0" w:color="FFFFFF"/>
              <w:right w:val="single" w:sz="4" w:space="0" w:color="212133" w:themeColor="text2"/>
            </w:tcBorders>
            <w:shd w:val="clear" w:color="auto" w:fill="212133" w:themeFill="text2"/>
            <w:vAlign w:val="center"/>
          </w:tcPr>
          <w:p w14:paraId="0F4472B8" w14:textId="37951E59" w:rsidR="00A86D70" w:rsidRPr="00CE732A" w:rsidRDefault="00787779" w:rsidP="00B30513">
            <w:pPr>
              <w:jc w:val="right"/>
              <w:rPr>
                <w:b w:val="0"/>
                <w:bCs w:val="0"/>
                <w:color w:val="FFFFFF"/>
              </w:rPr>
            </w:pPr>
            <w:r>
              <w:rPr>
                <w:b w:val="0"/>
                <w:bCs w:val="0"/>
                <w:color w:val="FFFFFF"/>
              </w:rPr>
              <w:t>*ChMC Constituency Impacted</w:t>
            </w:r>
          </w:p>
        </w:tc>
        <w:tc>
          <w:tcPr>
            <w:tcW w:w="6263" w:type="dxa"/>
            <w:tcBorders>
              <w:left w:val="single" w:sz="4" w:space="0" w:color="212133" w:themeColor="text2"/>
              <w:right w:val="single" w:sz="4" w:space="0" w:color="212133" w:themeColor="text2"/>
            </w:tcBorders>
            <w:vAlign w:val="center"/>
          </w:tcPr>
          <w:p w14:paraId="2D314777" w14:textId="18ADDBAF" w:rsidR="00A86D70" w:rsidRPr="00CE732A" w:rsidRDefault="19026700" w:rsidP="00D16007">
            <w:pPr>
              <w:cnfStyle w:val="000000000000" w:firstRow="0" w:lastRow="0" w:firstColumn="0" w:lastColumn="0" w:oddVBand="0" w:evenVBand="0" w:oddHBand="0" w:evenHBand="0" w:firstRowFirstColumn="0" w:firstRowLastColumn="0" w:lastRowFirstColumn="0" w:lastRowLastColumn="0"/>
            </w:pPr>
            <w:r>
              <w:t>IGT</w:t>
            </w:r>
          </w:p>
          <w:p w14:paraId="4FF1AE39" w14:textId="5AEFE943" w:rsidR="00A86D70" w:rsidRPr="00CE732A" w:rsidRDefault="19026700" w:rsidP="00D16007">
            <w:pPr>
              <w:cnfStyle w:val="000000000000" w:firstRow="0" w:lastRow="0" w:firstColumn="0" w:lastColumn="0" w:oddVBand="0" w:evenVBand="0" w:oddHBand="0" w:evenHBand="0" w:firstRowFirstColumn="0" w:firstRowLastColumn="0" w:lastRowFirstColumn="0" w:lastRowLastColumn="0"/>
            </w:pPr>
            <w:r>
              <w:t>Shipper</w:t>
            </w:r>
          </w:p>
        </w:tc>
      </w:tr>
      <w:tr w:rsidR="00A86D70" w:rsidRPr="00CE732A" w14:paraId="4C3EB150" w14:textId="77777777" w:rsidTr="79E3EC47">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single" w:sz="4" w:space="0" w:color="FFFFFF"/>
              <w:right w:val="single" w:sz="4" w:space="0" w:color="212133" w:themeColor="text2"/>
            </w:tcBorders>
            <w:shd w:val="clear" w:color="auto" w:fill="212133" w:themeFill="text2"/>
            <w:vAlign w:val="center"/>
          </w:tcPr>
          <w:p w14:paraId="213EF252" w14:textId="26CD688B" w:rsidR="00A86D70" w:rsidRPr="00CE732A" w:rsidRDefault="00787779" w:rsidP="00B30513">
            <w:pPr>
              <w:jc w:val="right"/>
              <w:rPr>
                <w:b w:val="0"/>
                <w:bCs w:val="0"/>
                <w:color w:val="FFFFFF"/>
              </w:rPr>
            </w:pPr>
            <w:r>
              <w:rPr>
                <w:b w:val="0"/>
                <w:bCs w:val="0"/>
                <w:color w:val="FFFFFF"/>
              </w:rPr>
              <w:t>Change Owner</w:t>
            </w:r>
            <w:r w:rsidR="00A86D70" w:rsidRPr="00787779">
              <w:rPr>
                <w:b w:val="0"/>
                <w:bCs w:val="0"/>
                <w:color w:val="FFFFFF"/>
              </w:rPr>
              <w:t>:</w:t>
            </w:r>
          </w:p>
        </w:tc>
        <w:tc>
          <w:tcPr>
            <w:tcW w:w="6263" w:type="dxa"/>
            <w:tcBorders>
              <w:left w:val="single" w:sz="4" w:space="0" w:color="212133" w:themeColor="text2"/>
              <w:right w:val="single" w:sz="4" w:space="0" w:color="212133" w:themeColor="text2"/>
            </w:tcBorders>
            <w:vAlign w:val="center"/>
          </w:tcPr>
          <w:p w14:paraId="06E2F787" w14:textId="4BFB1F83" w:rsidR="00A86D70" w:rsidRPr="00CE732A" w:rsidRDefault="1BE56DF4" w:rsidP="27712D68">
            <w:pPr>
              <w:cnfStyle w:val="000000100000" w:firstRow="0" w:lastRow="0" w:firstColumn="0" w:lastColumn="0" w:oddVBand="0" w:evenVBand="0" w:oddHBand="1" w:evenHBand="0" w:firstRowFirstColumn="0" w:firstRowLastColumn="0" w:lastRowFirstColumn="0" w:lastRowLastColumn="0"/>
              <w:rPr>
                <w:rFonts w:eastAsia="Century Gothic" w:cs="Century Gothic"/>
              </w:rPr>
            </w:pPr>
            <w:hyperlink r:id="rId11">
              <w:r w:rsidRPr="27712D68">
                <w:rPr>
                  <w:rStyle w:val="Hyperlink"/>
                  <w:rFonts w:ascii="Arial" w:eastAsia="Arial" w:hAnsi="Arial" w:cs="Arial"/>
                  <w:color w:val="6440A3"/>
                  <w:sz w:val="22"/>
                  <w:szCs w:val="22"/>
                </w:rPr>
                <w:t>uklinkdelivery@xoserve.com</w:t>
              </w:r>
            </w:hyperlink>
          </w:p>
        </w:tc>
      </w:tr>
      <w:tr w:rsidR="00787779" w:rsidRPr="00CE732A" w14:paraId="340AFDD1" w14:textId="77777777" w:rsidTr="79E3EC47">
        <w:trPr>
          <w:trHeight w:val="2898"/>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single" w:sz="4" w:space="0" w:color="F5F7FF" w:themeColor="background2"/>
              <w:right w:val="single" w:sz="4" w:space="0" w:color="212133" w:themeColor="text2"/>
            </w:tcBorders>
            <w:shd w:val="clear" w:color="auto" w:fill="212133" w:themeFill="text2"/>
            <w:vAlign w:val="center"/>
          </w:tcPr>
          <w:p w14:paraId="5C457A47" w14:textId="107D5296" w:rsidR="00787779" w:rsidRDefault="00B30513" w:rsidP="00B30513">
            <w:pPr>
              <w:jc w:val="right"/>
              <w:rPr>
                <w:b w:val="0"/>
                <w:bCs w:val="0"/>
                <w:color w:val="FFFFFF"/>
              </w:rPr>
            </w:pPr>
            <w:r w:rsidRPr="00B30513">
              <w:rPr>
                <w:b w:val="0"/>
                <w:bCs w:val="0"/>
                <w:color w:val="FFFFFF"/>
              </w:rPr>
              <w:t>Background and Context:</w:t>
            </w:r>
          </w:p>
        </w:tc>
        <w:tc>
          <w:tcPr>
            <w:tcW w:w="6263" w:type="dxa"/>
            <w:tcBorders>
              <w:left w:val="single" w:sz="4" w:space="0" w:color="212133" w:themeColor="text2"/>
              <w:right w:val="single" w:sz="4" w:space="0" w:color="212133" w:themeColor="text2"/>
            </w:tcBorders>
            <w:vAlign w:val="center"/>
          </w:tcPr>
          <w:p w14:paraId="5FD11AB9" w14:textId="405F4E7C" w:rsidR="00787779" w:rsidRPr="00CE732A" w:rsidRDefault="7EB5A6FB" w:rsidP="00701EE3">
            <w:pPr>
              <w:jc w:val="both"/>
              <w:cnfStyle w:val="000000000000" w:firstRow="0" w:lastRow="0" w:firstColumn="0" w:lastColumn="0" w:oddVBand="0" w:evenVBand="0" w:oddHBand="0" w:evenHBand="0" w:firstRowFirstColumn="0" w:firstRowLastColumn="0" w:lastRowFirstColumn="0" w:lastRowLastColumn="0"/>
            </w:pPr>
            <w:r>
              <w:t>Existing DSC processes which cover arrangements introduced under UNC Modifications (MOD) 0424, 0425, MOD455, MOD410, MOD410A and MOD 0431/641s process</w:t>
            </w:r>
            <w:r w:rsidR="5B8A4102">
              <w:t>es</w:t>
            </w:r>
            <w:r>
              <w:t xml:space="preserve">, in addition to related services provided to Distribution Network customers to facilitate GS(I&amp;U) R (Gas Safety Register) obligations, were not included within the scope of IGT039 </w:t>
            </w:r>
            <w:r w:rsidR="667A392D">
              <w:t>(</w:t>
            </w:r>
            <w:r>
              <w:t>Use of a Single Gas Transporter Agency for the common services, systems and processes</w:t>
            </w:r>
            <w:r w:rsidR="07CEFA0D">
              <w:t>)</w:t>
            </w:r>
            <w:r>
              <w:t xml:space="preserve">  required by the IGT (Independent Gas Transporter)</w:t>
            </w:r>
            <w:r w:rsidR="00BA5769">
              <w:t xml:space="preserve"> </w:t>
            </w:r>
            <w:r>
              <w:t xml:space="preserve">UNC (Uniform Network Code), and UNC Modification 0440 - Project Nexus – IGT Single Service Provision, respectively. </w:t>
            </w:r>
          </w:p>
          <w:p w14:paraId="082E84EF" w14:textId="4995BA50" w:rsidR="00787779" w:rsidRPr="00CE732A" w:rsidRDefault="00787779" w:rsidP="5F7A756E">
            <w:pPr>
              <w:jc w:val="both"/>
              <w:cnfStyle w:val="000000000000" w:firstRow="0" w:lastRow="0" w:firstColumn="0" w:lastColumn="0" w:oddVBand="0" w:evenVBand="0" w:oddHBand="0" w:evenHBand="0" w:firstRowFirstColumn="0" w:firstRowLastColumn="0" w:lastRowFirstColumn="0" w:lastRowLastColumn="0"/>
            </w:pPr>
          </w:p>
          <w:p w14:paraId="240C5CA2" w14:textId="52BB2941" w:rsidR="00787779" w:rsidRPr="00CE732A" w:rsidRDefault="668E9BBA" w:rsidP="5F7A756E">
            <w:pPr>
              <w:jc w:val="both"/>
              <w:cnfStyle w:val="000000000000" w:firstRow="0" w:lastRow="0" w:firstColumn="0" w:lastColumn="0" w:oddVBand="0" w:evenVBand="0" w:oddHBand="0" w:evenHBand="0" w:firstRowFirstColumn="0" w:firstRowLastColumn="0" w:lastRowFirstColumn="0" w:lastRowLastColumn="0"/>
            </w:pPr>
            <w:r>
              <w:t>Following implementation of the above Modifications there has therefore been a disparity in treatment and services afforded to IGT Supply Meter Points.</w:t>
            </w:r>
          </w:p>
          <w:p w14:paraId="068B2185" w14:textId="3DBDF56C" w:rsidR="00787779" w:rsidRPr="00CE732A" w:rsidRDefault="668E9BBA" w:rsidP="5F7A756E">
            <w:pPr>
              <w:jc w:val="both"/>
              <w:cnfStyle w:val="000000000000" w:firstRow="0" w:lastRow="0" w:firstColumn="0" w:lastColumn="0" w:oddVBand="0" w:evenVBand="0" w:oddHBand="0" w:evenHBand="0" w:firstRowFirstColumn="0" w:firstRowLastColumn="0" w:lastRowFirstColumn="0" w:lastRowLastColumn="0"/>
            </w:pPr>
            <w:r>
              <w:t xml:space="preserve">It has become increasingly apparent that benefits could be achieved for Shippers and IGTs if these services can be mutualised and disparity in the </w:t>
            </w:r>
            <w:r>
              <w:lastRenderedPageBreak/>
              <w:t>treatment of IGT Supply Meter Points can be removed from the related processes.</w:t>
            </w:r>
            <w:r w:rsidR="2555BD02">
              <w:t xml:space="preserve">   </w:t>
            </w:r>
          </w:p>
          <w:p w14:paraId="3A55A999" w14:textId="449B77C1" w:rsidR="00787779" w:rsidRPr="00CE732A" w:rsidRDefault="00787779" w:rsidP="5F7A756E">
            <w:pPr>
              <w:jc w:val="both"/>
              <w:cnfStyle w:val="000000000000" w:firstRow="0" w:lastRow="0" w:firstColumn="0" w:lastColumn="0" w:oddVBand="0" w:evenVBand="0" w:oddHBand="0" w:evenHBand="0" w:firstRowFirstColumn="0" w:firstRowLastColumn="0" w:lastRowFirstColumn="0" w:lastRowLastColumn="0"/>
            </w:pPr>
          </w:p>
          <w:p w14:paraId="2E03DA6B" w14:textId="1A5C54C5" w:rsidR="00787779" w:rsidRPr="00CE732A" w:rsidRDefault="1EB8985C" w:rsidP="2A5DED67">
            <w:pPr>
              <w:jc w:val="both"/>
              <w:cnfStyle w:val="000000000000" w:firstRow="0" w:lastRow="0" w:firstColumn="0" w:lastColumn="0" w:oddVBand="0" w:evenVBand="0" w:oddHBand="0" w:evenHBand="0" w:firstRowFirstColumn="0" w:firstRowLastColumn="0" w:lastRowFirstColumn="0" w:lastRowLastColumn="0"/>
              <w:rPr>
                <w:rFonts w:eastAsia="Aptos"/>
              </w:rPr>
            </w:pPr>
            <w:r w:rsidRPr="7EA55C80">
              <w:rPr>
                <w:rFonts w:eastAsia="Aptos"/>
              </w:rPr>
              <w:t xml:space="preserve">The scope of this change includes ‘MUS’ and ‘GSR’ processes for the IGTs related to the MOD424, MOD425, MOD455, MOD410/410A and </w:t>
            </w:r>
            <w:r w:rsidR="3C23CD7D">
              <w:t>MOD 0431/641s</w:t>
            </w:r>
            <w:r w:rsidR="3C23CD7D" w:rsidRPr="7EA55C80">
              <w:rPr>
                <w:rFonts w:eastAsia="Aptos"/>
              </w:rPr>
              <w:t xml:space="preserve"> and </w:t>
            </w:r>
            <w:r w:rsidRPr="7EA55C80">
              <w:rPr>
                <w:rFonts w:eastAsia="Aptos"/>
              </w:rPr>
              <w:t xml:space="preserve">any associated processes </w:t>
            </w:r>
            <w:r w:rsidR="5388E015" w:rsidRPr="7EA55C80">
              <w:rPr>
                <w:rFonts w:eastAsia="Aptos"/>
              </w:rPr>
              <w:t xml:space="preserve">and reports </w:t>
            </w:r>
            <w:r w:rsidRPr="7EA55C80">
              <w:rPr>
                <w:rFonts w:eastAsia="Aptos"/>
              </w:rPr>
              <w:t>related to these above MODs currently undertaken under DSC contract for GTs (Gas Transporters) to be extended ‘As Is’ for the IGTs (Independent Gas Transporters)</w:t>
            </w:r>
            <w:r w:rsidR="55C572A4" w:rsidRPr="7EA55C80">
              <w:rPr>
                <w:rFonts w:eastAsia="Aptos"/>
              </w:rPr>
              <w:t xml:space="preserve">.          </w:t>
            </w:r>
          </w:p>
          <w:p w14:paraId="785C50EE" w14:textId="736BC626" w:rsidR="00787779" w:rsidRPr="00CE732A" w:rsidRDefault="00787779" w:rsidP="2A5DED67">
            <w:pPr>
              <w:jc w:val="both"/>
              <w:cnfStyle w:val="000000000000" w:firstRow="0" w:lastRow="0" w:firstColumn="0" w:lastColumn="0" w:oddVBand="0" w:evenVBand="0" w:oddHBand="0" w:evenHBand="0" w:firstRowFirstColumn="0" w:firstRowLastColumn="0" w:lastRowFirstColumn="0" w:lastRowLastColumn="0"/>
              <w:rPr>
                <w:rFonts w:eastAsia="Aptos"/>
              </w:rPr>
            </w:pPr>
          </w:p>
          <w:p w14:paraId="7070D792" w14:textId="5718907C" w:rsidR="00787779" w:rsidRPr="00CE732A" w:rsidRDefault="38984D6B" w:rsidP="2A5DED67">
            <w:pPr>
              <w:jc w:val="both"/>
              <w:cnfStyle w:val="000000000000" w:firstRow="0" w:lastRow="0" w:firstColumn="0" w:lastColumn="0" w:oddVBand="0" w:evenVBand="0" w:oddHBand="0" w:evenHBand="0" w:firstRowFirstColumn="0" w:firstRowLastColumn="0" w:lastRowFirstColumn="0" w:lastRowLastColumn="0"/>
              <w:rPr>
                <w:rFonts w:eastAsia="Aptos"/>
              </w:rPr>
            </w:pPr>
            <w:r w:rsidRPr="2A5DED67">
              <w:rPr>
                <w:rFonts w:eastAsia="Aptos"/>
              </w:rPr>
              <w:t>By implementing this process, benefits could be achieved for Shippers, IGTs and CDSP. To ensure IGT customers have an equivalent level of interaction and involvement in the DSC specified processes where necessary, to enable mutualised service coverage across DN and IGT customers.</w:t>
            </w:r>
          </w:p>
        </w:tc>
      </w:tr>
    </w:tbl>
    <w:p w14:paraId="651BBC8E" w14:textId="72DFA802" w:rsidR="00A86D70" w:rsidRDefault="007B562C" w:rsidP="006F6423">
      <w:pPr>
        <w:pStyle w:val="Heading1"/>
      </w:pPr>
      <w:r w:rsidRPr="007B562C">
        <w:lastRenderedPageBreak/>
        <w:t>Change Impact Assessment Dashboard</w:t>
      </w:r>
    </w:p>
    <w:tbl>
      <w:tblPr>
        <w:tblStyle w:val="ListTable3"/>
        <w:tblW w:w="9160" w:type="dxa"/>
        <w:tblLook w:val="04A0" w:firstRow="1" w:lastRow="0" w:firstColumn="1" w:lastColumn="0" w:noHBand="0" w:noVBand="1"/>
      </w:tblPr>
      <w:tblGrid>
        <w:gridCol w:w="2830"/>
        <w:gridCol w:w="6330"/>
      </w:tblGrid>
      <w:tr w:rsidR="0011248D" w:rsidRPr="00246DAC" w14:paraId="44062A7D" w14:textId="77777777" w:rsidTr="6F7537A3">
        <w:trPr>
          <w:cnfStyle w:val="100000000000" w:firstRow="1" w:lastRow="0" w:firstColumn="0" w:lastColumn="0" w:oddVBand="0" w:evenVBand="0" w:oddHBand="0" w:evenHBand="0" w:firstRowFirstColumn="0" w:firstRowLastColumn="0" w:lastRowFirstColumn="0" w:lastRowLastColumn="0"/>
          <w:trHeight w:val="444"/>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F5F7FF" w:themeColor="background2"/>
              <w:right w:val="single" w:sz="4" w:space="0" w:color="212133" w:themeColor="text2"/>
            </w:tcBorders>
            <w:shd w:val="clear" w:color="auto" w:fill="212133" w:themeFill="text2"/>
            <w:vAlign w:val="center"/>
          </w:tcPr>
          <w:p w14:paraId="23F8E1CC" w14:textId="69A15E73" w:rsidR="0011248D" w:rsidRPr="0011248D" w:rsidRDefault="0011248D" w:rsidP="0011248D">
            <w:pPr>
              <w:jc w:val="right"/>
              <w:rPr>
                <w:b w:val="0"/>
                <w:bCs w:val="0"/>
                <w:color w:val="FFFFFF"/>
              </w:rPr>
            </w:pPr>
            <w:r w:rsidRPr="0011248D">
              <w:rPr>
                <w:rFonts w:cs="Calibri"/>
                <w:b w:val="0"/>
                <w:bCs w:val="0"/>
                <w:color w:val="FFFFFF"/>
                <w:szCs w:val="20"/>
              </w:rPr>
              <w:t>Functional:</w:t>
            </w:r>
          </w:p>
        </w:tc>
        <w:tc>
          <w:tcPr>
            <w:tcW w:w="6330" w:type="dxa"/>
            <w:tcBorders>
              <w:left w:val="single" w:sz="4" w:space="0" w:color="212133" w:themeColor="text2"/>
              <w:right w:val="single" w:sz="4" w:space="0" w:color="212133" w:themeColor="text2"/>
            </w:tcBorders>
            <w:shd w:val="clear" w:color="auto" w:fill="FFFFFF"/>
            <w:vAlign w:val="center"/>
          </w:tcPr>
          <w:p w14:paraId="2F82FF54" w14:textId="2EFEAE67" w:rsidR="0011248D" w:rsidRPr="00246DAC" w:rsidRDefault="0110890C" w:rsidP="00D16007">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MUS (M</w:t>
            </w:r>
            <w:r w:rsidR="75AC886A">
              <w:rPr>
                <w:b w:val="0"/>
                <w:bCs w:val="0"/>
              </w:rPr>
              <w:t>anage</w:t>
            </w:r>
            <w:r>
              <w:rPr>
                <w:b w:val="0"/>
                <w:bCs w:val="0"/>
              </w:rPr>
              <w:t xml:space="preserve"> Unregistered Sites) </w:t>
            </w:r>
            <w:r w:rsidR="3FC931FA">
              <w:rPr>
                <w:b w:val="0"/>
                <w:bCs w:val="0"/>
              </w:rPr>
              <w:t>process</w:t>
            </w:r>
          </w:p>
          <w:p w14:paraId="495B4013" w14:textId="5DE4C274" w:rsidR="0011248D" w:rsidRPr="00246DAC" w:rsidRDefault="0110890C" w:rsidP="00D16007">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GSR (Gas Safety Reg</w:t>
            </w:r>
            <w:r w:rsidR="00BC0083">
              <w:rPr>
                <w:b w:val="0"/>
                <w:bCs w:val="0"/>
              </w:rPr>
              <w:t>ister</w:t>
            </w:r>
            <w:r>
              <w:rPr>
                <w:b w:val="0"/>
                <w:bCs w:val="0"/>
              </w:rPr>
              <w:t>)</w:t>
            </w:r>
            <w:r w:rsidR="090C2517">
              <w:rPr>
                <w:b w:val="0"/>
                <w:bCs w:val="0"/>
              </w:rPr>
              <w:t xml:space="preserve"> process</w:t>
            </w:r>
          </w:p>
          <w:p w14:paraId="1DFB129F" w14:textId="651FEA03" w:rsidR="0011248D" w:rsidRPr="00246DAC" w:rsidRDefault="3BBF91B5" w:rsidP="00D16007">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Reports</w:t>
            </w:r>
            <w:r w:rsidR="6E0BE940">
              <w:rPr>
                <w:b w:val="0"/>
                <w:bCs w:val="0"/>
              </w:rPr>
              <w:t xml:space="preserve"> </w:t>
            </w:r>
          </w:p>
        </w:tc>
      </w:tr>
      <w:tr w:rsidR="0011248D" w:rsidRPr="00246DAC" w14:paraId="507FCE20" w14:textId="77777777" w:rsidTr="6F7537A3">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5F7FF" w:themeColor="background2"/>
              <w:bottom w:val="single" w:sz="4" w:space="0" w:color="F5F7FF" w:themeColor="background2"/>
              <w:right w:val="single" w:sz="4" w:space="0" w:color="212133" w:themeColor="text2"/>
            </w:tcBorders>
            <w:shd w:val="clear" w:color="auto" w:fill="212133" w:themeFill="text2"/>
            <w:vAlign w:val="center"/>
          </w:tcPr>
          <w:p w14:paraId="3B98D740" w14:textId="225F9605" w:rsidR="0011248D" w:rsidRPr="0011248D" w:rsidRDefault="0011248D" w:rsidP="0011248D">
            <w:pPr>
              <w:jc w:val="right"/>
              <w:rPr>
                <w:b w:val="0"/>
                <w:bCs w:val="0"/>
                <w:color w:val="FFFFFF"/>
              </w:rPr>
            </w:pPr>
            <w:r w:rsidRPr="0011248D">
              <w:rPr>
                <w:rFonts w:cs="Calibri"/>
                <w:b w:val="0"/>
                <w:bCs w:val="0"/>
                <w:color w:val="FFFFFF"/>
                <w:szCs w:val="20"/>
              </w:rPr>
              <w:t>Non-Functional:</w:t>
            </w:r>
          </w:p>
        </w:tc>
        <w:tc>
          <w:tcPr>
            <w:tcW w:w="6330" w:type="dxa"/>
            <w:tcBorders>
              <w:left w:val="single" w:sz="4" w:space="0" w:color="212133" w:themeColor="text2"/>
              <w:right w:val="single" w:sz="4" w:space="0" w:color="212133" w:themeColor="text2"/>
            </w:tcBorders>
            <w:vAlign w:val="center"/>
          </w:tcPr>
          <w:p w14:paraId="6618EAAA" w14:textId="664B6D49" w:rsidR="0011248D" w:rsidRPr="00246DAC" w:rsidRDefault="1110FAF9" w:rsidP="00D16007">
            <w:pPr>
              <w:cnfStyle w:val="000000100000" w:firstRow="0" w:lastRow="0" w:firstColumn="0" w:lastColumn="0" w:oddVBand="0" w:evenVBand="0" w:oddHBand="1" w:evenHBand="0" w:firstRowFirstColumn="0" w:firstRowLastColumn="0" w:lastRowFirstColumn="0" w:lastRowLastColumn="0"/>
            </w:pPr>
            <w:r>
              <w:t>Performance</w:t>
            </w:r>
          </w:p>
          <w:p w14:paraId="4CDA5527" w14:textId="413E57B4" w:rsidR="0011248D" w:rsidRPr="00246DAC" w:rsidRDefault="1110FAF9" w:rsidP="00D16007">
            <w:pPr>
              <w:cnfStyle w:val="000000100000" w:firstRow="0" w:lastRow="0" w:firstColumn="0" w:lastColumn="0" w:oddVBand="0" w:evenVBand="0" w:oddHBand="1" w:evenHBand="0" w:firstRowFirstColumn="0" w:firstRowLastColumn="0" w:lastRowFirstColumn="0" w:lastRowLastColumn="0"/>
            </w:pPr>
            <w:r>
              <w:t>Transaction Volume</w:t>
            </w:r>
          </w:p>
          <w:p w14:paraId="466EB98B" w14:textId="52CC3A45" w:rsidR="0011248D" w:rsidRPr="00246DAC" w:rsidRDefault="1110FAF9" w:rsidP="00D16007">
            <w:pPr>
              <w:cnfStyle w:val="000000100000" w:firstRow="0" w:lastRow="0" w:firstColumn="0" w:lastColumn="0" w:oddVBand="0" w:evenVBand="0" w:oddHBand="1" w:evenHBand="0" w:firstRowFirstColumn="0" w:firstRowLastColumn="0" w:lastRowFirstColumn="0" w:lastRowLastColumn="0"/>
            </w:pPr>
            <w:r>
              <w:t>Frequency</w:t>
            </w:r>
          </w:p>
          <w:p w14:paraId="0A99A49C" w14:textId="59E4A543" w:rsidR="0011248D" w:rsidRPr="00246DAC" w:rsidRDefault="1110FAF9" w:rsidP="00D16007">
            <w:pPr>
              <w:cnfStyle w:val="000000100000" w:firstRow="0" w:lastRow="0" w:firstColumn="0" w:lastColumn="0" w:oddVBand="0" w:evenVBand="0" w:oddHBand="1" w:evenHBand="0" w:firstRowFirstColumn="0" w:firstRowLastColumn="0" w:lastRowFirstColumn="0" w:lastRowLastColumn="0"/>
            </w:pPr>
            <w:r>
              <w:t>SLA and response time (as per BAU)</w:t>
            </w:r>
          </w:p>
          <w:p w14:paraId="341F99B7" w14:textId="0427D208" w:rsidR="0011248D" w:rsidRPr="00246DAC" w:rsidRDefault="1C240C14" w:rsidP="00D16007">
            <w:pPr>
              <w:cnfStyle w:val="000000100000" w:firstRow="0" w:lastRow="0" w:firstColumn="0" w:lastColumn="0" w:oddVBand="0" w:evenVBand="0" w:oddHBand="1" w:evenHBand="0" w:firstRowFirstColumn="0" w:firstRowLastColumn="0" w:lastRowFirstColumn="0" w:lastRowLastColumn="0"/>
            </w:pPr>
            <w:r>
              <w:t>Data archival</w:t>
            </w:r>
          </w:p>
          <w:p w14:paraId="45BDCA50" w14:textId="7E32CA56" w:rsidR="0011248D" w:rsidRPr="00246DAC" w:rsidRDefault="1C240C14" w:rsidP="00D16007">
            <w:pPr>
              <w:cnfStyle w:val="000000100000" w:firstRow="0" w:lastRow="0" w:firstColumn="0" w:lastColumn="0" w:oddVBand="0" w:evenVBand="0" w:oddHBand="1" w:evenHBand="0" w:firstRowFirstColumn="0" w:firstRowLastColumn="0" w:lastRowFirstColumn="0" w:lastRowLastColumn="0"/>
            </w:pPr>
            <w:r>
              <w:t>Data security</w:t>
            </w:r>
          </w:p>
          <w:p w14:paraId="718683EB" w14:textId="6FE1984A" w:rsidR="0011248D" w:rsidRPr="00246DAC" w:rsidRDefault="1C240C14" w:rsidP="00D16007">
            <w:pPr>
              <w:cnfStyle w:val="000000100000" w:firstRow="0" w:lastRow="0" w:firstColumn="0" w:lastColumn="0" w:oddVBand="0" w:evenVBand="0" w:oddHBand="1" w:evenHBand="0" w:firstRowFirstColumn="0" w:firstRowLastColumn="0" w:lastRowFirstColumn="0" w:lastRowLastColumn="0"/>
            </w:pPr>
            <w:r>
              <w:t>Data availability</w:t>
            </w:r>
          </w:p>
        </w:tc>
      </w:tr>
      <w:tr w:rsidR="0011248D" w:rsidRPr="00246DAC" w14:paraId="43B4A525" w14:textId="77777777" w:rsidTr="6F7537A3">
        <w:trPr>
          <w:trHeight w:val="415"/>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5F7FF" w:themeColor="background2"/>
              <w:bottom w:val="single" w:sz="4" w:space="0" w:color="F5F7FF" w:themeColor="background2"/>
              <w:right w:val="single" w:sz="4" w:space="0" w:color="212133" w:themeColor="text2"/>
            </w:tcBorders>
            <w:shd w:val="clear" w:color="auto" w:fill="212133" w:themeFill="text2"/>
            <w:vAlign w:val="center"/>
          </w:tcPr>
          <w:p w14:paraId="52136FED" w14:textId="480AF197" w:rsidR="0011248D" w:rsidRPr="0011248D" w:rsidRDefault="0011248D" w:rsidP="0011248D">
            <w:pPr>
              <w:jc w:val="right"/>
              <w:rPr>
                <w:b w:val="0"/>
                <w:bCs w:val="0"/>
                <w:color w:val="FFFFFF"/>
              </w:rPr>
            </w:pPr>
            <w:r w:rsidRPr="0011248D">
              <w:rPr>
                <w:rFonts w:cs="Calibri"/>
                <w:b w:val="0"/>
                <w:bCs w:val="0"/>
                <w:color w:val="FFFFFF"/>
                <w:szCs w:val="20"/>
              </w:rPr>
              <w:t>Application:</w:t>
            </w:r>
          </w:p>
        </w:tc>
        <w:tc>
          <w:tcPr>
            <w:tcW w:w="6330" w:type="dxa"/>
            <w:tcBorders>
              <w:left w:val="single" w:sz="4" w:space="0" w:color="212133" w:themeColor="text2"/>
              <w:right w:val="single" w:sz="4" w:space="0" w:color="212133" w:themeColor="text2"/>
            </w:tcBorders>
            <w:vAlign w:val="center"/>
          </w:tcPr>
          <w:p w14:paraId="6A13B02A" w14:textId="1B096B65" w:rsidR="0011248D" w:rsidRPr="00246DAC" w:rsidRDefault="65371DF7" w:rsidP="00D16007">
            <w:pPr>
              <w:cnfStyle w:val="000000000000" w:firstRow="0" w:lastRow="0" w:firstColumn="0" w:lastColumn="0" w:oddVBand="0" w:evenVBand="0" w:oddHBand="0" w:evenHBand="0" w:firstRowFirstColumn="0" w:firstRowLastColumn="0" w:lastRowFirstColumn="0" w:lastRowLastColumn="0"/>
            </w:pPr>
            <w:r>
              <w:t>SAP ISU</w:t>
            </w:r>
          </w:p>
          <w:p w14:paraId="2CDD2621" w14:textId="01BB59AF" w:rsidR="0011248D" w:rsidRPr="00246DAC" w:rsidRDefault="65371DF7" w:rsidP="00D16007">
            <w:pPr>
              <w:cnfStyle w:val="000000000000" w:firstRow="0" w:lastRow="0" w:firstColumn="0" w:lastColumn="0" w:oddVBand="0" w:evenVBand="0" w:oddHBand="0" w:evenHBand="0" w:firstRowFirstColumn="0" w:firstRowLastColumn="0" w:lastRowFirstColumn="0" w:lastRowLastColumn="0"/>
            </w:pPr>
            <w:r>
              <w:t>SAP BW</w:t>
            </w:r>
            <w:r w:rsidR="45D6BB12">
              <w:t>/ BO</w:t>
            </w:r>
          </w:p>
          <w:p w14:paraId="70E48A15" w14:textId="138BF038" w:rsidR="0011248D" w:rsidRPr="00246DAC" w:rsidRDefault="04EEB2ED" w:rsidP="00D16007">
            <w:pPr>
              <w:cnfStyle w:val="000000000000" w:firstRow="0" w:lastRow="0" w:firstColumn="0" w:lastColumn="0" w:oddVBand="0" w:evenVBand="0" w:oddHBand="0" w:evenHBand="0" w:firstRowFirstColumn="0" w:firstRowLastColumn="0" w:lastRowFirstColumn="0" w:lastRowLastColumn="0"/>
            </w:pPr>
            <w:r>
              <w:t>SAP PO</w:t>
            </w:r>
          </w:p>
          <w:p w14:paraId="6A0EEA47" w14:textId="5B6442C6" w:rsidR="0011248D" w:rsidRPr="00246DAC" w:rsidRDefault="65371DF7" w:rsidP="00D16007">
            <w:pPr>
              <w:cnfStyle w:val="000000000000" w:firstRow="0" w:lastRow="0" w:firstColumn="0" w:lastColumn="0" w:oddVBand="0" w:evenVBand="0" w:oddHBand="0" w:evenHBand="0" w:firstRowFirstColumn="0" w:firstRowLastColumn="0" w:lastRowFirstColumn="0" w:lastRowLastColumn="0"/>
            </w:pPr>
            <w:r>
              <w:t>CMS</w:t>
            </w:r>
          </w:p>
          <w:p w14:paraId="08001395" w14:textId="0AD0DC05" w:rsidR="0011248D" w:rsidRPr="00246DAC" w:rsidRDefault="7B10D57B" w:rsidP="7BAAF4A3">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t>UK Link</w:t>
            </w:r>
            <w:r w:rsidR="4CE00CA1">
              <w:t xml:space="preserve"> Portal</w:t>
            </w:r>
          </w:p>
          <w:p w14:paraId="4EB9A9D1" w14:textId="3420E3C0" w:rsidR="0011248D" w:rsidRPr="00246DAC" w:rsidRDefault="65371DF7" w:rsidP="00D16007">
            <w:pPr>
              <w:cnfStyle w:val="000000000000" w:firstRow="0" w:lastRow="0" w:firstColumn="0" w:lastColumn="0" w:oddVBand="0" w:evenVBand="0" w:oddHBand="0" w:evenHBand="0" w:firstRowFirstColumn="0" w:firstRowLastColumn="0" w:lastRowFirstColumn="0" w:lastRowLastColumn="0"/>
            </w:pPr>
            <w:r>
              <w:t>GES Application</w:t>
            </w:r>
          </w:p>
        </w:tc>
      </w:tr>
      <w:tr w:rsidR="0011248D" w:rsidRPr="00246DAC" w14:paraId="3C6E6695" w14:textId="77777777" w:rsidTr="6F7537A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5F7FF" w:themeColor="background2"/>
              <w:bottom w:val="nil"/>
              <w:right w:val="single" w:sz="4" w:space="0" w:color="212133" w:themeColor="text2"/>
            </w:tcBorders>
            <w:shd w:val="clear" w:color="auto" w:fill="212133" w:themeFill="text2"/>
            <w:vAlign w:val="center"/>
          </w:tcPr>
          <w:p w14:paraId="04305DB4" w14:textId="319F0753" w:rsidR="0011248D" w:rsidRPr="0011248D" w:rsidRDefault="0011248D" w:rsidP="0011248D">
            <w:pPr>
              <w:jc w:val="right"/>
              <w:rPr>
                <w:b w:val="0"/>
                <w:bCs w:val="0"/>
                <w:color w:val="FFFFFF"/>
              </w:rPr>
            </w:pPr>
            <w:r w:rsidRPr="0011248D">
              <w:rPr>
                <w:rFonts w:cs="Calibri"/>
                <w:b w:val="0"/>
                <w:bCs w:val="0"/>
                <w:color w:val="FFFFFF"/>
                <w:szCs w:val="20"/>
              </w:rPr>
              <w:t>User(s):</w:t>
            </w:r>
          </w:p>
        </w:tc>
        <w:tc>
          <w:tcPr>
            <w:tcW w:w="6330" w:type="dxa"/>
            <w:tcBorders>
              <w:left w:val="single" w:sz="4" w:space="0" w:color="212133" w:themeColor="text2"/>
              <w:right w:val="single" w:sz="4" w:space="0" w:color="212133" w:themeColor="text2"/>
            </w:tcBorders>
            <w:vAlign w:val="center"/>
          </w:tcPr>
          <w:p w14:paraId="6933B315" w14:textId="411F33BE" w:rsidR="0011248D" w:rsidRPr="00246DAC" w:rsidRDefault="79241C6F" w:rsidP="00D16007">
            <w:pPr>
              <w:cnfStyle w:val="000000100000" w:firstRow="0" w:lastRow="0" w:firstColumn="0" w:lastColumn="0" w:oddVBand="0" w:evenVBand="0" w:oddHBand="1" w:evenHBand="0" w:firstRowFirstColumn="0" w:firstRowLastColumn="0" w:lastRowFirstColumn="0" w:lastRowLastColumn="0"/>
            </w:pPr>
            <w:r>
              <w:t>IGT</w:t>
            </w:r>
          </w:p>
          <w:p w14:paraId="4E876D06" w14:textId="178479AA" w:rsidR="0011248D" w:rsidRPr="00246DAC" w:rsidRDefault="79241C6F" w:rsidP="00D16007">
            <w:pPr>
              <w:cnfStyle w:val="000000100000" w:firstRow="0" w:lastRow="0" w:firstColumn="0" w:lastColumn="0" w:oddVBand="0" w:evenVBand="0" w:oddHBand="1" w:evenHBand="0" w:firstRowFirstColumn="0" w:firstRowLastColumn="0" w:lastRowFirstColumn="0" w:lastRowLastColumn="0"/>
            </w:pPr>
            <w:r>
              <w:t>Shipper</w:t>
            </w:r>
          </w:p>
        </w:tc>
      </w:tr>
      <w:tr w:rsidR="0011248D" w:rsidRPr="00246DAC" w14:paraId="31D97ACF" w14:textId="77777777" w:rsidTr="6F7537A3">
        <w:trPr>
          <w:trHeight w:val="415"/>
        </w:trPr>
        <w:tc>
          <w:tcPr>
            <w:cnfStyle w:val="001000000000" w:firstRow="0" w:lastRow="0" w:firstColumn="1" w:lastColumn="0" w:oddVBand="0" w:evenVBand="0" w:oddHBand="0" w:evenHBand="0" w:firstRowFirstColumn="0" w:firstRowLastColumn="0" w:lastRowFirstColumn="0" w:lastRowLastColumn="0"/>
            <w:tcW w:w="2830" w:type="dxa"/>
            <w:tcBorders>
              <w:top w:val="nil"/>
              <w:bottom w:val="single" w:sz="4" w:space="0" w:color="FFFFFF"/>
              <w:right w:val="single" w:sz="4" w:space="0" w:color="212133" w:themeColor="text2"/>
            </w:tcBorders>
            <w:shd w:val="clear" w:color="auto" w:fill="212133" w:themeFill="text2"/>
            <w:vAlign w:val="center"/>
          </w:tcPr>
          <w:p w14:paraId="6E494534" w14:textId="590E296C" w:rsidR="0011248D" w:rsidRPr="0011248D" w:rsidRDefault="0011248D" w:rsidP="0011248D">
            <w:pPr>
              <w:jc w:val="right"/>
              <w:rPr>
                <w:rFonts w:cs="Calibri"/>
                <w:b w:val="0"/>
                <w:bCs w:val="0"/>
                <w:color w:val="FFFFFF"/>
                <w:szCs w:val="20"/>
              </w:rPr>
            </w:pPr>
            <w:r>
              <w:rPr>
                <w:rFonts w:cs="Calibri"/>
                <w:b w:val="0"/>
                <w:bCs w:val="0"/>
                <w:color w:val="FFFFFF"/>
                <w:szCs w:val="20"/>
              </w:rPr>
              <w:t>Other:</w:t>
            </w:r>
          </w:p>
        </w:tc>
        <w:tc>
          <w:tcPr>
            <w:tcW w:w="6330" w:type="dxa"/>
            <w:tcBorders>
              <w:left w:val="single" w:sz="4" w:space="0" w:color="212133" w:themeColor="text2"/>
              <w:right w:val="single" w:sz="4" w:space="0" w:color="212133" w:themeColor="text2"/>
            </w:tcBorders>
            <w:vAlign w:val="center"/>
          </w:tcPr>
          <w:p w14:paraId="0BF0D9A0" w14:textId="6DCA2CE7" w:rsidR="0011248D" w:rsidRPr="00246DAC" w:rsidRDefault="1B020F2B" w:rsidP="00D16007">
            <w:pPr>
              <w:cnfStyle w:val="000000000000" w:firstRow="0" w:lastRow="0" w:firstColumn="0" w:lastColumn="0" w:oddVBand="0" w:evenVBand="0" w:oddHBand="0" w:evenHBand="0" w:firstRowFirstColumn="0" w:firstRowLastColumn="0" w:lastRowFirstColumn="0" w:lastRowLastColumn="0"/>
            </w:pPr>
            <w:r>
              <w:t>N/A</w:t>
            </w:r>
          </w:p>
        </w:tc>
      </w:tr>
    </w:tbl>
    <w:p w14:paraId="2B17FC73" w14:textId="77777777" w:rsidR="00A86D70" w:rsidRDefault="00A86D70" w:rsidP="00A86D70"/>
    <w:tbl>
      <w:tblPr>
        <w:tblStyle w:val="TableGrid"/>
        <w:tblW w:w="9117" w:type="dxa"/>
        <w:tblLook w:val="04A0" w:firstRow="1" w:lastRow="0" w:firstColumn="1" w:lastColumn="0" w:noHBand="0" w:noVBand="1"/>
      </w:tblPr>
      <w:tblGrid>
        <w:gridCol w:w="1823"/>
        <w:gridCol w:w="1823"/>
        <w:gridCol w:w="1823"/>
        <w:gridCol w:w="1823"/>
        <w:gridCol w:w="1825"/>
      </w:tblGrid>
      <w:tr w:rsidR="009A217C" w14:paraId="62CE2B31" w14:textId="77777777" w:rsidTr="7BAAF4A3">
        <w:trPr>
          <w:trHeight w:val="355"/>
        </w:trPr>
        <w:tc>
          <w:tcPr>
            <w:tcW w:w="9117" w:type="dxa"/>
            <w:gridSpan w:val="5"/>
            <w:shd w:val="clear" w:color="auto" w:fill="212133" w:themeFill="text2"/>
          </w:tcPr>
          <w:p w14:paraId="2EB14C70" w14:textId="557B5F8A" w:rsidR="009A217C" w:rsidRDefault="009A217C" w:rsidP="009A217C">
            <w:pPr>
              <w:jc w:val="center"/>
            </w:pPr>
            <w:r w:rsidRPr="00FC0003">
              <w:rPr>
                <w:color w:val="FFFFFF"/>
              </w:rPr>
              <w:t>Files</w:t>
            </w:r>
          </w:p>
        </w:tc>
      </w:tr>
      <w:tr w:rsidR="004709C9" w14:paraId="6A010B73" w14:textId="77777777" w:rsidTr="7BAAF4A3">
        <w:trPr>
          <w:trHeight w:val="373"/>
        </w:trPr>
        <w:tc>
          <w:tcPr>
            <w:tcW w:w="1823" w:type="dxa"/>
            <w:shd w:val="clear" w:color="auto" w:fill="F5F7FF" w:themeFill="background2"/>
            <w:vAlign w:val="center"/>
          </w:tcPr>
          <w:p w14:paraId="1A5BF415" w14:textId="3C5725C4" w:rsidR="004709C9" w:rsidRDefault="009A217C" w:rsidP="00F1534C">
            <w:r>
              <w:t>File</w:t>
            </w:r>
          </w:p>
        </w:tc>
        <w:tc>
          <w:tcPr>
            <w:tcW w:w="1823" w:type="dxa"/>
            <w:shd w:val="clear" w:color="auto" w:fill="F5F7FF" w:themeFill="background2"/>
            <w:vAlign w:val="center"/>
          </w:tcPr>
          <w:p w14:paraId="54AF9814" w14:textId="3DB77C64" w:rsidR="004709C9" w:rsidRDefault="009A217C" w:rsidP="00F1534C">
            <w:r>
              <w:t>Parent Record</w:t>
            </w:r>
          </w:p>
        </w:tc>
        <w:tc>
          <w:tcPr>
            <w:tcW w:w="1823" w:type="dxa"/>
            <w:shd w:val="clear" w:color="auto" w:fill="F5F7FF" w:themeFill="background2"/>
            <w:vAlign w:val="center"/>
          </w:tcPr>
          <w:p w14:paraId="6F6A17EC" w14:textId="1A9793F9" w:rsidR="004709C9" w:rsidRDefault="009A217C" w:rsidP="00F1534C">
            <w:r>
              <w:t>Record</w:t>
            </w:r>
          </w:p>
        </w:tc>
        <w:tc>
          <w:tcPr>
            <w:tcW w:w="1823" w:type="dxa"/>
            <w:shd w:val="clear" w:color="auto" w:fill="F5F7FF" w:themeFill="background2"/>
            <w:vAlign w:val="center"/>
          </w:tcPr>
          <w:p w14:paraId="54249EB6" w14:textId="63E5F864" w:rsidR="004709C9" w:rsidRDefault="009A217C" w:rsidP="00F1534C">
            <w:r>
              <w:t>Data Attribute</w:t>
            </w:r>
          </w:p>
        </w:tc>
        <w:tc>
          <w:tcPr>
            <w:tcW w:w="1825" w:type="dxa"/>
            <w:shd w:val="clear" w:color="auto" w:fill="F5F7FF" w:themeFill="background2"/>
            <w:vAlign w:val="center"/>
          </w:tcPr>
          <w:p w14:paraId="1BE98E33" w14:textId="513E9E1E" w:rsidR="004709C9" w:rsidRDefault="009A217C" w:rsidP="00F1534C">
            <w:r>
              <w:t>Hierarchy or Format Agreed</w:t>
            </w:r>
          </w:p>
        </w:tc>
      </w:tr>
      <w:tr w:rsidR="004709C9" w14:paraId="2CAB130C" w14:textId="77777777" w:rsidTr="7BAAF4A3">
        <w:trPr>
          <w:trHeight w:val="355"/>
        </w:trPr>
        <w:tc>
          <w:tcPr>
            <w:tcW w:w="1823" w:type="dxa"/>
          </w:tcPr>
          <w:p w14:paraId="45211B36" w14:textId="4FAF3C49" w:rsidR="004709C9" w:rsidRDefault="593AF324" w:rsidP="00A86D70">
            <w:r>
              <w:t>N/A</w:t>
            </w:r>
          </w:p>
        </w:tc>
        <w:tc>
          <w:tcPr>
            <w:tcW w:w="1823" w:type="dxa"/>
          </w:tcPr>
          <w:p w14:paraId="221DB7B1" w14:textId="5619DF8F" w:rsidR="004709C9" w:rsidRDefault="593AF324" w:rsidP="00A86D70">
            <w:r>
              <w:t>N/A</w:t>
            </w:r>
          </w:p>
        </w:tc>
        <w:tc>
          <w:tcPr>
            <w:tcW w:w="1823" w:type="dxa"/>
          </w:tcPr>
          <w:p w14:paraId="691CC94E" w14:textId="53922EDF" w:rsidR="004709C9" w:rsidRDefault="7C6C1C38" w:rsidP="00A86D70">
            <w:r>
              <w:t>N/A</w:t>
            </w:r>
          </w:p>
        </w:tc>
        <w:tc>
          <w:tcPr>
            <w:tcW w:w="1823" w:type="dxa"/>
          </w:tcPr>
          <w:p w14:paraId="1063A488" w14:textId="0FAEB262" w:rsidR="004709C9" w:rsidRDefault="593AF324" w:rsidP="00A86D70">
            <w:r>
              <w:t>N/</w:t>
            </w:r>
            <w:r w:rsidR="48A4C8F7">
              <w:t>A</w:t>
            </w:r>
          </w:p>
        </w:tc>
        <w:tc>
          <w:tcPr>
            <w:tcW w:w="1825" w:type="dxa"/>
          </w:tcPr>
          <w:p w14:paraId="59ABBE29" w14:textId="1C540931" w:rsidR="004709C9" w:rsidRDefault="593AF324" w:rsidP="00A86D70">
            <w:r>
              <w:t>N/A</w:t>
            </w:r>
          </w:p>
        </w:tc>
      </w:tr>
    </w:tbl>
    <w:p w14:paraId="06CAF948" w14:textId="65B225DC" w:rsidR="006F6423" w:rsidRDefault="4A69AD6F" w:rsidP="006F6423">
      <w:pPr>
        <w:pStyle w:val="Heading1"/>
      </w:pPr>
      <w:r>
        <w:lastRenderedPageBreak/>
        <w:t>Change Design Description</w:t>
      </w:r>
    </w:p>
    <w:tbl>
      <w:tblPr>
        <w:tblStyle w:val="TableGrid"/>
        <w:tblW w:w="9624" w:type="dxa"/>
        <w:tblInd w:w="-289" w:type="dxa"/>
        <w:tblLook w:val="04A0" w:firstRow="1" w:lastRow="0" w:firstColumn="1" w:lastColumn="0" w:noHBand="0" w:noVBand="1"/>
      </w:tblPr>
      <w:tblGrid>
        <w:gridCol w:w="9624"/>
      </w:tblGrid>
      <w:tr w:rsidR="004A0AA0" w:rsidRPr="00246DAC" w14:paraId="6C8B482A" w14:textId="77777777" w:rsidTr="47490D4C">
        <w:trPr>
          <w:trHeight w:val="2400"/>
        </w:trPr>
        <w:tc>
          <w:tcPr>
            <w:tcW w:w="9624" w:type="dxa"/>
          </w:tcPr>
          <w:p w14:paraId="0D1A21CF" w14:textId="2F4DC3CE" w:rsidR="004A0AA0" w:rsidRPr="007D396A" w:rsidRDefault="425E6908" w:rsidP="6F7537A3">
            <w:pPr>
              <w:ind w:right="180"/>
              <w:jc w:val="both"/>
              <w:rPr>
                <w:color w:val="auto"/>
              </w:rPr>
            </w:pPr>
            <w:r w:rsidRPr="47490D4C">
              <w:rPr>
                <w:color w:val="auto"/>
              </w:rPr>
              <w:t xml:space="preserve">As part of change </w:t>
            </w:r>
            <w:r w:rsidR="31297679" w:rsidRPr="47490D4C">
              <w:rPr>
                <w:color w:val="auto"/>
              </w:rPr>
              <w:t xml:space="preserve">XRN5732, </w:t>
            </w:r>
            <w:r w:rsidRPr="47490D4C">
              <w:rPr>
                <w:color w:val="auto"/>
              </w:rPr>
              <w:t xml:space="preserve">the </w:t>
            </w:r>
            <w:r w:rsidR="49C84200" w:rsidRPr="47490D4C">
              <w:rPr>
                <w:color w:val="auto"/>
              </w:rPr>
              <w:t xml:space="preserve">IGTs (Independent Gas </w:t>
            </w:r>
            <w:r w:rsidR="55F70B83" w:rsidRPr="47490D4C">
              <w:rPr>
                <w:color w:val="auto"/>
              </w:rPr>
              <w:t>T</w:t>
            </w:r>
            <w:r w:rsidR="41FB552D" w:rsidRPr="47490D4C">
              <w:rPr>
                <w:color w:val="auto"/>
              </w:rPr>
              <w:t>ransporters</w:t>
            </w:r>
            <w:r w:rsidR="49C84200" w:rsidRPr="47490D4C">
              <w:rPr>
                <w:color w:val="auto"/>
              </w:rPr>
              <w:t>)</w:t>
            </w:r>
            <w:r w:rsidRPr="47490D4C">
              <w:rPr>
                <w:color w:val="auto"/>
              </w:rPr>
              <w:t xml:space="preserve"> will be able</w:t>
            </w:r>
            <w:r w:rsidR="0AADA728" w:rsidRPr="47490D4C">
              <w:rPr>
                <w:color w:val="auto"/>
              </w:rPr>
              <w:t xml:space="preserve">  </w:t>
            </w:r>
            <w:r w:rsidRPr="47490D4C">
              <w:rPr>
                <w:color w:val="auto"/>
              </w:rPr>
              <w:t xml:space="preserve"> to run the </w:t>
            </w:r>
            <w:r w:rsidRPr="47490D4C">
              <w:rPr>
                <w:b/>
                <w:bCs/>
                <w:color w:val="auto"/>
              </w:rPr>
              <w:t>GSR</w:t>
            </w:r>
            <w:r w:rsidR="454E5947" w:rsidRPr="47490D4C">
              <w:rPr>
                <w:b/>
                <w:bCs/>
                <w:color w:val="auto"/>
              </w:rPr>
              <w:t xml:space="preserve"> (G</w:t>
            </w:r>
            <w:r w:rsidR="362D857D" w:rsidRPr="47490D4C">
              <w:rPr>
                <w:b/>
                <w:bCs/>
                <w:color w:val="auto"/>
              </w:rPr>
              <w:t>as</w:t>
            </w:r>
            <w:r w:rsidR="454E5947" w:rsidRPr="47490D4C">
              <w:rPr>
                <w:b/>
                <w:bCs/>
                <w:color w:val="auto"/>
              </w:rPr>
              <w:t xml:space="preserve"> Safety Re</w:t>
            </w:r>
            <w:r w:rsidR="4FED4CC1" w:rsidRPr="47490D4C">
              <w:rPr>
                <w:b/>
                <w:bCs/>
                <w:color w:val="auto"/>
              </w:rPr>
              <w:t>gister</w:t>
            </w:r>
            <w:r w:rsidR="2EE7244C" w:rsidRPr="47490D4C">
              <w:rPr>
                <w:rFonts w:asciiTheme="minorHAnsi" w:eastAsiaTheme="minorEastAsia" w:hAnsiTheme="minorHAnsi"/>
                <w:b/>
                <w:bCs/>
                <w:color w:val="auto"/>
              </w:rPr>
              <w:t>)</w:t>
            </w:r>
            <w:r w:rsidR="2EE7244C" w:rsidRPr="47490D4C">
              <w:rPr>
                <w:rFonts w:asciiTheme="minorHAnsi" w:eastAsiaTheme="minorEastAsia" w:hAnsiTheme="minorHAnsi"/>
                <w:color w:val="auto"/>
              </w:rPr>
              <w:t>,</w:t>
            </w:r>
            <w:r w:rsidRPr="47490D4C">
              <w:rPr>
                <w:color w:val="auto"/>
              </w:rPr>
              <w:t xml:space="preserve"> and </w:t>
            </w:r>
            <w:r w:rsidRPr="47490D4C">
              <w:rPr>
                <w:b/>
                <w:bCs/>
                <w:color w:val="auto"/>
              </w:rPr>
              <w:t xml:space="preserve">MUS </w:t>
            </w:r>
            <w:r w:rsidR="7D310D87" w:rsidRPr="47490D4C">
              <w:rPr>
                <w:b/>
                <w:bCs/>
                <w:color w:val="auto"/>
              </w:rPr>
              <w:t>(</w:t>
            </w:r>
            <w:r w:rsidR="34398057" w:rsidRPr="47490D4C">
              <w:rPr>
                <w:b/>
                <w:bCs/>
                <w:color w:val="auto"/>
              </w:rPr>
              <w:t>M</w:t>
            </w:r>
            <w:r w:rsidR="2945FE78" w:rsidRPr="47490D4C">
              <w:rPr>
                <w:b/>
                <w:bCs/>
                <w:color w:val="auto"/>
              </w:rPr>
              <w:t>anage</w:t>
            </w:r>
            <w:r w:rsidR="7D310D87" w:rsidRPr="47490D4C">
              <w:rPr>
                <w:b/>
                <w:bCs/>
                <w:color w:val="auto"/>
              </w:rPr>
              <w:t xml:space="preserve"> Unregistered Site)</w:t>
            </w:r>
            <w:r w:rsidR="7D310D87" w:rsidRPr="47490D4C">
              <w:rPr>
                <w:color w:val="auto"/>
              </w:rPr>
              <w:t xml:space="preserve"> </w:t>
            </w:r>
            <w:r w:rsidRPr="47490D4C">
              <w:rPr>
                <w:color w:val="auto"/>
              </w:rPr>
              <w:t>process</w:t>
            </w:r>
            <w:r w:rsidR="5C97B1FD" w:rsidRPr="47490D4C">
              <w:rPr>
                <w:color w:val="auto"/>
              </w:rPr>
              <w:t xml:space="preserve"> and reports</w:t>
            </w:r>
            <w:r w:rsidRPr="47490D4C">
              <w:rPr>
                <w:color w:val="auto"/>
              </w:rPr>
              <w:t xml:space="preserve"> </w:t>
            </w:r>
            <w:r w:rsidR="0CDC0B2F" w:rsidRPr="47490D4C">
              <w:rPr>
                <w:color w:val="auto"/>
              </w:rPr>
              <w:t xml:space="preserve">in line with those which are currently performed by </w:t>
            </w:r>
            <w:r w:rsidRPr="47490D4C">
              <w:rPr>
                <w:color w:val="auto"/>
              </w:rPr>
              <w:t>GTs</w:t>
            </w:r>
            <w:r w:rsidR="2C2564E7" w:rsidRPr="47490D4C">
              <w:rPr>
                <w:color w:val="auto"/>
              </w:rPr>
              <w:t xml:space="preserve"> (Gas Transporters)</w:t>
            </w:r>
            <w:r w:rsidRPr="47490D4C">
              <w:rPr>
                <w:color w:val="auto"/>
              </w:rPr>
              <w:t xml:space="preserve">. </w:t>
            </w:r>
          </w:p>
          <w:p w14:paraId="0553BA3C" w14:textId="09522045" w:rsidR="004A0AA0" w:rsidRPr="007D396A" w:rsidRDefault="004A0AA0" w:rsidP="2A5DED67">
            <w:pPr>
              <w:jc w:val="both"/>
              <w:rPr>
                <w:color w:val="auto"/>
              </w:rPr>
            </w:pPr>
          </w:p>
          <w:p w14:paraId="324C7AE0" w14:textId="39B215A0" w:rsidR="004A0AA0" w:rsidRPr="00E10DBE" w:rsidRDefault="461CCDE2" w:rsidP="7BAAF4A3">
            <w:pPr>
              <w:tabs>
                <w:tab w:val="left" w:pos="2690"/>
              </w:tabs>
              <w:jc w:val="both"/>
              <w:rPr>
                <w:color w:val="auto"/>
                <w:u w:val="single"/>
              </w:rPr>
            </w:pPr>
            <w:r w:rsidRPr="00E10DBE">
              <w:rPr>
                <w:b/>
                <w:bCs/>
                <w:color w:val="auto"/>
                <w:u w:val="single"/>
              </w:rPr>
              <w:t>M</w:t>
            </w:r>
            <w:r w:rsidR="00E10DBE">
              <w:rPr>
                <w:b/>
                <w:bCs/>
                <w:color w:val="auto"/>
                <w:u w:val="single"/>
              </w:rPr>
              <w:t xml:space="preserve">anage Unregistered Sites (MUS) </w:t>
            </w:r>
            <w:r w:rsidRPr="00E10DBE">
              <w:rPr>
                <w:b/>
                <w:bCs/>
                <w:color w:val="auto"/>
                <w:u w:val="single"/>
              </w:rPr>
              <w:t>Proces</w:t>
            </w:r>
            <w:r w:rsidR="00E10DBE">
              <w:rPr>
                <w:b/>
                <w:bCs/>
                <w:color w:val="auto"/>
                <w:u w:val="single"/>
              </w:rPr>
              <w:t>s</w:t>
            </w:r>
          </w:p>
          <w:p w14:paraId="5E1F32BC" w14:textId="5B3152CF" w:rsidR="4E3A865C" w:rsidRPr="007D396A" w:rsidRDefault="5D9FAF7E" w:rsidP="6F7537A3">
            <w:pPr>
              <w:ind w:right="90"/>
              <w:jc w:val="both"/>
              <w:rPr>
                <w:color w:val="auto"/>
              </w:rPr>
            </w:pPr>
            <w:r w:rsidRPr="47490D4C">
              <w:rPr>
                <w:color w:val="auto"/>
              </w:rPr>
              <w:t xml:space="preserve">The MUS </w:t>
            </w:r>
            <w:r w:rsidR="00E10DBE">
              <w:rPr>
                <w:color w:val="auto"/>
              </w:rPr>
              <w:t xml:space="preserve">process </w:t>
            </w:r>
            <w:r w:rsidRPr="47490D4C">
              <w:rPr>
                <w:color w:val="auto"/>
              </w:rPr>
              <w:t>facilitates the identif</w:t>
            </w:r>
            <w:r w:rsidR="00D80446">
              <w:rPr>
                <w:color w:val="auto"/>
              </w:rPr>
              <w:t xml:space="preserve">ication </w:t>
            </w:r>
            <w:r w:rsidRPr="47490D4C">
              <w:rPr>
                <w:color w:val="auto"/>
              </w:rPr>
              <w:t xml:space="preserve">of the responsible Shipper for every Supply </w:t>
            </w:r>
            <w:r w:rsidR="0B9AC8C7" w:rsidRPr="47490D4C">
              <w:rPr>
                <w:color w:val="auto"/>
              </w:rPr>
              <w:t>M</w:t>
            </w:r>
            <w:r w:rsidRPr="47490D4C">
              <w:rPr>
                <w:color w:val="auto"/>
              </w:rPr>
              <w:t xml:space="preserve">eter </w:t>
            </w:r>
            <w:r w:rsidR="5D85FA26" w:rsidRPr="47490D4C">
              <w:rPr>
                <w:color w:val="auto"/>
              </w:rPr>
              <w:t>P</w:t>
            </w:r>
            <w:r w:rsidRPr="47490D4C">
              <w:rPr>
                <w:color w:val="auto"/>
              </w:rPr>
              <w:t xml:space="preserve">oint created on UK Link that has reached the anniversary of its creation date, remains unregistered and has a Meter point status of </w:t>
            </w:r>
            <w:r w:rsidR="00282166" w:rsidRPr="47490D4C">
              <w:rPr>
                <w:color w:val="auto"/>
              </w:rPr>
              <w:t>‘</w:t>
            </w:r>
            <w:r w:rsidRPr="47490D4C">
              <w:rPr>
                <w:color w:val="auto"/>
              </w:rPr>
              <w:t>Live</w:t>
            </w:r>
            <w:r w:rsidR="00282166" w:rsidRPr="47490D4C">
              <w:rPr>
                <w:color w:val="auto"/>
              </w:rPr>
              <w:t>’</w:t>
            </w:r>
            <w:r w:rsidRPr="47490D4C">
              <w:rPr>
                <w:color w:val="auto"/>
              </w:rPr>
              <w:t xml:space="preserve">. Once identified the contact is monitored until the Supply </w:t>
            </w:r>
            <w:r w:rsidR="1E93B011" w:rsidRPr="47490D4C">
              <w:rPr>
                <w:color w:val="auto"/>
              </w:rPr>
              <w:t>M</w:t>
            </w:r>
            <w:r w:rsidRPr="47490D4C">
              <w:rPr>
                <w:color w:val="auto"/>
              </w:rPr>
              <w:t xml:space="preserve">eter </w:t>
            </w:r>
            <w:r w:rsidR="48001027" w:rsidRPr="47490D4C">
              <w:rPr>
                <w:color w:val="auto"/>
              </w:rPr>
              <w:t>P</w:t>
            </w:r>
            <w:r w:rsidRPr="47490D4C">
              <w:rPr>
                <w:color w:val="auto"/>
              </w:rPr>
              <w:t xml:space="preserve">oint is </w:t>
            </w:r>
            <w:r w:rsidR="2F8B6701" w:rsidRPr="47490D4C">
              <w:rPr>
                <w:color w:val="auto"/>
              </w:rPr>
              <w:t>registered a</w:t>
            </w:r>
            <w:r w:rsidRPr="47490D4C">
              <w:rPr>
                <w:color w:val="auto"/>
              </w:rPr>
              <w:t xml:space="preserve">nd a meter attached </w:t>
            </w:r>
            <w:r w:rsidR="03ED1B39" w:rsidRPr="47490D4C">
              <w:rPr>
                <w:color w:val="auto"/>
              </w:rPr>
              <w:t>with</w:t>
            </w:r>
            <w:r w:rsidRPr="47490D4C">
              <w:rPr>
                <w:color w:val="auto"/>
              </w:rPr>
              <w:t>in UK Link</w:t>
            </w:r>
            <w:r w:rsidR="2EA1BB59" w:rsidRPr="47490D4C">
              <w:rPr>
                <w:color w:val="auto"/>
              </w:rPr>
              <w:t xml:space="preserve"> systems</w:t>
            </w:r>
            <w:r w:rsidRPr="47490D4C">
              <w:rPr>
                <w:color w:val="auto"/>
              </w:rPr>
              <w:t xml:space="preserve">.     </w:t>
            </w:r>
          </w:p>
          <w:p w14:paraId="2AAFE751" w14:textId="57C8F813" w:rsidR="4E3A865C" w:rsidRPr="007D396A" w:rsidRDefault="2B3C14D9" w:rsidP="7BAAF4A3">
            <w:pPr>
              <w:jc w:val="both"/>
              <w:rPr>
                <w:color w:val="auto"/>
              </w:rPr>
            </w:pPr>
            <w:r w:rsidRPr="007D396A">
              <w:rPr>
                <w:color w:val="auto"/>
              </w:rPr>
              <w:t xml:space="preserve"> </w:t>
            </w:r>
          </w:p>
          <w:p w14:paraId="2B171C95" w14:textId="0A97EF80" w:rsidR="4E3A865C" w:rsidRPr="007D396A" w:rsidRDefault="2B3C14D9" w:rsidP="7BAAF4A3">
            <w:pPr>
              <w:jc w:val="both"/>
              <w:rPr>
                <w:color w:val="auto"/>
              </w:rPr>
            </w:pPr>
            <w:r w:rsidRPr="007D396A">
              <w:rPr>
                <w:color w:val="auto"/>
              </w:rPr>
              <w:t xml:space="preserve">When the responsible Shipper has been identified, </w:t>
            </w:r>
            <w:r w:rsidR="00D80446">
              <w:rPr>
                <w:color w:val="auto"/>
              </w:rPr>
              <w:t xml:space="preserve">an MUS </w:t>
            </w:r>
            <w:r w:rsidRPr="007D396A">
              <w:rPr>
                <w:color w:val="auto"/>
              </w:rPr>
              <w:t xml:space="preserve">contact is referred to that Shipper to initiate the registration process and attach a meter. The contact facilitates the monitoring of the registration process and progresses the record through to the billing process where necessary. The Shipper can undertake the following actions when the contact has been referred:  </w:t>
            </w:r>
          </w:p>
          <w:p w14:paraId="5364AA84" w14:textId="710ABBC6" w:rsidR="4E3A865C" w:rsidRPr="007D396A" w:rsidRDefault="2B3C14D9" w:rsidP="7BAAF4A3">
            <w:pPr>
              <w:jc w:val="both"/>
              <w:rPr>
                <w:color w:val="auto"/>
              </w:rPr>
            </w:pPr>
            <w:r w:rsidRPr="007D396A">
              <w:rPr>
                <w:color w:val="auto"/>
              </w:rPr>
              <w:t xml:space="preserve"> </w:t>
            </w:r>
          </w:p>
          <w:p w14:paraId="315E2DB7" w14:textId="13D35AA2" w:rsidR="4E3A865C" w:rsidRPr="007D396A" w:rsidRDefault="07B11ADC" w:rsidP="47490D4C">
            <w:pPr>
              <w:pStyle w:val="ListParagraph"/>
              <w:numPr>
                <w:ilvl w:val="0"/>
                <w:numId w:val="1"/>
              </w:numPr>
              <w:jc w:val="both"/>
            </w:pPr>
            <w:r w:rsidRPr="47490D4C">
              <w:rPr>
                <w:color w:val="auto"/>
              </w:rPr>
              <w:t>Confirm the Meter Point Reference Number into their ownership and attach the asset</w:t>
            </w:r>
            <w:r w:rsidR="143A93DC" w:rsidRPr="47490D4C">
              <w:rPr>
                <w:color w:val="auto"/>
              </w:rPr>
              <w:t xml:space="preserve">, </w:t>
            </w:r>
            <w:proofErr w:type="gramStart"/>
            <w:r w:rsidR="143A93DC" w:rsidRPr="47490D4C">
              <w:rPr>
                <w:color w:val="auto"/>
              </w:rPr>
              <w:t>or;</w:t>
            </w:r>
            <w:proofErr w:type="gramEnd"/>
            <w:r w:rsidR="143A93DC" w:rsidRPr="47490D4C">
              <w:rPr>
                <w:color w:val="auto"/>
              </w:rPr>
              <w:t xml:space="preserve"> </w:t>
            </w:r>
          </w:p>
          <w:p w14:paraId="006D1125" w14:textId="31679CAE" w:rsidR="4E3A865C" w:rsidRPr="007D396A" w:rsidRDefault="143A93DC" w:rsidP="47490D4C">
            <w:pPr>
              <w:pStyle w:val="ListParagraph"/>
              <w:numPr>
                <w:ilvl w:val="0"/>
                <w:numId w:val="1"/>
              </w:numPr>
              <w:jc w:val="both"/>
            </w:pPr>
            <w:r w:rsidRPr="47490D4C">
              <w:rPr>
                <w:color w:val="auto"/>
              </w:rPr>
              <w:t>Dispute the contact</w:t>
            </w:r>
            <w:r w:rsidR="0047523D">
              <w:rPr>
                <w:color w:val="auto"/>
              </w:rPr>
              <w:t xml:space="preserve"> with justification </w:t>
            </w:r>
            <w:r w:rsidRPr="47490D4C">
              <w:rPr>
                <w:color w:val="auto"/>
              </w:rPr>
              <w:t xml:space="preserve">  </w:t>
            </w:r>
          </w:p>
          <w:p w14:paraId="58815173" w14:textId="6F1F9AFD" w:rsidR="4E3A865C" w:rsidRPr="007D396A" w:rsidRDefault="2B3C14D9" w:rsidP="7BAAF4A3">
            <w:pPr>
              <w:jc w:val="both"/>
              <w:rPr>
                <w:color w:val="auto"/>
              </w:rPr>
            </w:pPr>
            <w:r w:rsidRPr="007D396A">
              <w:rPr>
                <w:color w:val="auto"/>
              </w:rPr>
              <w:t xml:space="preserve"> </w:t>
            </w:r>
          </w:p>
          <w:p w14:paraId="6065B602" w14:textId="2E170771" w:rsidR="4E3A865C" w:rsidRPr="007D396A" w:rsidRDefault="2B3C14D9" w:rsidP="7BAAF4A3">
            <w:pPr>
              <w:jc w:val="both"/>
              <w:rPr>
                <w:color w:val="auto"/>
              </w:rPr>
            </w:pPr>
            <w:r w:rsidRPr="47490D4C">
              <w:rPr>
                <w:color w:val="auto"/>
              </w:rPr>
              <w:t>Where the Shipper disputes that they are the responsible Shipper</w:t>
            </w:r>
            <w:r w:rsidR="2151BAC2" w:rsidRPr="47490D4C">
              <w:rPr>
                <w:color w:val="auto"/>
              </w:rPr>
              <w:t>,</w:t>
            </w:r>
            <w:r w:rsidRPr="47490D4C">
              <w:rPr>
                <w:color w:val="auto"/>
              </w:rPr>
              <w:t xml:space="preserve"> the CDSP and/or the </w:t>
            </w:r>
            <w:r w:rsidR="3D136B63" w:rsidRPr="47490D4C">
              <w:rPr>
                <w:color w:val="auto"/>
              </w:rPr>
              <w:t>IGT (</w:t>
            </w:r>
            <w:r w:rsidR="00282166" w:rsidRPr="47490D4C">
              <w:rPr>
                <w:color w:val="auto"/>
              </w:rPr>
              <w:t>I</w:t>
            </w:r>
            <w:r w:rsidR="3D136B63" w:rsidRPr="47490D4C">
              <w:rPr>
                <w:color w:val="auto"/>
              </w:rPr>
              <w:t xml:space="preserve">ndependent </w:t>
            </w:r>
            <w:r w:rsidR="00282166" w:rsidRPr="47490D4C">
              <w:rPr>
                <w:color w:val="auto"/>
              </w:rPr>
              <w:t>G</w:t>
            </w:r>
            <w:r w:rsidR="3D136B63" w:rsidRPr="47490D4C">
              <w:rPr>
                <w:color w:val="auto"/>
              </w:rPr>
              <w:t xml:space="preserve">as </w:t>
            </w:r>
            <w:r w:rsidR="00282166" w:rsidRPr="47490D4C">
              <w:rPr>
                <w:color w:val="auto"/>
              </w:rPr>
              <w:t>T</w:t>
            </w:r>
            <w:r w:rsidR="3D136B63" w:rsidRPr="47490D4C">
              <w:rPr>
                <w:color w:val="auto"/>
              </w:rPr>
              <w:t>ransporters)</w:t>
            </w:r>
            <w:r w:rsidR="5DDAA8CF" w:rsidRPr="47490D4C">
              <w:rPr>
                <w:color w:val="auto"/>
              </w:rPr>
              <w:t xml:space="preserve"> </w:t>
            </w:r>
            <w:r w:rsidRPr="47490D4C">
              <w:rPr>
                <w:color w:val="auto"/>
              </w:rPr>
              <w:t xml:space="preserve">will investigate the reasons given and may uphold or reject the dispute.  Where upheld, the CDSP </w:t>
            </w:r>
            <w:r w:rsidR="69F787DA" w:rsidRPr="47490D4C">
              <w:rPr>
                <w:color w:val="auto"/>
              </w:rPr>
              <w:t xml:space="preserve">(Central Data Services Provider) </w:t>
            </w:r>
            <w:r w:rsidRPr="47490D4C">
              <w:rPr>
                <w:color w:val="auto"/>
              </w:rPr>
              <w:t>may identify another Shipper and refer to that organisation instead. If the dispute is not upheld the contact will be referred to the original Shipper</w:t>
            </w:r>
            <w:r w:rsidR="00C0B9A7" w:rsidRPr="47490D4C">
              <w:rPr>
                <w:color w:val="auto"/>
              </w:rPr>
              <w:t xml:space="preserve"> to resolve</w:t>
            </w:r>
            <w:r w:rsidRPr="47490D4C">
              <w:rPr>
                <w:color w:val="auto"/>
              </w:rPr>
              <w:t xml:space="preserve">.  </w:t>
            </w:r>
          </w:p>
          <w:p w14:paraId="11866756" w14:textId="63E8BC68" w:rsidR="4E3A865C" w:rsidRPr="007D396A" w:rsidRDefault="2B3C14D9" w:rsidP="7BAAF4A3">
            <w:pPr>
              <w:jc w:val="both"/>
              <w:rPr>
                <w:color w:val="auto"/>
              </w:rPr>
            </w:pPr>
            <w:r w:rsidRPr="007D396A">
              <w:rPr>
                <w:color w:val="auto"/>
              </w:rPr>
              <w:t xml:space="preserve"> </w:t>
            </w:r>
          </w:p>
          <w:p w14:paraId="58CF3221" w14:textId="307EB0F8" w:rsidR="001A020C" w:rsidRPr="00B263DD" w:rsidRDefault="2B3C14D9" w:rsidP="4EC8E24F">
            <w:pPr>
              <w:jc w:val="both"/>
              <w:rPr>
                <w:color w:val="auto"/>
              </w:rPr>
            </w:pPr>
            <w:r w:rsidRPr="007D396A">
              <w:rPr>
                <w:color w:val="auto"/>
              </w:rPr>
              <w:t xml:space="preserve">Where the Shipper has not had a dispute upheld or has not actioned the confirmation of the Supply meter point within 30 business days, the CDSP will action the confirmation on the Shipper’s behalf.  The contact will then be referred to the Shipper to attach the meter.  Once the meter has been attached on UK Link the </w:t>
            </w:r>
            <w:r w:rsidR="00636FB1">
              <w:rPr>
                <w:color w:val="auto"/>
              </w:rPr>
              <w:t>transportation</w:t>
            </w:r>
            <w:r w:rsidRPr="007D396A">
              <w:rPr>
                <w:color w:val="auto"/>
              </w:rPr>
              <w:t xml:space="preserve"> charges for the unconfirmed period will be invoiced.</w:t>
            </w:r>
            <w:r w:rsidR="2D3DB110" w:rsidRPr="007D396A">
              <w:rPr>
                <w:color w:val="auto"/>
              </w:rPr>
              <w:t xml:space="preserve"> All and any updates that are made in the IGT meter point will be reflected in the IGT delta </w:t>
            </w:r>
            <w:r w:rsidR="00B263DD">
              <w:rPr>
                <w:color w:val="auto"/>
              </w:rPr>
              <w:t xml:space="preserve">and Quarterly refresh </w:t>
            </w:r>
            <w:r w:rsidR="2D3DB110" w:rsidRPr="007D396A">
              <w:rPr>
                <w:color w:val="auto"/>
              </w:rPr>
              <w:t>files (.IDL</w:t>
            </w:r>
            <w:r w:rsidR="00B263DD">
              <w:rPr>
                <w:color w:val="auto"/>
              </w:rPr>
              <w:t xml:space="preserve"> / .IQL</w:t>
            </w:r>
            <w:r w:rsidR="2D3DB110" w:rsidRPr="007D396A">
              <w:rPr>
                <w:color w:val="auto"/>
              </w:rPr>
              <w:t xml:space="preserve"> file)</w:t>
            </w:r>
            <w:r w:rsidR="649774FA" w:rsidRPr="007D396A">
              <w:rPr>
                <w:color w:val="auto"/>
              </w:rPr>
              <w:t xml:space="preserve">    </w:t>
            </w:r>
          </w:p>
          <w:p w14:paraId="58F17704" w14:textId="544802D0" w:rsidR="7EA55C80" w:rsidRPr="007D396A" w:rsidRDefault="7EA55C80" w:rsidP="7BAAF4A3">
            <w:pPr>
              <w:jc w:val="both"/>
              <w:rPr>
                <w:color w:val="auto"/>
              </w:rPr>
            </w:pPr>
          </w:p>
          <w:p w14:paraId="4A86E239" w14:textId="77777777" w:rsidR="00646C4B" w:rsidRDefault="00646C4B" w:rsidP="00646C4B">
            <w:pPr>
              <w:jc w:val="both"/>
              <w:rPr>
                <w:color w:val="auto"/>
              </w:rPr>
            </w:pPr>
            <w:r w:rsidRPr="00646C4B">
              <w:rPr>
                <w:color w:val="auto"/>
              </w:rPr>
              <w:t xml:space="preserve">Detailed process overview related to MUS contact is described within the training material available on Xoserve’s website – which can be found </w:t>
            </w:r>
            <w:hyperlink r:id="rId12" w:anchor="/lessons/2EA00eDE45usMUr1dmXZt3M7IBQT4hu6">
              <w:r w:rsidR="00327FAD">
                <w:rPr>
                  <w:rStyle w:val="Hyperlink"/>
                  <w:color w:val="5947FC" w:themeColor="accent1"/>
                </w:rPr>
                <w:t>here</w:t>
              </w:r>
            </w:hyperlink>
            <w:r w:rsidR="5CFBAB73" w:rsidRPr="007D396A">
              <w:rPr>
                <w:color w:val="auto"/>
              </w:rPr>
              <w:t xml:space="preserve"> </w:t>
            </w:r>
          </w:p>
          <w:p w14:paraId="554FB4BB" w14:textId="77777777" w:rsidR="00646C4B" w:rsidRDefault="00646C4B" w:rsidP="00646C4B">
            <w:pPr>
              <w:jc w:val="both"/>
              <w:rPr>
                <w:i/>
                <w:iCs/>
                <w:color w:val="auto"/>
              </w:rPr>
            </w:pPr>
          </w:p>
          <w:p w14:paraId="60977F1E" w14:textId="2E376446" w:rsidR="6E957114" w:rsidRPr="007D396A" w:rsidRDefault="00646C4B" w:rsidP="00646C4B">
            <w:pPr>
              <w:jc w:val="both"/>
              <w:rPr>
                <w:color w:val="auto"/>
              </w:rPr>
            </w:pPr>
            <w:r w:rsidRPr="00646C4B">
              <w:rPr>
                <w:i/>
                <w:iCs/>
                <w:color w:val="auto"/>
              </w:rPr>
              <w:t>*</w:t>
            </w:r>
            <w:proofErr w:type="gramStart"/>
            <w:r w:rsidRPr="00646C4B">
              <w:rPr>
                <w:i/>
                <w:iCs/>
                <w:color w:val="auto"/>
              </w:rPr>
              <w:t>note</w:t>
            </w:r>
            <w:proofErr w:type="gramEnd"/>
            <w:r w:rsidRPr="00646C4B">
              <w:rPr>
                <w:i/>
                <w:iCs/>
                <w:color w:val="auto"/>
              </w:rPr>
              <w:t xml:space="preserve"> the above training material will be updated to include IGTs as a listed stakeholder in the process.</w:t>
            </w:r>
          </w:p>
          <w:p w14:paraId="67100D04" w14:textId="6546B798" w:rsidR="7EA55C80" w:rsidRDefault="7EA55C80" w:rsidP="7EA55C80">
            <w:pPr>
              <w:jc w:val="both"/>
              <w:rPr>
                <w:color w:val="auto"/>
              </w:rPr>
            </w:pPr>
          </w:p>
          <w:p w14:paraId="42848F23" w14:textId="77777777" w:rsidR="007D396A" w:rsidRDefault="007D396A" w:rsidP="7EA55C80">
            <w:pPr>
              <w:jc w:val="both"/>
              <w:rPr>
                <w:color w:val="auto"/>
              </w:rPr>
            </w:pPr>
          </w:p>
          <w:p w14:paraId="30A58C14" w14:textId="77777777" w:rsidR="00646C4B" w:rsidRPr="007D396A" w:rsidRDefault="00646C4B" w:rsidP="7EA55C80">
            <w:pPr>
              <w:jc w:val="both"/>
              <w:rPr>
                <w:color w:val="auto"/>
              </w:rPr>
            </w:pPr>
          </w:p>
          <w:p w14:paraId="222AD2A8" w14:textId="7D03DB4D" w:rsidR="004A0AA0" w:rsidRPr="00D80446" w:rsidRDefault="531B01D1" w:rsidP="2A5DED67">
            <w:pPr>
              <w:jc w:val="both"/>
              <w:rPr>
                <w:color w:val="auto"/>
                <w:u w:val="single"/>
              </w:rPr>
            </w:pPr>
            <w:r w:rsidRPr="00D80446">
              <w:rPr>
                <w:b/>
                <w:bCs/>
                <w:color w:val="auto"/>
                <w:u w:val="single"/>
              </w:rPr>
              <w:lastRenderedPageBreak/>
              <w:t>G</w:t>
            </w:r>
            <w:r w:rsidR="00D80446" w:rsidRPr="00D80446">
              <w:rPr>
                <w:b/>
                <w:bCs/>
                <w:color w:val="auto"/>
                <w:u w:val="single"/>
              </w:rPr>
              <w:t xml:space="preserve">AS Safety Register (GSR) </w:t>
            </w:r>
            <w:r w:rsidRPr="00D80446">
              <w:rPr>
                <w:b/>
                <w:bCs/>
                <w:color w:val="auto"/>
                <w:u w:val="single"/>
              </w:rPr>
              <w:t xml:space="preserve">Process   </w:t>
            </w:r>
            <w:r w:rsidRPr="00D80446">
              <w:rPr>
                <w:color w:val="auto"/>
                <w:u w:val="single"/>
              </w:rPr>
              <w:t xml:space="preserve"> </w:t>
            </w:r>
          </w:p>
          <w:p w14:paraId="7CE4824F" w14:textId="7EDAD9FD" w:rsidR="00520ABC" w:rsidRDefault="003F034B" w:rsidP="7EA55C80">
            <w:pPr>
              <w:jc w:val="both"/>
              <w:rPr>
                <w:color w:val="auto"/>
              </w:rPr>
            </w:pPr>
            <w:r w:rsidRPr="003F034B">
              <w:rPr>
                <w:color w:val="auto"/>
              </w:rPr>
              <w:t xml:space="preserve">Following the removal of a meter on UK Link by a Registered Shipper, in line with Gas Safety obligations, IGTs </w:t>
            </w:r>
            <w:r w:rsidR="006F38C6">
              <w:rPr>
                <w:color w:val="auto"/>
              </w:rPr>
              <w:t xml:space="preserve">are required to </w:t>
            </w:r>
            <w:r w:rsidRPr="003F034B">
              <w:rPr>
                <w:color w:val="auto"/>
              </w:rPr>
              <w:t xml:space="preserve">perform investigations 12 months after the meter removal date to conclude where a service is still live at the property, with a meter attached and where the site is still capable of flowing gas. </w:t>
            </w:r>
          </w:p>
          <w:p w14:paraId="20BDA03E" w14:textId="0E1B129E" w:rsidR="7BAAF4A3" w:rsidRPr="007D396A" w:rsidRDefault="7BAAF4A3" w:rsidP="7BAAF4A3">
            <w:pPr>
              <w:jc w:val="both"/>
              <w:rPr>
                <w:color w:val="auto"/>
              </w:rPr>
            </w:pPr>
          </w:p>
          <w:p w14:paraId="7A0C2755" w14:textId="16B7162F" w:rsidR="7BAAF4A3" w:rsidRPr="007D396A" w:rsidRDefault="00BE303D" w:rsidP="7BAAF4A3">
            <w:pPr>
              <w:jc w:val="both"/>
              <w:rPr>
                <w:color w:val="auto"/>
              </w:rPr>
            </w:pPr>
            <w:r>
              <w:rPr>
                <w:color w:val="auto"/>
              </w:rPr>
              <w:t xml:space="preserve">To understand the position of IGT portfolio, </w:t>
            </w:r>
            <w:r w:rsidR="0DFD05D7" w:rsidRPr="007D396A">
              <w:rPr>
                <w:color w:val="auto"/>
              </w:rPr>
              <w:t>IGT</w:t>
            </w:r>
            <w:r w:rsidR="00693EAC" w:rsidRPr="007D396A">
              <w:rPr>
                <w:color w:val="auto"/>
              </w:rPr>
              <w:t>s will</w:t>
            </w:r>
            <w:r w:rsidR="0DFD05D7" w:rsidRPr="007D396A">
              <w:rPr>
                <w:color w:val="auto"/>
              </w:rPr>
              <w:t xml:space="preserve"> </w:t>
            </w:r>
            <w:r w:rsidR="0C3F1978" w:rsidRPr="007D396A">
              <w:rPr>
                <w:color w:val="auto"/>
              </w:rPr>
              <w:t xml:space="preserve">receive the </w:t>
            </w:r>
            <w:r w:rsidR="00693EAC" w:rsidRPr="007D396A">
              <w:rPr>
                <w:color w:val="auto"/>
              </w:rPr>
              <w:t>‘</w:t>
            </w:r>
            <w:r w:rsidR="0C3F1978" w:rsidRPr="007D396A">
              <w:rPr>
                <w:color w:val="auto"/>
              </w:rPr>
              <w:t>MOD518 report</w:t>
            </w:r>
            <w:r w:rsidR="00693EAC" w:rsidRPr="007D396A">
              <w:rPr>
                <w:color w:val="auto"/>
              </w:rPr>
              <w:t>’</w:t>
            </w:r>
            <w:r w:rsidR="0C3F1978" w:rsidRPr="007D396A">
              <w:rPr>
                <w:color w:val="auto"/>
              </w:rPr>
              <w:t xml:space="preserve"> </w:t>
            </w:r>
            <w:r w:rsidR="006E603E" w:rsidRPr="007D396A">
              <w:rPr>
                <w:color w:val="auto"/>
              </w:rPr>
              <w:t>[</w:t>
            </w:r>
            <w:r w:rsidR="00282166" w:rsidRPr="00282166">
              <w:rPr>
                <w:i/>
                <w:iCs/>
                <w:color w:val="auto"/>
              </w:rPr>
              <w:t>report</w:t>
            </w:r>
            <w:r w:rsidR="00282166">
              <w:rPr>
                <w:color w:val="auto"/>
              </w:rPr>
              <w:t xml:space="preserve"> </w:t>
            </w:r>
            <w:r w:rsidR="00282166">
              <w:rPr>
                <w:i/>
                <w:iCs/>
                <w:color w:val="auto"/>
              </w:rPr>
              <w:t>details</w:t>
            </w:r>
            <w:r w:rsidR="006E603E" w:rsidRPr="00254FF8">
              <w:rPr>
                <w:i/>
                <w:iCs/>
                <w:color w:val="auto"/>
              </w:rPr>
              <w:t xml:space="preserve"> attached </w:t>
            </w:r>
            <w:r w:rsidR="00282166">
              <w:rPr>
                <w:i/>
                <w:iCs/>
                <w:color w:val="auto"/>
              </w:rPr>
              <w:t xml:space="preserve">for reference </w:t>
            </w:r>
            <w:r w:rsidR="006E603E" w:rsidRPr="00254FF8">
              <w:rPr>
                <w:i/>
                <w:iCs/>
                <w:color w:val="auto"/>
              </w:rPr>
              <w:t>in the SAP BO/BW report section below</w:t>
            </w:r>
            <w:r w:rsidR="006E603E" w:rsidRPr="007D396A">
              <w:rPr>
                <w:color w:val="auto"/>
              </w:rPr>
              <w:t xml:space="preserve">] </w:t>
            </w:r>
            <w:r w:rsidR="0C3F1978" w:rsidRPr="007D396A">
              <w:rPr>
                <w:color w:val="auto"/>
              </w:rPr>
              <w:t xml:space="preserve">from CDSP </w:t>
            </w:r>
            <w:r w:rsidR="71B4F2D6" w:rsidRPr="007D396A">
              <w:rPr>
                <w:color w:val="auto"/>
              </w:rPr>
              <w:t>via email</w:t>
            </w:r>
            <w:r w:rsidR="00D32A39">
              <w:rPr>
                <w:color w:val="auto"/>
              </w:rPr>
              <w:t xml:space="preserve"> and will be able to </w:t>
            </w:r>
            <w:r w:rsidR="0DFD05D7" w:rsidRPr="007D396A">
              <w:rPr>
                <w:color w:val="auto"/>
              </w:rPr>
              <w:t xml:space="preserve">pull the </w:t>
            </w:r>
            <w:r w:rsidR="00FA3A23">
              <w:rPr>
                <w:color w:val="auto"/>
              </w:rPr>
              <w:t>.</w:t>
            </w:r>
            <w:r w:rsidR="2BF29EA0" w:rsidRPr="007D396A">
              <w:rPr>
                <w:color w:val="auto"/>
              </w:rPr>
              <w:t xml:space="preserve">GSR </w:t>
            </w:r>
            <w:r w:rsidR="00FA3A23">
              <w:rPr>
                <w:color w:val="auto"/>
              </w:rPr>
              <w:t xml:space="preserve">file via the </w:t>
            </w:r>
            <w:r w:rsidR="0DFD05D7" w:rsidRPr="007D396A">
              <w:rPr>
                <w:rFonts w:asciiTheme="minorHAnsi" w:eastAsiaTheme="minorEastAsia" w:hAnsiTheme="minorHAnsi"/>
                <w:color w:val="auto"/>
              </w:rPr>
              <w:t xml:space="preserve">UK Link </w:t>
            </w:r>
            <w:r w:rsidR="0DFD05D7" w:rsidRPr="007D396A">
              <w:rPr>
                <w:color w:val="auto"/>
              </w:rPr>
              <w:t xml:space="preserve">Portal. </w:t>
            </w:r>
            <w:r w:rsidR="00FA3A23">
              <w:rPr>
                <w:color w:val="auto"/>
              </w:rPr>
              <w:t>As part of this change, i</w:t>
            </w:r>
            <w:r w:rsidR="0DFD05D7" w:rsidRPr="007D396A">
              <w:rPr>
                <w:color w:val="auto"/>
              </w:rPr>
              <w:t xml:space="preserve">f any new IGT </w:t>
            </w:r>
            <w:r w:rsidR="003862AA">
              <w:rPr>
                <w:color w:val="auto"/>
              </w:rPr>
              <w:t xml:space="preserve">users need to be provided </w:t>
            </w:r>
            <w:r w:rsidR="0DFD05D7" w:rsidRPr="007D396A">
              <w:rPr>
                <w:color w:val="auto"/>
              </w:rPr>
              <w:t xml:space="preserve">access </w:t>
            </w:r>
            <w:r w:rsidR="003862AA">
              <w:rPr>
                <w:color w:val="auto"/>
              </w:rPr>
              <w:t xml:space="preserve">to the UK Link Portal this will be arranged </w:t>
            </w:r>
            <w:r w:rsidR="006F38C6">
              <w:rPr>
                <w:color w:val="auto"/>
              </w:rPr>
              <w:t>and follow the standard access control process in place</w:t>
            </w:r>
            <w:r w:rsidR="0DFD05D7" w:rsidRPr="007D396A">
              <w:rPr>
                <w:color w:val="auto"/>
              </w:rPr>
              <w:t xml:space="preserve">. </w:t>
            </w:r>
          </w:p>
          <w:p w14:paraId="2E5665FE" w14:textId="5B6B80F7" w:rsidR="6F7537A3" w:rsidRPr="007D396A" w:rsidRDefault="00303263" w:rsidP="6F7537A3">
            <w:pPr>
              <w:jc w:val="both"/>
              <w:rPr>
                <w:color w:val="auto"/>
              </w:rPr>
            </w:pPr>
            <w:r w:rsidRPr="007D396A">
              <w:rPr>
                <w:color w:val="auto"/>
              </w:rPr>
              <w:t xml:space="preserve">                                                             </w:t>
            </w:r>
          </w:p>
          <w:bookmarkStart w:id="1" w:name="_MON_1821438109"/>
          <w:bookmarkEnd w:id="1"/>
          <w:p w14:paraId="466B9D53" w14:textId="2AC78A7E" w:rsidR="6F7537A3" w:rsidRPr="007D396A" w:rsidRDefault="00EE6E01" w:rsidP="6F7537A3">
            <w:pPr>
              <w:jc w:val="both"/>
              <w:rPr>
                <w:color w:val="auto"/>
              </w:rPr>
            </w:pPr>
            <w:r w:rsidRPr="007D396A">
              <w:rPr>
                <w:color w:val="auto"/>
              </w:rPr>
              <w:object w:dxaOrig="1504" w:dyaOrig="981" w14:anchorId="2A5FF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3" o:title=""/>
                </v:shape>
                <o:OLEObject Type="Embed" ProgID="Word.Document.12" ShapeID="_x0000_i1025" DrawAspect="Icon" ObjectID="_1821855261" r:id="rId14">
                  <o:FieldCodes>\s</o:FieldCodes>
                </o:OLEObject>
              </w:object>
            </w:r>
            <w:r w:rsidR="00303263" w:rsidRPr="007D396A">
              <w:rPr>
                <w:color w:val="auto"/>
              </w:rPr>
              <w:t xml:space="preserve">                          </w:t>
            </w:r>
          </w:p>
          <w:p w14:paraId="7B795BB7" w14:textId="5D3E73B3" w:rsidR="00227CCA" w:rsidRPr="007D396A" w:rsidRDefault="00227CCA" w:rsidP="6F7537A3">
            <w:pPr>
              <w:jc w:val="both"/>
              <w:rPr>
                <w:i/>
                <w:iCs/>
                <w:color w:val="auto"/>
                <w:sz w:val="14"/>
                <w:szCs w:val="14"/>
              </w:rPr>
            </w:pPr>
            <w:r w:rsidRPr="007D396A">
              <w:rPr>
                <w:i/>
                <w:iCs/>
                <w:color w:val="auto"/>
                <w:sz w:val="14"/>
                <w:szCs w:val="14"/>
              </w:rPr>
              <w:t>Gas Safety Register file format</w:t>
            </w:r>
            <w:r w:rsidR="00793A80" w:rsidRPr="007D396A">
              <w:rPr>
                <w:i/>
                <w:iCs/>
                <w:color w:val="auto"/>
                <w:sz w:val="14"/>
                <w:szCs w:val="14"/>
              </w:rPr>
              <w:t xml:space="preserve">                     </w:t>
            </w:r>
          </w:p>
          <w:p w14:paraId="62AC23B3" w14:textId="38C556F0" w:rsidR="7BAAF4A3" w:rsidRPr="007D396A" w:rsidRDefault="7BAAF4A3" w:rsidP="7BAAF4A3">
            <w:pPr>
              <w:jc w:val="both"/>
              <w:rPr>
                <w:b/>
                <w:bCs/>
                <w:color w:val="auto"/>
              </w:rPr>
            </w:pPr>
          </w:p>
          <w:p w14:paraId="01BAA71F" w14:textId="286BA7A6" w:rsidR="006F38C6" w:rsidRDefault="00D80446" w:rsidP="7EA55C80">
            <w:pPr>
              <w:jc w:val="both"/>
              <w:rPr>
                <w:color w:val="auto"/>
              </w:rPr>
            </w:pPr>
            <w:r>
              <w:rPr>
                <w:color w:val="auto"/>
              </w:rPr>
              <w:t xml:space="preserve">Where </w:t>
            </w:r>
            <w:r w:rsidR="006F38C6" w:rsidRPr="006F38C6">
              <w:rPr>
                <w:color w:val="auto"/>
              </w:rPr>
              <w:t>IGT investigation</w:t>
            </w:r>
            <w:r w:rsidR="006F38C6">
              <w:rPr>
                <w:color w:val="auto"/>
              </w:rPr>
              <w:t>s</w:t>
            </w:r>
            <w:r w:rsidR="006F38C6" w:rsidRPr="006F38C6">
              <w:rPr>
                <w:color w:val="auto"/>
              </w:rPr>
              <w:t xml:space="preserve"> confirm that the site is still live, IGTs will be able to raise GSR contacts via CMS. This contact facilitates the re-establishment of Supply Meter Points to ensure Supply Point Registration and recovery of relevant charges is achieved where gas is consumed at a Supply Meter Point. </w:t>
            </w:r>
          </w:p>
          <w:p w14:paraId="635EEDBF" w14:textId="77777777" w:rsidR="00B01168" w:rsidRDefault="00B01168" w:rsidP="7EA55C80">
            <w:pPr>
              <w:jc w:val="both"/>
              <w:rPr>
                <w:color w:val="auto"/>
              </w:rPr>
            </w:pPr>
          </w:p>
          <w:p w14:paraId="0B979899" w14:textId="656D6ADE" w:rsidR="05445A62" w:rsidRPr="007D396A" w:rsidRDefault="4F1F7503" w:rsidP="7EA55C80">
            <w:pPr>
              <w:jc w:val="both"/>
              <w:rPr>
                <w:color w:val="auto"/>
              </w:rPr>
            </w:pPr>
            <w:r w:rsidRPr="007D396A">
              <w:rPr>
                <w:color w:val="auto"/>
              </w:rPr>
              <w:t>On the submission of the GSR contact</w:t>
            </w:r>
            <w:r w:rsidR="00227CCA" w:rsidRPr="007D396A">
              <w:rPr>
                <w:color w:val="auto"/>
              </w:rPr>
              <w:t xml:space="preserve"> by IGTs </w:t>
            </w:r>
            <w:r w:rsidR="00AC0437" w:rsidRPr="007D396A">
              <w:rPr>
                <w:color w:val="auto"/>
              </w:rPr>
              <w:t>via CMS</w:t>
            </w:r>
            <w:r w:rsidRPr="007D396A">
              <w:rPr>
                <w:color w:val="auto"/>
              </w:rPr>
              <w:t xml:space="preserve">, validations </w:t>
            </w:r>
            <w:r w:rsidR="005402D5" w:rsidRPr="007D396A">
              <w:rPr>
                <w:color w:val="auto"/>
              </w:rPr>
              <w:t xml:space="preserve">will </w:t>
            </w:r>
            <w:r w:rsidRPr="007D396A">
              <w:rPr>
                <w:color w:val="auto"/>
              </w:rPr>
              <w:t xml:space="preserve">take place in CMS which </w:t>
            </w:r>
            <w:r w:rsidR="005402D5" w:rsidRPr="007D396A">
              <w:rPr>
                <w:color w:val="auto"/>
              </w:rPr>
              <w:t xml:space="preserve">will </w:t>
            </w:r>
            <w:r w:rsidRPr="007D396A">
              <w:rPr>
                <w:color w:val="auto"/>
              </w:rPr>
              <w:t>result in the categorisation of the GSR contact and the identification of the responsible Shipper.</w:t>
            </w:r>
            <w:r w:rsidR="5AFBDDCF" w:rsidRPr="007D396A">
              <w:rPr>
                <w:color w:val="auto"/>
              </w:rPr>
              <w:t xml:space="preserve">  </w:t>
            </w:r>
          </w:p>
          <w:p w14:paraId="41C3ADE9" w14:textId="46C4CD8E" w:rsidR="7BAAF4A3" w:rsidRPr="007D396A" w:rsidRDefault="7BAAF4A3" w:rsidP="7BAAF4A3">
            <w:pPr>
              <w:jc w:val="both"/>
              <w:rPr>
                <w:color w:val="auto"/>
              </w:rPr>
            </w:pPr>
          </w:p>
          <w:p w14:paraId="01E0B584" w14:textId="214F8425" w:rsidR="05445A62" w:rsidRPr="007D396A" w:rsidRDefault="05445A62" w:rsidP="7EA55C80">
            <w:pPr>
              <w:jc w:val="both"/>
              <w:rPr>
                <w:color w:val="auto"/>
              </w:rPr>
            </w:pPr>
            <w:r w:rsidRPr="007D396A">
              <w:rPr>
                <w:color w:val="auto"/>
              </w:rPr>
              <w:t xml:space="preserve">The contact will be pushed to the responsible </w:t>
            </w:r>
            <w:r w:rsidR="00492EFE">
              <w:rPr>
                <w:color w:val="auto"/>
              </w:rPr>
              <w:t>S</w:t>
            </w:r>
            <w:r w:rsidRPr="007D396A">
              <w:rPr>
                <w:color w:val="auto"/>
              </w:rPr>
              <w:t xml:space="preserve">hipper to carry out the activities of </w:t>
            </w:r>
            <w:r w:rsidR="00A17DBF">
              <w:rPr>
                <w:color w:val="auto"/>
              </w:rPr>
              <w:t xml:space="preserve">registering </w:t>
            </w:r>
            <w:r w:rsidRPr="007D396A">
              <w:rPr>
                <w:color w:val="auto"/>
              </w:rPr>
              <w:t xml:space="preserve">the </w:t>
            </w:r>
            <w:r w:rsidR="00492EFE">
              <w:rPr>
                <w:color w:val="auto"/>
              </w:rPr>
              <w:t>S</w:t>
            </w:r>
            <w:r w:rsidRPr="007D396A">
              <w:rPr>
                <w:color w:val="auto"/>
              </w:rPr>
              <w:t xml:space="preserve">upply </w:t>
            </w:r>
            <w:r w:rsidR="00492EFE">
              <w:rPr>
                <w:color w:val="auto"/>
              </w:rPr>
              <w:t>Meter Po</w:t>
            </w:r>
            <w:r w:rsidRPr="007D396A">
              <w:rPr>
                <w:color w:val="auto"/>
              </w:rPr>
              <w:t>int into their ownership and/or attaching the meter on UK Link via the RGMA process.</w:t>
            </w:r>
          </w:p>
          <w:p w14:paraId="0E6445F5" w14:textId="28E0564C" w:rsidR="05445A62" w:rsidRPr="007D396A" w:rsidRDefault="05445A62" w:rsidP="7EA55C80">
            <w:pPr>
              <w:jc w:val="both"/>
              <w:rPr>
                <w:color w:val="auto"/>
              </w:rPr>
            </w:pPr>
            <w:r w:rsidRPr="007D396A">
              <w:rPr>
                <w:color w:val="auto"/>
              </w:rPr>
              <w:t xml:space="preserve"> </w:t>
            </w:r>
          </w:p>
          <w:p w14:paraId="4F77639F" w14:textId="7117272C" w:rsidR="05445A62" w:rsidRPr="007D396A" w:rsidRDefault="4F1F7503" w:rsidP="7EA55C80">
            <w:pPr>
              <w:jc w:val="both"/>
              <w:rPr>
                <w:color w:val="auto"/>
              </w:rPr>
            </w:pPr>
            <w:r w:rsidRPr="007D396A">
              <w:rPr>
                <w:color w:val="auto"/>
              </w:rPr>
              <w:t xml:space="preserve">The categorisation of the contact will determine the length of time the Shipper has to carry out the activities before the CDSP is </w:t>
            </w:r>
            <w:r w:rsidR="5FD45033" w:rsidRPr="007D396A">
              <w:rPr>
                <w:color w:val="auto"/>
              </w:rPr>
              <w:t>responsible</w:t>
            </w:r>
            <w:r w:rsidRPr="007D396A">
              <w:rPr>
                <w:color w:val="auto"/>
              </w:rPr>
              <w:t xml:space="preserve"> with carrying out the activity on their behalf.</w:t>
            </w:r>
          </w:p>
          <w:p w14:paraId="6263102B" w14:textId="12BED1B1" w:rsidR="05445A62" w:rsidRPr="007D396A" w:rsidRDefault="05445A62" w:rsidP="7EA55C80">
            <w:pPr>
              <w:jc w:val="both"/>
              <w:rPr>
                <w:color w:val="auto"/>
              </w:rPr>
            </w:pPr>
            <w:r w:rsidRPr="007D396A">
              <w:rPr>
                <w:color w:val="auto"/>
              </w:rPr>
              <w:t xml:space="preserve"> </w:t>
            </w:r>
          </w:p>
          <w:p w14:paraId="6C6C330D" w14:textId="4CE4BF61" w:rsidR="05445A62" w:rsidRPr="007D396A" w:rsidRDefault="05445A62" w:rsidP="7EA55C80">
            <w:pPr>
              <w:jc w:val="both"/>
              <w:rPr>
                <w:color w:val="auto"/>
              </w:rPr>
            </w:pPr>
            <w:r w:rsidRPr="007D396A">
              <w:rPr>
                <w:color w:val="auto"/>
              </w:rPr>
              <w:t xml:space="preserve">In some instances, the CDSP will immediately attach the meter </w:t>
            </w:r>
            <w:r w:rsidR="000620E6">
              <w:rPr>
                <w:color w:val="auto"/>
              </w:rPr>
              <w:t xml:space="preserve">details </w:t>
            </w:r>
            <w:r w:rsidRPr="007D396A">
              <w:rPr>
                <w:color w:val="auto"/>
              </w:rPr>
              <w:t xml:space="preserve">on the Shipper’s behalf, and in some instances the attaching of the meter </w:t>
            </w:r>
            <w:r w:rsidR="000620E6">
              <w:rPr>
                <w:color w:val="auto"/>
              </w:rPr>
              <w:t xml:space="preserve">details </w:t>
            </w:r>
            <w:r w:rsidRPr="007D396A">
              <w:rPr>
                <w:color w:val="auto"/>
              </w:rPr>
              <w:t xml:space="preserve">may only be actioned by the Shipper. </w:t>
            </w:r>
          </w:p>
          <w:p w14:paraId="523684B5" w14:textId="7314CAF1" w:rsidR="05445A62" w:rsidRPr="007D396A" w:rsidRDefault="05445A62" w:rsidP="7EA55C80">
            <w:pPr>
              <w:jc w:val="both"/>
              <w:rPr>
                <w:color w:val="auto"/>
              </w:rPr>
            </w:pPr>
            <w:r w:rsidRPr="007D396A">
              <w:rPr>
                <w:color w:val="auto"/>
              </w:rPr>
              <w:t xml:space="preserve"> </w:t>
            </w:r>
          </w:p>
          <w:p w14:paraId="1DDFD638" w14:textId="0BCD2DD4" w:rsidR="05445A62" w:rsidRPr="007D396A" w:rsidRDefault="4F1F7503" w:rsidP="7EA55C80">
            <w:pPr>
              <w:jc w:val="both"/>
              <w:rPr>
                <w:color w:val="auto"/>
              </w:rPr>
            </w:pPr>
            <w:r w:rsidRPr="007D396A">
              <w:rPr>
                <w:color w:val="auto"/>
              </w:rPr>
              <w:t xml:space="preserve">In all but one instance, the Shipper </w:t>
            </w:r>
            <w:r w:rsidR="47314544" w:rsidRPr="007D396A">
              <w:rPr>
                <w:color w:val="auto"/>
              </w:rPr>
              <w:t>can</w:t>
            </w:r>
            <w:r w:rsidRPr="007D396A">
              <w:rPr>
                <w:color w:val="auto"/>
              </w:rPr>
              <w:t xml:space="preserve"> dispute that they are the responsible Shipper and the CDSP may uphold or reject the dispute.  If the dispute is upheld the contact may be </w:t>
            </w:r>
            <w:r w:rsidR="3C22FABD" w:rsidRPr="007D396A">
              <w:rPr>
                <w:color w:val="auto"/>
              </w:rPr>
              <w:t>referred</w:t>
            </w:r>
            <w:r w:rsidRPr="007D396A">
              <w:rPr>
                <w:color w:val="auto"/>
              </w:rPr>
              <w:t xml:space="preserve"> the </w:t>
            </w:r>
            <w:r w:rsidR="387494DD" w:rsidRPr="007D396A">
              <w:rPr>
                <w:color w:val="auto"/>
              </w:rPr>
              <w:t>I</w:t>
            </w:r>
            <w:r w:rsidRPr="007D396A">
              <w:rPr>
                <w:color w:val="auto"/>
              </w:rPr>
              <w:t xml:space="preserve">GT for further information or guidance, the CDSP may identify a different Shipper and push to their work queue, or the contact may be resolved immediately as invalid.  In instances where either the CDSP or the </w:t>
            </w:r>
            <w:r w:rsidR="04EED690" w:rsidRPr="007D396A">
              <w:rPr>
                <w:color w:val="auto"/>
              </w:rPr>
              <w:t>I</w:t>
            </w:r>
            <w:r w:rsidRPr="007D396A">
              <w:rPr>
                <w:color w:val="auto"/>
              </w:rPr>
              <w:t xml:space="preserve">GT do not uphold the dispute, the contact will be pushed back to the responsible </w:t>
            </w:r>
            <w:r w:rsidR="56DC2538" w:rsidRPr="007D396A">
              <w:rPr>
                <w:color w:val="auto"/>
              </w:rPr>
              <w:t>Shipper,</w:t>
            </w:r>
            <w:r w:rsidRPr="007D396A">
              <w:rPr>
                <w:color w:val="auto"/>
              </w:rPr>
              <w:t xml:space="preserve"> and they will have the remainder of the time allocated for completing their actions.</w:t>
            </w:r>
          </w:p>
          <w:p w14:paraId="00DCD13E" w14:textId="21980DED" w:rsidR="05445A62" w:rsidRDefault="05445A62" w:rsidP="7EA55C80">
            <w:pPr>
              <w:jc w:val="both"/>
              <w:rPr>
                <w:color w:val="auto"/>
              </w:rPr>
            </w:pPr>
            <w:r w:rsidRPr="007D396A">
              <w:rPr>
                <w:color w:val="auto"/>
              </w:rPr>
              <w:lastRenderedPageBreak/>
              <w:t xml:space="preserve">Only once the </w:t>
            </w:r>
            <w:r w:rsidR="00E61570">
              <w:rPr>
                <w:color w:val="auto"/>
              </w:rPr>
              <w:t>S</w:t>
            </w:r>
            <w:r w:rsidRPr="007D396A">
              <w:rPr>
                <w:color w:val="auto"/>
              </w:rPr>
              <w:t xml:space="preserve">upply </w:t>
            </w:r>
            <w:r w:rsidR="00E61570">
              <w:rPr>
                <w:color w:val="auto"/>
              </w:rPr>
              <w:t>Meter P</w:t>
            </w:r>
            <w:r w:rsidRPr="007D396A">
              <w:rPr>
                <w:color w:val="auto"/>
              </w:rPr>
              <w:t xml:space="preserve">oint is </w:t>
            </w:r>
            <w:r w:rsidR="00E61570">
              <w:rPr>
                <w:color w:val="auto"/>
              </w:rPr>
              <w:t xml:space="preserve">registered </w:t>
            </w:r>
            <w:r w:rsidRPr="007D396A">
              <w:rPr>
                <w:color w:val="auto"/>
              </w:rPr>
              <w:t xml:space="preserve">and </w:t>
            </w:r>
            <w:r w:rsidR="00E61570">
              <w:rPr>
                <w:color w:val="auto"/>
              </w:rPr>
              <w:t xml:space="preserve">relevant </w:t>
            </w:r>
            <w:r w:rsidRPr="007D396A">
              <w:rPr>
                <w:color w:val="auto"/>
              </w:rPr>
              <w:t xml:space="preserve">meter </w:t>
            </w:r>
            <w:r w:rsidR="00E61570">
              <w:rPr>
                <w:color w:val="auto"/>
              </w:rPr>
              <w:t xml:space="preserve">details </w:t>
            </w:r>
            <w:r w:rsidRPr="007D396A">
              <w:rPr>
                <w:color w:val="auto"/>
              </w:rPr>
              <w:t xml:space="preserve">attached will the contact be resolved as valid.  </w:t>
            </w:r>
          </w:p>
          <w:p w14:paraId="0C11B451" w14:textId="77777777" w:rsidR="00BF1478" w:rsidRPr="007D396A" w:rsidRDefault="00BF1478" w:rsidP="7EA55C80">
            <w:pPr>
              <w:jc w:val="both"/>
              <w:rPr>
                <w:color w:val="auto"/>
              </w:rPr>
            </w:pPr>
          </w:p>
          <w:p w14:paraId="4C42D1C7" w14:textId="2AE8FCDF" w:rsidR="05445A62" w:rsidRPr="007D396A" w:rsidRDefault="4F1F7503" w:rsidP="7EA55C80">
            <w:pPr>
              <w:jc w:val="both"/>
              <w:rPr>
                <w:color w:val="auto"/>
              </w:rPr>
            </w:pPr>
            <w:r w:rsidRPr="007D396A">
              <w:rPr>
                <w:color w:val="auto"/>
              </w:rPr>
              <w:t xml:space="preserve">Where the meter identified as in situ by the </w:t>
            </w:r>
            <w:r w:rsidR="0FDE689B" w:rsidRPr="007D396A">
              <w:rPr>
                <w:color w:val="auto"/>
              </w:rPr>
              <w:t>I</w:t>
            </w:r>
            <w:r w:rsidRPr="007D396A">
              <w:rPr>
                <w:color w:val="auto"/>
              </w:rPr>
              <w:t>GT is the same meter that was removed from UK</w:t>
            </w:r>
            <w:r w:rsidR="005402D5" w:rsidRPr="007D396A">
              <w:rPr>
                <w:color w:val="auto"/>
              </w:rPr>
              <w:t xml:space="preserve"> </w:t>
            </w:r>
            <w:r w:rsidRPr="007D396A">
              <w:rPr>
                <w:color w:val="auto"/>
              </w:rPr>
              <w:t xml:space="preserve">Link, then </w:t>
            </w:r>
            <w:r w:rsidR="00E74941">
              <w:rPr>
                <w:color w:val="auto"/>
              </w:rPr>
              <w:t>transportation</w:t>
            </w:r>
            <w:r w:rsidRPr="007D396A">
              <w:rPr>
                <w:color w:val="auto"/>
              </w:rPr>
              <w:t xml:space="preserve"> charges will be triggered on the valid resolution of the contact.</w:t>
            </w:r>
          </w:p>
          <w:p w14:paraId="652CAE9D" w14:textId="3A846775" w:rsidR="05445A62" w:rsidRPr="007D396A" w:rsidRDefault="05445A62" w:rsidP="7EA55C80">
            <w:pPr>
              <w:jc w:val="both"/>
              <w:rPr>
                <w:color w:val="auto"/>
              </w:rPr>
            </w:pPr>
            <w:r w:rsidRPr="007D396A">
              <w:rPr>
                <w:color w:val="auto"/>
              </w:rPr>
              <w:t xml:space="preserve"> </w:t>
            </w:r>
          </w:p>
          <w:p w14:paraId="181B99B7" w14:textId="099EC44E" w:rsidR="05445A62" w:rsidRPr="007D396A" w:rsidRDefault="00BF1478" w:rsidP="7BAAF4A3">
            <w:pPr>
              <w:jc w:val="both"/>
              <w:rPr>
                <w:color w:val="auto"/>
              </w:rPr>
            </w:pPr>
            <w:r>
              <w:rPr>
                <w:color w:val="auto"/>
              </w:rPr>
              <w:t>IGTs will be able to raise GSR c</w:t>
            </w:r>
            <w:r w:rsidR="4F1F7503" w:rsidRPr="007D396A">
              <w:rPr>
                <w:color w:val="auto"/>
              </w:rPr>
              <w:t xml:space="preserve">ontacts via </w:t>
            </w:r>
            <w:r>
              <w:rPr>
                <w:color w:val="auto"/>
              </w:rPr>
              <w:t xml:space="preserve">CMS </w:t>
            </w:r>
            <w:r w:rsidR="4F1F7503" w:rsidRPr="007D396A">
              <w:rPr>
                <w:color w:val="auto"/>
              </w:rPr>
              <w:t>Single U</w:t>
            </w:r>
            <w:r>
              <w:rPr>
                <w:color w:val="auto"/>
              </w:rPr>
              <w:t>ser Interface</w:t>
            </w:r>
            <w:r w:rsidR="4F1F7503" w:rsidRPr="007D396A">
              <w:rPr>
                <w:color w:val="auto"/>
              </w:rPr>
              <w:t xml:space="preserve"> </w:t>
            </w:r>
            <w:r w:rsidR="00453A86">
              <w:rPr>
                <w:color w:val="auto"/>
              </w:rPr>
              <w:t>screen</w:t>
            </w:r>
            <w:r w:rsidR="4F1F7503" w:rsidRPr="007D396A">
              <w:rPr>
                <w:color w:val="auto"/>
              </w:rPr>
              <w:t xml:space="preserve"> or GSR Bulk Contact Logging (</w:t>
            </w:r>
            <w:r w:rsidR="0637A902" w:rsidRPr="007D396A">
              <w:rPr>
                <w:color w:val="auto"/>
              </w:rPr>
              <w:t>.</w:t>
            </w:r>
            <w:r w:rsidR="4F1F7503" w:rsidRPr="007D396A">
              <w:rPr>
                <w:color w:val="auto"/>
              </w:rPr>
              <w:t>NEI) file via U</w:t>
            </w:r>
            <w:r w:rsidR="00453A86">
              <w:rPr>
                <w:color w:val="auto"/>
              </w:rPr>
              <w:t xml:space="preserve">ser Interface </w:t>
            </w:r>
            <w:r w:rsidR="00303263" w:rsidRPr="007D396A">
              <w:rPr>
                <w:color w:val="auto"/>
              </w:rPr>
              <w:t>below</w:t>
            </w:r>
            <w:r w:rsidR="4F1F7503" w:rsidRPr="007D396A">
              <w:rPr>
                <w:color w:val="auto"/>
              </w:rPr>
              <w:t>.</w:t>
            </w:r>
            <w:r w:rsidR="4F822AFB" w:rsidRPr="007D396A">
              <w:rPr>
                <w:color w:val="auto"/>
              </w:rPr>
              <w:t xml:space="preserve"> </w:t>
            </w:r>
          </w:p>
          <w:p w14:paraId="16928FD2" w14:textId="77777777" w:rsidR="002A3AE1" w:rsidRPr="007D396A" w:rsidRDefault="002A3AE1" w:rsidP="7BAAF4A3">
            <w:pPr>
              <w:jc w:val="both"/>
              <w:rPr>
                <w:color w:val="auto"/>
              </w:rPr>
            </w:pPr>
          </w:p>
          <w:p w14:paraId="29A9DAEF" w14:textId="5854C036" w:rsidR="002A3AE1" w:rsidRPr="007D396A" w:rsidRDefault="002A3AE1" w:rsidP="7BAAF4A3">
            <w:pPr>
              <w:jc w:val="both"/>
              <w:rPr>
                <w:color w:val="auto"/>
              </w:rPr>
            </w:pPr>
            <w:r w:rsidRPr="007D396A">
              <w:rPr>
                <w:noProof/>
                <w:color w:val="auto"/>
              </w:rPr>
              <w:drawing>
                <wp:inline distT="0" distB="0" distL="0" distR="0" wp14:anchorId="465EBA26" wp14:editId="3589C1B6">
                  <wp:extent cx="3447187" cy="1954116"/>
                  <wp:effectExtent l="0" t="0" r="1270" b="8255"/>
                  <wp:docPr id="2008517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517171" name=""/>
                          <pic:cNvPicPr/>
                        </pic:nvPicPr>
                        <pic:blipFill>
                          <a:blip r:embed="rId15"/>
                          <a:stretch>
                            <a:fillRect/>
                          </a:stretch>
                        </pic:blipFill>
                        <pic:spPr>
                          <a:xfrm>
                            <a:off x="0" y="0"/>
                            <a:ext cx="3471632" cy="1967973"/>
                          </a:xfrm>
                          <a:prstGeom prst="rect">
                            <a:avLst/>
                          </a:prstGeom>
                        </pic:spPr>
                      </pic:pic>
                    </a:graphicData>
                  </a:graphic>
                </wp:inline>
              </w:drawing>
            </w:r>
          </w:p>
          <w:p w14:paraId="1BCFC238" w14:textId="5AB9687E" w:rsidR="002A3AE1" w:rsidRPr="007D396A" w:rsidRDefault="00303263" w:rsidP="7BAAF4A3">
            <w:pPr>
              <w:jc w:val="both"/>
              <w:rPr>
                <w:color w:val="auto"/>
              </w:rPr>
            </w:pPr>
            <w:r w:rsidRPr="007D396A">
              <w:rPr>
                <w:noProof/>
                <w:color w:val="auto"/>
              </w:rPr>
              <w:drawing>
                <wp:inline distT="0" distB="0" distL="0" distR="0" wp14:anchorId="15EA961F" wp14:editId="6E8352D3">
                  <wp:extent cx="3314700" cy="1428186"/>
                  <wp:effectExtent l="0" t="0" r="0" b="635"/>
                  <wp:docPr id="784842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842595" name=""/>
                          <pic:cNvPicPr/>
                        </pic:nvPicPr>
                        <pic:blipFill>
                          <a:blip r:embed="rId16"/>
                          <a:stretch>
                            <a:fillRect/>
                          </a:stretch>
                        </pic:blipFill>
                        <pic:spPr>
                          <a:xfrm>
                            <a:off x="0" y="0"/>
                            <a:ext cx="3353886" cy="1445070"/>
                          </a:xfrm>
                          <a:prstGeom prst="rect">
                            <a:avLst/>
                          </a:prstGeom>
                        </pic:spPr>
                      </pic:pic>
                    </a:graphicData>
                  </a:graphic>
                </wp:inline>
              </w:drawing>
            </w:r>
          </w:p>
          <w:p w14:paraId="05A81338" w14:textId="6A5E04AC" w:rsidR="7BAAF4A3" w:rsidRPr="007D396A" w:rsidRDefault="7BAAF4A3" w:rsidP="7BAAF4A3">
            <w:pPr>
              <w:jc w:val="both"/>
              <w:rPr>
                <w:color w:val="auto"/>
              </w:rPr>
            </w:pPr>
          </w:p>
          <w:bookmarkStart w:id="2" w:name="_MON_1821438635"/>
          <w:bookmarkEnd w:id="2"/>
          <w:p w14:paraId="1B3F67EE" w14:textId="2BB1C2AB" w:rsidR="00303263" w:rsidRPr="007D396A" w:rsidRDefault="00303263" w:rsidP="7EA55C80">
            <w:pPr>
              <w:jc w:val="both"/>
              <w:rPr>
                <w:color w:val="auto"/>
              </w:rPr>
            </w:pPr>
            <w:r w:rsidRPr="007D396A">
              <w:rPr>
                <w:color w:val="auto"/>
              </w:rPr>
              <w:object w:dxaOrig="1504" w:dyaOrig="981" w14:anchorId="5D85E69F">
                <v:shape id="_x0000_i1026" type="#_x0000_t75" style="width:75pt;height:48.75pt" o:ole="">
                  <v:imagedata r:id="rId17" o:title=""/>
                </v:shape>
                <o:OLEObject Type="Embed" ProgID="Word.Document.12" ShapeID="_x0000_i1026" DrawAspect="Icon" ObjectID="_1821855262" r:id="rId18">
                  <o:FieldCodes>\s</o:FieldCodes>
                </o:OLEObject>
              </w:object>
            </w:r>
          </w:p>
          <w:p w14:paraId="38887829" w14:textId="2437999F" w:rsidR="00303263" w:rsidRPr="007D396A" w:rsidRDefault="00303263" w:rsidP="7EA55C80">
            <w:pPr>
              <w:jc w:val="both"/>
              <w:rPr>
                <w:i/>
                <w:iCs/>
                <w:color w:val="auto"/>
                <w:sz w:val="14"/>
                <w:szCs w:val="14"/>
              </w:rPr>
            </w:pPr>
            <w:r w:rsidRPr="007D396A">
              <w:rPr>
                <w:i/>
                <w:iCs/>
                <w:color w:val="auto"/>
                <w:sz w:val="14"/>
                <w:szCs w:val="14"/>
              </w:rPr>
              <w:t xml:space="preserve">       NEI file format</w:t>
            </w:r>
          </w:p>
          <w:p w14:paraId="6B767F04" w14:textId="77777777" w:rsidR="00303263" w:rsidRPr="007D396A" w:rsidRDefault="00303263" w:rsidP="7EA55C80">
            <w:pPr>
              <w:jc w:val="both"/>
              <w:rPr>
                <w:color w:val="auto"/>
              </w:rPr>
            </w:pPr>
          </w:p>
          <w:p w14:paraId="18F14930" w14:textId="4739BD85" w:rsidR="00657299" w:rsidRPr="00657299" w:rsidRDefault="00657299" w:rsidP="00657299">
            <w:pPr>
              <w:jc w:val="both"/>
              <w:rPr>
                <w:color w:val="auto"/>
              </w:rPr>
            </w:pPr>
            <w:r w:rsidRPr="00657299">
              <w:rPr>
                <w:color w:val="auto"/>
              </w:rPr>
              <w:t xml:space="preserve">Detailed process information related to GSR process is covered within the e-learning training material available on Xoserve websites and can be found </w:t>
            </w:r>
            <w:hyperlink r:id="rId19" w:anchor="/lessons/ANPklmQSFdOHFyikhXtkjfh3AZr7BBPg]">
              <w:r w:rsidRPr="007103E8">
                <w:rPr>
                  <w:rStyle w:val="Hyperlink"/>
                  <w:color w:val="5947FC" w:themeColor="accent1"/>
                </w:rPr>
                <w:t>here</w:t>
              </w:r>
            </w:hyperlink>
            <w:r w:rsidRPr="007103E8">
              <w:rPr>
                <w:color w:val="5947FC" w:themeColor="accent1"/>
              </w:rPr>
              <w:t xml:space="preserve">. </w:t>
            </w:r>
          </w:p>
          <w:p w14:paraId="7B9180D7" w14:textId="77777777" w:rsidR="00657299" w:rsidRPr="00657299" w:rsidRDefault="00657299" w:rsidP="00657299">
            <w:pPr>
              <w:jc w:val="both"/>
              <w:rPr>
                <w:color w:val="auto"/>
              </w:rPr>
            </w:pPr>
          </w:p>
          <w:p w14:paraId="3C90DACC" w14:textId="2DB90697" w:rsidR="00657299" w:rsidRPr="00657299" w:rsidRDefault="00657299" w:rsidP="00657299">
            <w:pPr>
              <w:jc w:val="both"/>
              <w:rPr>
                <w:color w:val="auto"/>
              </w:rPr>
            </w:pPr>
            <w:r w:rsidRPr="00657299">
              <w:rPr>
                <w:rFonts w:ascii="Arial" w:hAnsi="Arial" w:cs="Arial"/>
                <w:color w:val="auto"/>
              </w:rPr>
              <w:t>​</w:t>
            </w:r>
            <w:r w:rsidRPr="00657299">
              <w:rPr>
                <w:color w:val="auto"/>
              </w:rPr>
              <w:t>Where IGTs identify that the site has been successfully made Dead, IGTs can us the UK Link Portal to update the Supply Meter Point Status</w:t>
            </w:r>
            <w:r w:rsidR="00891E5A">
              <w:rPr>
                <w:color w:val="auto"/>
              </w:rPr>
              <w:t xml:space="preserve"> held within UK Link</w:t>
            </w:r>
            <w:r w:rsidRPr="00657299">
              <w:rPr>
                <w:color w:val="auto"/>
              </w:rPr>
              <w:t xml:space="preserve">. </w:t>
            </w:r>
            <w:r w:rsidRPr="00657299">
              <w:rPr>
                <w:rFonts w:ascii="Arial" w:hAnsi="Arial" w:cs="Arial"/>
                <w:color w:val="auto"/>
              </w:rPr>
              <w:t>​​</w:t>
            </w:r>
          </w:p>
          <w:p w14:paraId="1C269C0A" w14:textId="77777777" w:rsidR="00657299" w:rsidRPr="00657299" w:rsidRDefault="00657299" w:rsidP="00657299">
            <w:pPr>
              <w:jc w:val="both"/>
              <w:rPr>
                <w:color w:val="auto"/>
              </w:rPr>
            </w:pPr>
          </w:p>
          <w:p w14:paraId="0376378C" w14:textId="6BB58D72" w:rsidR="7EA55C80" w:rsidRPr="00B8576F" w:rsidRDefault="00657299" w:rsidP="00815C30">
            <w:pPr>
              <w:jc w:val="both"/>
              <w:rPr>
                <w:i/>
                <w:iCs/>
                <w:color w:val="auto"/>
              </w:rPr>
            </w:pPr>
            <w:r w:rsidRPr="00B8576F">
              <w:rPr>
                <w:i/>
                <w:iCs/>
                <w:color w:val="auto"/>
              </w:rPr>
              <w:t>*</w:t>
            </w:r>
            <w:proofErr w:type="gramStart"/>
            <w:r w:rsidRPr="00B8576F">
              <w:rPr>
                <w:i/>
                <w:iCs/>
                <w:color w:val="auto"/>
              </w:rPr>
              <w:t>note</w:t>
            </w:r>
            <w:proofErr w:type="gramEnd"/>
            <w:r w:rsidRPr="00B8576F">
              <w:rPr>
                <w:i/>
                <w:iCs/>
                <w:color w:val="auto"/>
              </w:rPr>
              <w:t xml:space="preserve"> the above training material will be updated to include IGTs as a listed stakeholder in the process</w:t>
            </w:r>
            <w:r w:rsidR="00815C30" w:rsidRPr="00B8576F">
              <w:rPr>
                <w:i/>
                <w:iCs/>
                <w:color w:val="auto"/>
              </w:rPr>
              <w:t xml:space="preserve">. </w:t>
            </w:r>
          </w:p>
          <w:p w14:paraId="1718DCE2" w14:textId="77777777" w:rsidR="00935A95" w:rsidRDefault="00935A95" w:rsidP="7EA55C80">
            <w:pPr>
              <w:rPr>
                <w:color w:val="auto"/>
              </w:rPr>
            </w:pPr>
          </w:p>
          <w:p w14:paraId="7CBF3671" w14:textId="77777777" w:rsidR="00891E5A" w:rsidRDefault="00891E5A" w:rsidP="7EA55C80">
            <w:pPr>
              <w:rPr>
                <w:color w:val="auto"/>
              </w:rPr>
            </w:pPr>
          </w:p>
          <w:p w14:paraId="4E24E049" w14:textId="77777777" w:rsidR="00891E5A" w:rsidRDefault="00891E5A" w:rsidP="7EA55C80">
            <w:pPr>
              <w:rPr>
                <w:color w:val="auto"/>
              </w:rPr>
            </w:pPr>
          </w:p>
          <w:p w14:paraId="326A566D" w14:textId="77777777" w:rsidR="00891E5A" w:rsidRDefault="00891E5A" w:rsidP="7EA55C80">
            <w:pPr>
              <w:rPr>
                <w:color w:val="auto"/>
              </w:rPr>
            </w:pPr>
          </w:p>
          <w:p w14:paraId="09EF7BE6" w14:textId="77777777" w:rsidR="00891E5A" w:rsidRDefault="00891E5A" w:rsidP="7EA55C80">
            <w:pPr>
              <w:rPr>
                <w:color w:val="auto"/>
              </w:rPr>
            </w:pPr>
          </w:p>
          <w:p w14:paraId="5598B73E" w14:textId="61083B17" w:rsidR="00815C30" w:rsidRPr="00815C30" w:rsidRDefault="00AB1168" w:rsidP="00815C30">
            <w:pPr>
              <w:rPr>
                <w:color w:val="auto"/>
              </w:rPr>
            </w:pPr>
            <w:r w:rsidRPr="00AB1168">
              <w:rPr>
                <w:b/>
                <w:bCs/>
                <w:color w:val="auto"/>
                <w:u w:val="single"/>
              </w:rPr>
              <w:lastRenderedPageBreak/>
              <w:t>T</w:t>
            </w:r>
            <w:r w:rsidR="00815C30" w:rsidRPr="00AB1168">
              <w:rPr>
                <w:b/>
                <w:bCs/>
                <w:color w:val="auto"/>
                <w:u w:val="single"/>
              </w:rPr>
              <w:t xml:space="preserve">ransportation </w:t>
            </w:r>
            <w:r w:rsidR="00672CC7">
              <w:rPr>
                <w:b/>
                <w:bCs/>
                <w:color w:val="auto"/>
                <w:u w:val="single"/>
              </w:rPr>
              <w:t>C</w:t>
            </w:r>
            <w:r w:rsidR="00815C30" w:rsidRPr="00AB1168">
              <w:rPr>
                <w:b/>
                <w:bCs/>
                <w:color w:val="auto"/>
                <w:u w:val="single"/>
              </w:rPr>
              <w:t>harges and invoicing</w:t>
            </w:r>
            <w:r w:rsidR="00815C30" w:rsidRPr="00815C30">
              <w:rPr>
                <w:rFonts w:ascii="Arial" w:hAnsi="Arial" w:cs="Arial"/>
                <w:color w:val="auto"/>
              </w:rPr>
              <w:t>​</w:t>
            </w:r>
          </w:p>
          <w:p w14:paraId="3A4F4FA3" w14:textId="638C9504" w:rsidR="00815C30" w:rsidRPr="00815C30" w:rsidRDefault="00815C30" w:rsidP="00815C30">
            <w:pPr>
              <w:rPr>
                <w:color w:val="auto"/>
              </w:rPr>
            </w:pPr>
            <w:r w:rsidRPr="00815C30">
              <w:rPr>
                <w:color w:val="auto"/>
              </w:rPr>
              <w:t xml:space="preserve">Invoicing activities CDSP perform </w:t>
            </w:r>
            <w:r w:rsidR="0081355C">
              <w:rPr>
                <w:color w:val="auto"/>
              </w:rPr>
              <w:t xml:space="preserve">relating to MUS and GSR processes will be </w:t>
            </w:r>
            <w:r w:rsidRPr="00815C30">
              <w:rPr>
                <w:color w:val="auto"/>
              </w:rPr>
              <w:t>applicable for IGT sites</w:t>
            </w:r>
            <w:r w:rsidR="0081355C">
              <w:rPr>
                <w:color w:val="auto"/>
              </w:rPr>
              <w:t xml:space="preserve">. </w:t>
            </w:r>
            <w:r w:rsidR="00EA4C1F">
              <w:rPr>
                <w:color w:val="auto"/>
              </w:rPr>
              <w:t>A</w:t>
            </w:r>
            <w:r w:rsidRPr="00815C30">
              <w:rPr>
                <w:color w:val="auto"/>
              </w:rPr>
              <w:t>ny</w:t>
            </w:r>
            <w:r w:rsidR="00AB1168">
              <w:rPr>
                <w:color w:val="auto"/>
              </w:rPr>
              <w:t xml:space="preserve"> </w:t>
            </w:r>
            <w:r w:rsidRPr="00815C30">
              <w:rPr>
                <w:color w:val="auto"/>
              </w:rPr>
              <w:t>transportation (commodity / capacity) charges associated to impacted period</w:t>
            </w:r>
            <w:r w:rsidR="00EA4C1F">
              <w:rPr>
                <w:color w:val="auto"/>
              </w:rPr>
              <w:t xml:space="preserve"> will </w:t>
            </w:r>
            <w:r w:rsidRPr="00815C30">
              <w:rPr>
                <w:color w:val="auto"/>
              </w:rPr>
              <w:t>recover</w:t>
            </w:r>
            <w:r w:rsidR="00EA4C1F">
              <w:rPr>
                <w:color w:val="auto"/>
              </w:rPr>
              <w:t xml:space="preserve"> charges on </w:t>
            </w:r>
            <w:r w:rsidRPr="00815C30">
              <w:rPr>
                <w:color w:val="auto"/>
              </w:rPr>
              <w:t xml:space="preserve">behalf of DNs (not IGTs). </w:t>
            </w:r>
            <w:r w:rsidRPr="00815C30">
              <w:rPr>
                <w:rFonts w:ascii="Arial" w:hAnsi="Arial" w:cs="Arial"/>
                <w:color w:val="auto"/>
              </w:rPr>
              <w:t>​</w:t>
            </w:r>
          </w:p>
          <w:p w14:paraId="0FAEEE4B" w14:textId="77777777" w:rsidR="00815C30" w:rsidRPr="00815C30" w:rsidRDefault="00815C30" w:rsidP="00815C30">
            <w:pPr>
              <w:rPr>
                <w:color w:val="auto"/>
              </w:rPr>
            </w:pPr>
          </w:p>
          <w:p w14:paraId="04C9D1EA" w14:textId="6547A49D" w:rsidR="7BAAF4A3" w:rsidRDefault="00815C30" w:rsidP="00AB1168">
            <w:pPr>
              <w:rPr>
                <w:color w:val="auto"/>
              </w:rPr>
            </w:pPr>
            <w:r w:rsidRPr="00815C30">
              <w:rPr>
                <w:rFonts w:ascii="Arial" w:hAnsi="Arial" w:cs="Arial"/>
                <w:color w:val="auto"/>
              </w:rPr>
              <w:t>​</w:t>
            </w:r>
            <w:r w:rsidRPr="00815C30">
              <w:rPr>
                <w:color w:val="auto"/>
              </w:rPr>
              <w:t xml:space="preserve">For the avoidance of doubt, any direct charges associated to IGT activities remain out of scope of CDSP services, with IGTs performing their own invoicing services.        </w:t>
            </w:r>
          </w:p>
          <w:p w14:paraId="4935DE2A" w14:textId="77777777" w:rsidR="00AB1168" w:rsidRPr="00EA4C1F" w:rsidRDefault="00AB1168" w:rsidP="00AB1168">
            <w:pPr>
              <w:rPr>
                <w:color w:val="auto"/>
                <w:u w:val="single"/>
              </w:rPr>
            </w:pPr>
          </w:p>
          <w:p w14:paraId="2938E0D4" w14:textId="233DAC92" w:rsidR="00AB1168" w:rsidRDefault="00130D70" w:rsidP="00CC58BF">
            <w:pPr>
              <w:ind w:right="-29"/>
              <w:jc w:val="both"/>
              <w:rPr>
                <w:b/>
                <w:bCs/>
                <w:color w:val="auto"/>
              </w:rPr>
            </w:pPr>
            <w:r w:rsidRPr="00EA4C1F">
              <w:rPr>
                <w:b/>
                <w:bCs/>
                <w:color w:val="auto"/>
                <w:u w:val="single"/>
              </w:rPr>
              <w:t>Process Reporting information</w:t>
            </w:r>
          </w:p>
          <w:p w14:paraId="3E660141" w14:textId="17353744" w:rsidR="004A0AA0" w:rsidRPr="007D396A" w:rsidRDefault="00130D70" w:rsidP="00CC58BF">
            <w:pPr>
              <w:ind w:right="-29"/>
              <w:jc w:val="both"/>
              <w:rPr>
                <w:color w:val="auto"/>
              </w:rPr>
            </w:pPr>
            <w:r>
              <w:rPr>
                <w:color w:val="auto"/>
              </w:rPr>
              <w:t>To facilitate the process</w:t>
            </w:r>
            <w:r w:rsidR="008F77BE">
              <w:rPr>
                <w:color w:val="auto"/>
              </w:rPr>
              <w:t xml:space="preserve">es a set of reports </w:t>
            </w:r>
            <w:r w:rsidR="001237B3">
              <w:rPr>
                <w:color w:val="auto"/>
              </w:rPr>
              <w:t xml:space="preserve">(Excel spreadsheets) </w:t>
            </w:r>
            <w:r w:rsidR="008F77BE">
              <w:rPr>
                <w:color w:val="auto"/>
              </w:rPr>
              <w:t xml:space="preserve">are </w:t>
            </w:r>
            <w:r w:rsidR="359E1EC6" w:rsidRPr="007D396A">
              <w:rPr>
                <w:color w:val="auto"/>
              </w:rPr>
              <w:t xml:space="preserve">sent to the </w:t>
            </w:r>
            <w:r w:rsidR="557832EA" w:rsidRPr="007D396A">
              <w:rPr>
                <w:color w:val="auto"/>
              </w:rPr>
              <w:t xml:space="preserve">IGT </w:t>
            </w:r>
            <w:r w:rsidR="006B27E0">
              <w:rPr>
                <w:color w:val="auto"/>
              </w:rPr>
              <w:t xml:space="preserve">and shipper </w:t>
            </w:r>
            <w:r w:rsidR="557832EA" w:rsidRPr="007D396A">
              <w:rPr>
                <w:color w:val="auto"/>
              </w:rPr>
              <w:t>customers</w:t>
            </w:r>
            <w:r w:rsidR="53D3288C" w:rsidRPr="007D396A">
              <w:rPr>
                <w:color w:val="auto"/>
              </w:rPr>
              <w:t xml:space="preserve"> </w:t>
            </w:r>
            <w:r w:rsidR="008F77BE">
              <w:rPr>
                <w:color w:val="auto"/>
              </w:rPr>
              <w:t xml:space="preserve">for both </w:t>
            </w:r>
            <w:r w:rsidR="53D3288C" w:rsidRPr="007D396A">
              <w:rPr>
                <w:color w:val="auto"/>
              </w:rPr>
              <w:t>MUS and GSR process</w:t>
            </w:r>
            <w:r w:rsidR="004805CD">
              <w:rPr>
                <w:color w:val="auto"/>
              </w:rPr>
              <w:t>es</w:t>
            </w:r>
            <w:r w:rsidR="001237B3">
              <w:rPr>
                <w:color w:val="auto"/>
              </w:rPr>
              <w:t xml:space="preserve"> managed by the</w:t>
            </w:r>
            <w:r w:rsidR="009563AF">
              <w:rPr>
                <w:color w:val="auto"/>
              </w:rPr>
              <w:t xml:space="preserve"> CDSP</w:t>
            </w:r>
            <w:r w:rsidR="008F77BE">
              <w:rPr>
                <w:color w:val="auto"/>
              </w:rPr>
              <w:t xml:space="preserve">. </w:t>
            </w:r>
            <w:r w:rsidR="00755DE6">
              <w:rPr>
                <w:color w:val="auto"/>
              </w:rPr>
              <w:t xml:space="preserve">Ahead of this change going live, IGT customers will be asked to confirm who requires the </w:t>
            </w:r>
            <w:r w:rsidR="006C21C4">
              <w:rPr>
                <w:color w:val="auto"/>
              </w:rPr>
              <w:t xml:space="preserve">reporting </w:t>
            </w:r>
            <w:r w:rsidR="00755DE6">
              <w:rPr>
                <w:color w:val="auto"/>
              </w:rPr>
              <w:t xml:space="preserve">information to be </w:t>
            </w:r>
            <w:r w:rsidR="006C21C4">
              <w:rPr>
                <w:color w:val="auto"/>
              </w:rPr>
              <w:t xml:space="preserve">supplied to them via email. Details of each report </w:t>
            </w:r>
            <w:r w:rsidR="000813EC">
              <w:rPr>
                <w:color w:val="auto"/>
              </w:rPr>
              <w:t>are listed below for completeness</w:t>
            </w:r>
            <w:r w:rsidR="006C21C4">
              <w:rPr>
                <w:color w:val="auto"/>
              </w:rPr>
              <w:t xml:space="preserve"> </w:t>
            </w:r>
            <w:r w:rsidR="557832EA" w:rsidRPr="007D396A">
              <w:rPr>
                <w:color w:val="auto"/>
              </w:rPr>
              <w:t>:</w:t>
            </w:r>
          </w:p>
          <w:p w14:paraId="3C263B2E" w14:textId="36CEDF57" w:rsidR="004A0AA0" w:rsidRPr="000813EC" w:rsidRDefault="08E7BF26" w:rsidP="002A237F">
            <w:pPr>
              <w:pStyle w:val="ListParagraph"/>
              <w:numPr>
                <w:ilvl w:val="0"/>
                <w:numId w:val="3"/>
              </w:numPr>
              <w:spacing w:before="240" w:after="240"/>
              <w:jc w:val="both"/>
              <w:rPr>
                <w:rFonts w:eastAsia="Century Gothic" w:cs="Century Gothic"/>
                <w:color w:val="auto"/>
                <w:sz w:val="16"/>
                <w:szCs w:val="16"/>
              </w:rPr>
            </w:pPr>
            <w:r w:rsidRPr="000813EC">
              <w:rPr>
                <w:rFonts w:eastAsia="Century Gothic" w:cs="Century Gothic"/>
                <w:color w:val="auto"/>
                <w:sz w:val="16"/>
                <w:szCs w:val="16"/>
                <w:u w:val="single"/>
              </w:rPr>
              <w:t>Rpt_id_568_GSR_Supplementary_Data</w:t>
            </w:r>
            <w:r w:rsidRPr="000813EC">
              <w:rPr>
                <w:rFonts w:eastAsia="Century Gothic" w:cs="Century Gothic"/>
                <w:color w:val="auto"/>
                <w:sz w:val="16"/>
                <w:szCs w:val="16"/>
              </w:rPr>
              <w:t xml:space="preserve"> </w:t>
            </w:r>
          </w:p>
          <w:p w14:paraId="7E21CA68" w14:textId="1C023D04" w:rsidR="003D11FB" w:rsidRPr="000813EC" w:rsidRDefault="003D11FB" w:rsidP="003D11FB">
            <w:pPr>
              <w:pStyle w:val="ListParagraph"/>
              <w:spacing w:before="240" w:after="240"/>
              <w:jc w:val="both"/>
              <w:rPr>
                <w:rFonts w:eastAsia="Century Gothic" w:cs="Century Gothic"/>
                <w:color w:val="auto"/>
                <w:sz w:val="16"/>
                <w:szCs w:val="16"/>
              </w:rPr>
            </w:pPr>
            <w:r w:rsidRPr="000813EC">
              <w:rPr>
                <w:rFonts w:eastAsia="Century Gothic" w:cs="Century Gothic"/>
                <w:color w:val="auto"/>
                <w:sz w:val="16"/>
                <w:szCs w:val="16"/>
              </w:rPr>
              <w:t xml:space="preserve">Recipient – </w:t>
            </w:r>
            <w:r w:rsidR="00301164" w:rsidRPr="000813EC">
              <w:rPr>
                <w:rFonts w:eastAsia="Century Gothic" w:cs="Century Gothic"/>
                <w:color w:val="auto"/>
                <w:sz w:val="16"/>
                <w:szCs w:val="16"/>
              </w:rPr>
              <w:t>GT and IGT</w:t>
            </w:r>
          </w:p>
          <w:p w14:paraId="7109ACB0" w14:textId="3307E8F2" w:rsidR="003D11FB" w:rsidRPr="000813EC" w:rsidRDefault="003D11FB" w:rsidP="003D11FB">
            <w:pPr>
              <w:pStyle w:val="ListParagraph"/>
              <w:spacing w:before="240" w:after="240"/>
              <w:jc w:val="both"/>
              <w:rPr>
                <w:rFonts w:eastAsia="Century Gothic" w:cs="Century Gothic"/>
                <w:color w:val="auto"/>
                <w:sz w:val="16"/>
                <w:szCs w:val="16"/>
              </w:rPr>
            </w:pPr>
            <w:r w:rsidRPr="000813EC">
              <w:rPr>
                <w:rFonts w:eastAsia="Century Gothic" w:cs="Century Gothic"/>
                <w:color w:val="auto"/>
                <w:sz w:val="16"/>
                <w:szCs w:val="16"/>
              </w:rPr>
              <w:t xml:space="preserve">Frequency </w:t>
            </w:r>
            <w:r w:rsidR="00324069" w:rsidRPr="000813EC">
              <w:rPr>
                <w:rFonts w:eastAsia="Century Gothic" w:cs="Century Gothic"/>
                <w:color w:val="auto"/>
                <w:sz w:val="16"/>
                <w:szCs w:val="16"/>
              </w:rPr>
              <w:t>– Adhoc</w:t>
            </w:r>
          </w:p>
          <w:p w14:paraId="3E202FE6" w14:textId="5461743B" w:rsidR="002A237F" w:rsidRPr="000813EC" w:rsidRDefault="003D11FB" w:rsidP="00211440">
            <w:pPr>
              <w:pStyle w:val="ListParagraph"/>
              <w:spacing w:before="240" w:after="240"/>
              <w:ind w:firstLine="27"/>
              <w:jc w:val="both"/>
              <w:rPr>
                <w:rFonts w:eastAsia="Century Gothic" w:cs="Century Gothic"/>
                <w:color w:val="auto"/>
                <w:sz w:val="16"/>
                <w:szCs w:val="16"/>
              </w:rPr>
            </w:pPr>
            <w:r w:rsidRPr="000813EC">
              <w:rPr>
                <w:rFonts w:eastAsia="Century Gothic" w:cs="Century Gothic"/>
                <w:color w:val="auto"/>
                <w:sz w:val="16"/>
                <w:szCs w:val="16"/>
              </w:rPr>
              <w:t>Data items – MPRN, MP STATUS CODE, CURRENT MSN</w:t>
            </w:r>
            <w:r w:rsidR="00301164" w:rsidRPr="000813EC">
              <w:rPr>
                <w:rFonts w:eastAsia="Century Gothic" w:cs="Century Gothic"/>
                <w:color w:val="auto"/>
                <w:sz w:val="16"/>
                <w:szCs w:val="16"/>
              </w:rPr>
              <w:t xml:space="preserve">, </w:t>
            </w:r>
            <w:r w:rsidRPr="000813EC">
              <w:rPr>
                <w:rFonts w:eastAsia="Century Gothic" w:cs="Century Gothic"/>
                <w:color w:val="auto"/>
                <w:sz w:val="16"/>
                <w:szCs w:val="16"/>
              </w:rPr>
              <w:t>METER FITTED DATE</w:t>
            </w:r>
            <w:r w:rsidR="00301164" w:rsidRPr="000813EC">
              <w:rPr>
                <w:rFonts w:eastAsia="Century Gothic" w:cs="Century Gothic"/>
                <w:color w:val="auto"/>
                <w:sz w:val="16"/>
                <w:szCs w:val="16"/>
              </w:rPr>
              <w:t xml:space="preserve">, </w:t>
            </w:r>
            <w:r w:rsidRPr="000813EC">
              <w:rPr>
                <w:rFonts w:eastAsia="Century Gothic" w:cs="Century Gothic"/>
                <w:color w:val="auto"/>
                <w:sz w:val="16"/>
                <w:szCs w:val="16"/>
              </w:rPr>
              <w:t>Registered/Not Registered</w:t>
            </w:r>
            <w:r w:rsidR="002A237F" w:rsidRPr="000813EC">
              <w:rPr>
                <w:rFonts w:eastAsia="Century Gothic" w:cs="Century Gothic"/>
                <w:color w:val="auto"/>
                <w:sz w:val="16"/>
                <w:szCs w:val="16"/>
              </w:rPr>
              <w:t xml:space="preserve">      </w:t>
            </w:r>
          </w:p>
          <w:p w14:paraId="769D7823" w14:textId="77777777" w:rsidR="00B936A4" w:rsidRPr="000813EC" w:rsidRDefault="00B936A4" w:rsidP="00211440">
            <w:pPr>
              <w:pStyle w:val="ListParagraph"/>
              <w:spacing w:before="240" w:after="240"/>
              <w:ind w:firstLine="27"/>
              <w:jc w:val="both"/>
              <w:rPr>
                <w:rFonts w:eastAsia="Century Gothic" w:cs="Century Gothic"/>
                <w:color w:val="auto"/>
                <w:sz w:val="16"/>
                <w:szCs w:val="16"/>
              </w:rPr>
            </w:pPr>
          </w:p>
          <w:p w14:paraId="656D932F" w14:textId="4D3B06F3" w:rsidR="004A0AA0" w:rsidRPr="000813EC" w:rsidRDefault="08E7BF26" w:rsidP="07668953">
            <w:pPr>
              <w:pStyle w:val="ListParagraph"/>
              <w:numPr>
                <w:ilvl w:val="0"/>
                <w:numId w:val="3"/>
              </w:numPr>
              <w:spacing w:before="240" w:after="240"/>
              <w:ind w:right="90"/>
              <w:jc w:val="both"/>
              <w:rPr>
                <w:rFonts w:eastAsia="Century Gothic" w:cs="Century Gothic"/>
                <w:color w:val="auto"/>
                <w:sz w:val="16"/>
                <w:szCs w:val="16"/>
              </w:rPr>
            </w:pPr>
            <w:r w:rsidRPr="000813EC">
              <w:rPr>
                <w:rFonts w:eastAsia="Century Gothic" w:cs="Century Gothic"/>
                <w:color w:val="auto"/>
                <w:sz w:val="16"/>
                <w:szCs w:val="16"/>
                <w:u w:val="single"/>
              </w:rPr>
              <w:t>Transporter_Gas_safety_Visit_reporting</w:t>
            </w:r>
            <w:r w:rsidRPr="000813EC">
              <w:rPr>
                <w:rFonts w:eastAsia="Century Gothic" w:cs="Century Gothic"/>
                <w:color w:val="auto"/>
                <w:sz w:val="16"/>
                <w:szCs w:val="16"/>
              </w:rPr>
              <w:t xml:space="preserve"> (MOD469S Transporter Gas Safety Report) </w:t>
            </w:r>
          </w:p>
          <w:p w14:paraId="544A0395" w14:textId="783BA67C" w:rsidR="0081870C" w:rsidRPr="000813EC" w:rsidRDefault="7BA40088" w:rsidP="6DA0976B">
            <w:pPr>
              <w:pStyle w:val="ListParagraph"/>
              <w:spacing w:before="240" w:after="240"/>
              <w:ind w:right="90"/>
              <w:jc w:val="both"/>
              <w:rPr>
                <w:rFonts w:eastAsia="Century Gothic" w:cs="Century Gothic"/>
                <w:color w:val="auto"/>
                <w:sz w:val="16"/>
                <w:szCs w:val="16"/>
              </w:rPr>
            </w:pPr>
            <w:r w:rsidRPr="000813EC">
              <w:rPr>
                <w:rFonts w:eastAsia="Century Gothic" w:cs="Century Gothic"/>
                <w:color w:val="auto"/>
                <w:sz w:val="16"/>
                <w:szCs w:val="16"/>
              </w:rPr>
              <w:t>Recipient: Shipper and GT/IGT</w:t>
            </w:r>
          </w:p>
          <w:p w14:paraId="5F4582C2" w14:textId="25522868" w:rsidR="7BA40088" w:rsidRPr="000813EC" w:rsidRDefault="7BA40088" w:rsidP="2F6737CA">
            <w:pPr>
              <w:pStyle w:val="ListParagraph"/>
              <w:spacing w:before="240" w:after="240"/>
              <w:ind w:right="90"/>
              <w:jc w:val="both"/>
              <w:rPr>
                <w:rFonts w:eastAsia="Century Gothic" w:cs="Century Gothic"/>
                <w:color w:val="auto"/>
                <w:sz w:val="16"/>
                <w:szCs w:val="16"/>
              </w:rPr>
            </w:pPr>
            <w:r w:rsidRPr="000813EC">
              <w:rPr>
                <w:rFonts w:eastAsia="Century Gothic" w:cs="Century Gothic"/>
                <w:color w:val="auto"/>
                <w:sz w:val="16"/>
                <w:szCs w:val="16"/>
              </w:rPr>
              <w:t xml:space="preserve">Frequency: </w:t>
            </w:r>
            <w:r w:rsidR="226618F7" w:rsidRPr="000813EC">
              <w:rPr>
                <w:rFonts w:eastAsia="Century Gothic" w:cs="Century Gothic"/>
                <w:color w:val="auto"/>
                <w:sz w:val="16"/>
                <w:szCs w:val="16"/>
              </w:rPr>
              <w:t>Monthly</w:t>
            </w:r>
          </w:p>
          <w:p w14:paraId="22D4405D" w14:textId="4F1EFB59" w:rsidR="7BA40088" w:rsidRPr="000813EC" w:rsidRDefault="7BA40088" w:rsidP="0DFD9B1A">
            <w:pPr>
              <w:pStyle w:val="ListParagraph"/>
              <w:spacing w:before="240" w:after="240"/>
              <w:ind w:right="90"/>
              <w:jc w:val="both"/>
              <w:rPr>
                <w:rFonts w:eastAsia="Century Gothic" w:cs="Century Gothic"/>
                <w:color w:val="auto"/>
                <w:sz w:val="16"/>
                <w:szCs w:val="16"/>
              </w:rPr>
            </w:pPr>
            <w:r w:rsidRPr="000813EC">
              <w:rPr>
                <w:rFonts w:eastAsia="Century Gothic" w:cs="Century Gothic"/>
                <w:color w:val="auto"/>
                <w:sz w:val="16"/>
                <w:szCs w:val="16"/>
              </w:rPr>
              <w:t>Data Fields:</w:t>
            </w:r>
            <w:r w:rsidR="6836341E" w:rsidRPr="000813EC">
              <w:rPr>
                <w:rFonts w:eastAsia="Century Gothic" w:cs="Century Gothic"/>
                <w:color w:val="auto"/>
                <w:sz w:val="16"/>
                <w:szCs w:val="16"/>
              </w:rPr>
              <w:t xml:space="preserve"> </w:t>
            </w:r>
            <w:r w:rsidR="00B721BE" w:rsidRPr="000813EC">
              <w:rPr>
                <w:rFonts w:eastAsia="Century Gothic" w:cs="Century Gothic"/>
                <w:color w:val="auto"/>
                <w:sz w:val="16"/>
                <w:szCs w:val="16"/>
              </w:rPr>
              <w:t>IGT</w:t>
            </w:r>
            <w:r w:rsidR="00CC58BF" w:rsidRPr="000813EC">
              <w:rPr>
                <w:rFonts w:eastAsia="Century Gothic" w:cs="Century Gothic"/>
                <w:color w:val="auto"/>
                <w:sz w:val="16"/>
                <w:szCs w:val="16"/>
              </w:rPr>
              <w:t xml:space="preserve">, </w:t>
            </w:r>
            <w:r w:rsidR="00211440" w:rsidRPr="000813EC">
              <w:rPr>
                <w:rFonts w:eastAsia="Century Gothic" w:cs="Century Gothic"/>
                <w:color w:val="auto"/>
                <w:sz w:val="16"/>
                <w:szCs w:val="16"/>
              </w:rPr>
              <w:t>LDZ</w:t>
            </w:r>
            <w:r w:rsidR="00CC58BF" w:rsidRPr="000813EC">
              <w:rPr>
                <w:rFonts w:eastAsia="Century Gothic" w:cs="Century Gothic"/>
                <w:color w:val="auto"/>
                <w:sz w:val="16"/>
                <w:szCs w:val="16"/>
              </w:rPr>
              <w:t xml:space="preserve">, </w:t>
            </w:r>
            <w:r w:rsidR="00211440" w:rsidRPr="000813EC">
              <w:rPr>
                <w:rFonts w:eastAsia="Century Gothic" w:cs="Century Gothic"/>
                <w:color w:val="auto"/>
                <w:sz w:val="16"/>
                <w:szCs w:val="16"/>
              </w:rPr>
              <w:t>Shipper Short Code</w:t>
            </w:r>
            <w:r w:rsidR="00CC58BF" w:rsidRPr="000813EC">
              <w:rPr>
                <w:rFonts w:eastAsia="Century Gothic" w:cs="Century Gothic"/>
                <w:color w:val="auto"/>
                <w:sz w:val="16"/>
                <w:szCs w:val="16"/>
              </w:rPr>
              <w:t xml:space="preserve">, </w:t>
            </w:r>
            <w:r w:rsidR="00211440" w:rsidRPr="000813EC">
              <w:rPr>
                <w:rFonts w:eastAsia="Century Gothic" w:cs="Century Gothic"/>
                <w:color w:val="auto"/>
                <w:sz w:val="16"/>
                <w:szCs w:val="16"/>
              </w:rPr>
              <w:t>Status</w:t>
            </w:r>
            <w:r w:rsidR="00CC58BF" w:rsidRPr="000813EC">
              <w:rPr>
                <w:rFonts w:eastAsia="Century Gothic" w:cs="Century Gothic"/>
                <w:color w:val="auto"/>
                <w:sz w:val="16"/>
                <w:szCs w:val="16"/>
              </w:rPr>
              <w:t xml:space="preserve">, </w:t>
            </w:r>
            <w:r w:rsidR="00211440" w:rsidRPr="000813EC">
              <w:rPr>
                <w:rFonts w:eastAsia="Century Gothic" w:cs="Century Gothic"/>
                <w:color w:val="auto"/>
                <w:sz w:val="16"/>
                <w:szCs w:val="16"/>
              </w:rPr>
              <w:t>MPRN</w:t>
            </w:r>
            <w:r w:rsidR="00CC58BF" w:rsidRPr="000813EC">
              <w:rPr>
                <w:rFonts w:eastAsia="Century Gothic" w:cs="Century Gothic"/>
                <w:color w:val="auto"/>
                <w:sz w:val="16"/>
                <w:szCs w:val="16"/>
              </w:rPr>
              <w:t xml:space="preserve">, </w:t>
            </w:r>
            <w:r w:rsidR="00211440" w:rsidRPr="000813EC">
              <w:rPr>
                <w:rFonts w:eastAsia="Century Gothic" w:cs="Century Gothic"/>
                <w:color w:val="auto"/>
                <w:sz w:val="16"/>
                <w:szCs w:val="16"/>
              </w:rPr>
              <w:t>AQ</w:t>
            </w:r>
            <w:r w:rsidR="00B936A4" w:rsidRPr="000813EC">
              <w:rPr>
                <w:rFonts w:eastAsia="Century Gothic" w:cs="Century Gothic"/>
                <w:color w:val="auto"/>
                <w:sz w:val="16"/>
                <w:szCs w:val="16"/>
              </w:rPr>
              <w:t xml:space="preserve"> </w:t>
            </w:r>
          </w:p>
          <w:p w14:paraId="54DFC631" w14:textId="77777777" w:rsidR="00B936A4" w:rsidRPr="000813EC" w:rsidRDefault="00B936A4" w:rsidP="0DFD9B1A">
            <w:pPr>
              <w:pStyle w:val="ListParagraph"/>
              <w:spacing w:before="240" w:after="240"/>
              <w:ind w:right="90"/>
              <w:jc w:val="both"/>
              <w:rPr>
                <w:rFonts w:eastAsia="Century Gothic" w:cs="Century Gothic"/>
                <w:color w:val="auto"/>
                <w:sz w:val="16"/>
                <w:szCs w:val="16"/>
              </w:rPr>
            </w:pPr>
          </w:p>
          <w:p w14:paraId="2FC8FAF0" w14:textId="77777777" w:rsidR="00F23833" w:rsidRPr="000813EC" w:rsidRDefault="08E7BF26" w:rsidP="00F566E4">
            <w:pPr>
              <w:pStyle w:val="ListParagraph"/>
              <w:numPr>
                <w:ilvl w:val="0"/>
                <w:numId w:val="3"/>
              </w:numPr>
              <w:spacing w:before="240" w:after="240"/>
              <w:ind w:right="-29"/>
              <w:rPr>
                <w:rFonts w:eastAsia="Century Gothic" w:cs="Century Gothic"/>
                <w:color w:val="auto"/>
                <w:sz w:val="16"/>
                <w:szCs w:val="16"/>
              </w:rPr>
            </w:pPr>
            <w:r w:rsidRPr="000813EC">
              <w:rPr>
                <w:rFonts w:eastAsia="Century Gothic" w:cs="Century Gothic"/>
                <w:color w:val="auto"/>
                <w:sz w:val="16"/>
                <w:szCs w:val="16"/>
                <w:u w:val="single"/>
              </w:rPr>
              <w:t>Rpt_id_1125_GSR Mod 0518 Full Report</w:t>
            </w:r>
            <w:r w:rsidRPr="000813EC">
              <w:rPr>
                <w:rFonts w:eastAsia="Century Gothic" w:cs="Century Gothic"/>
                <w:color w:val="auto"/>
                <w:sz w:val="16"/>
                <w:szCs w:val="16"/>
              </w:rPr>
              <w:t xml:space="preserve"> (Mod 0518 Full report) </w:t>
            </w:r>
          </w:p>
          <w:p w14:paraId="492D0F07" w14:textId="2B94932B" w:rsidR="00F23833" w:rsidRPr="000813EC" w:rsidRDefault="00F23833" w:rsidP="00F23833">
            <w:pPr>
              <w:pStyle w:val="ListParagraph"/>
              <w:spacing w:before="240" w:after="240"/>
              <w:ind w:right="-29"/>
              <w:rPr>
                <w:rFonts w:eastAsia="Century Gothic" w:cs="Century Gothic"/>
                <w:color w:val="auto"/>
                <w:sz w:val="16"/>
                <w:szCs w:val="16"/>
              </w:rPr>
            </w:pPr>
            <w:r w:rsidRPr="000813EC">
              <w:rPr>
                <w:rFonts w:eastAsia="Century Gothic" w:cs="Century Gothic"/>
                <w:color w:val="auto"/>
                <w:sz w:val="16"/>
                <w:szCs w:val="16"/>
              </w:rPr>
              <w:t xml:space="preserve">Recipients - </w:t>
            </w:r>
            <w:r w:rsidR="77FC9B28" w:rsidRPr="000813EC">
              <w:rPr>
                <w:rFonts w:eastAsia="Century Gothic" w:cs="Century Gothic"/>
                <w:color w:val="auto"/>
                <w:sz w:val="16"/>
                <w:szCs w:val="16"/>
              </w:rPr>
              <w:t xml:space="preserve">Shipper and </w:t>
            </w:r>
            <w:r w:rsidR="12DE2323" w:rsidRPr="000813EC">
              <w:rPr>
                <w:rFonts w:eastAsia="Century Gothic" w:cs="Century Gothic"/>
                <w:color w:val="auto"/>
                <w:sz w:val="16"/>
                <w:szCs w:val="16"/>
              </w:rPr>
              <w:t>GT/</w:t>
            </w:r>
            <w:r w:rsidR="77FC9B28" w:rsidRPr="000813EC">
              <w:rPr>
                <w:rFonts w:eastAsia="Century Gothic" w:cs="Century Gothic"/>
                <w:color w:val="auto"/>
                <w:sz w:val="16"/>
                <w:szCs w:val="16"/>
              </w:rPr>
              <w:t>IGT report</w:t>
            </w:r>
          </w:p>
          <w:p w14:paraId="2F5C09B9" w14:textId="556B8FB5" w:rsidR="00F566E4" w:rsidRPr="000813EC" w:rsidRDefault="00F23833" w:rsidP="00F23833">
            <w:pPr>
              <w:pStyle w:val="ListParagraph"/>
              <w:spacing w:before="240" w:after="240"/>
              <w:ind w:right="-29"/>
              <w:rPr>
                <w:rFonts w:eastAsia="Century Gothic" w:cs="Century Gothic"/>
                <w:color w:val="auto"/>
                <w:sz w:val="16"/>
                <w:szCs w:val="16"/>
              </w:rPr>
            </w:pPr>
            <w:r w:rsidRPr="000813EC">
              <w:rPr>
                <w:rFonts w:eastAsia="Century Gothic" w:cs="Century Gothic"/>
                <w:color w:val="auto"/>
                <w:sz w:val="16"/>
                <w:szCs w:val="16"/>
              </w:rPr>
              <w:t xml:space="preserve">Frequency - </w:t>
            </w:r>
            <w:r w:rsidR="15EF0B97" w:rsidRPr="000813EC">
              <w:rPr>
                <w:rFonts w:eastAsia="Century Gothic" w:cs="Century Gothic"/>
                <w:color w:val="auto"/>
                <w:sz w:val="16"/>
                <w:szCs w:val="16"/>
              </w:rPr>
              <w:t xml:space="preserve">Monthly </w:t>
            </w:r>
          </w:p>
          <w:p w14:paraId="478D6AD6" w14:textId="1DF788C1" w:rsidR="004A0AA0" w:rsidRPr="000813EC" w:rsidRDefault="00F566E4" w:rsidP="003F1398">
            <w:pPr>
              <w:pStyle w:val="ListParagraph"/>
              <w:spacing w:before="240" w:after="240"/>
              <w:ind w:right="-29"/>
              <w:jc w:val="both"/>
              <w:rPr>
                <w:rFonts w:eastAsia="Century Gothic" w:cs="Century Gothic"/>
                <w:color w:val="auto"/>
                <w:sz w:val="16"/>
                <w:szCs w:val="16"/>
              </w:rPr>
            </w:pPr>
            <w:r w:rsidRPr="000813EC">
              <w:rPr>
                <w:rFonts w:eastAsia="Century Gothic" w:cs="Century Gothic"/>
                <w:color w:val="auto"/>
                <w:sz w:val="16"/>
                <w:szCs w:val="16"/>
              </w:rPr>
              <w:t xml:space="preserve">Data Fields - </w:t>
            </w:r>
            <w:r w:rsidR="003A6D23" w:rsidRPr="000813EC">
              <w:rPr>
                <w:rFonts w:eastAsia="Century Gothic" w:cs="Century Gothic"/>
                <w:color w:val="auto"/>
                <w:sz w:val="16"/>
                <w:szCs w:val="16"/>
              </w:rPr>
              <w:t xml:space="preserve">LDZ IDENTIFIER, </w:t>
            </w:r>
            <w:r w:rsidR="00B721BE" w:rsidRPr="000813EC">
              <w:rPr>
                <w:rFonts w:eastAsia="Century Gothic" w:cs="Century Gothic"/>
                <w:color w:val="auto"/>
                <w:sz w:val="16"/>
                <w:szCs w:val="16"/>
              </w:rPr>
              <w:t>IGT</w:t>
            </w:r>
            <w:r w:rsidR="003A6D23" w:rsidRPr="000813EC">
              <w:rPr>
                <w:rFonts w:eastAsia="Century Gothic" w:cs="Century Gothic"/>
                <w:color w:val="auto"/>
                <w:sz w:val="16"/>
                <w:szCs w:val="16"/>
              </w:rPr>
              <w:t xml:space="preserve"> IDENTIFIER, METER POINT REFERENCE, METER POINT STATUS, METER REMOVAL DATE, REMOVED METER SERIAL NUMBER, METER STATUS, METER LOCATION</w:t>
            </w:r>
            <w:r w:rsidR="00B86788" w:rsidRPr="000813EC">
              <w:rPr>
                <w:rFonts w:eastAsia="Century Gothic" w:cs="Century Gothic"/>
                <w:color w:val="auto"/>
                <w:sz w:val="16"/>
                <w:szCs w:val="16"/>
              </w:rPr>
              <w:t xml:space="preserve">, </w:t>
            </w:r>
            <w:r w:rsidR="003A6D23" w:rsidRPr="000813EC">
              <w:rPr>
                <w:rFonts w:eastAsia="Century Gothic" w:cs="Century Gothic"/>
                <w:color w:val="auto"/>
                <w:sz w:val="16"/>
                <w:szCs w:val="16"/>
              </w:rPr>
              <w:t>METER LOCATION DESCRIPTION</w:t>
            </w:r>
            <w:r w:rsidR="00B86788" w:rsidRPr="000813EC">
              <w:rPr>
                <w:rFonts w:eastAsia="Century Gothic" w:cs="Century Gothic"/>
                <w:color w:val="auto"/>
                <w:sz w:val="16"/>
                <w:szCs w:val="16"/>
              </w:rPr>
              <w:t xml:space="preserve">, </w:t>
            </w:r>
            <w:r w:rsidR="003A6D23" w:rsidRPr="000813EC">
              <w:rPr>
                <w:rFonts w:eastAsia="Century Gothic" w:cs="Century Gothic"/>
                <w:color w:val="auto"/>
                <w:sz w:val="16"/>
                <w:szCs w:val="16"/>
              </w:rPr>
              <w:t>METER LINK CODE</w:t>
            </w:r>
            <w:r w:rsidRPr="000813EC">
              <w:rPr>
                <w:rFonts w:eastAsia="Century Gothic" w:cs="Century Gothic"/>
                <w:color w:val="auto"/>
                <w:sz w:val="16"/>
                <w:szCs w:val="16"/>
              </w:rPr>
              <w:t xml:space="preserve">, </w:t>
            </w:r>
            <w:r w:rsidR="003A6D23" w:rsidRPr="000813EC">
              <w:rPr>
                <w:rFonts w:eastAsia="Century Gothic" w:cs="Century Gothic"/>
                <w:color w:val="auto"/>
                <w:sz w:val="16"/>
                <w:szCs w:val="16"/>
              </w:rPr>
              <w:t>ACCESS INFORMATION</w:t>
            </w:r>
            <w:r w:rsidRPr="000813EC">
              <w:rPr>
                <w:rFonts w:eastAsia="Century Gothic" w:cs="Century Gothic"/>
                <w:color w:val="auto"/>
                <w:sz w:val="16"/>
                <w:szCs w:val="16"/>
              </w:rPr>
              <w:t xml:space="preserve">, </w:t>
            </w:r>
            <w:r w:rsidR="003A6D23" w:rsidRPr="000813EC">
              <w:rPr>
                <w:rFonts w:eastAsia="Century Gothic" w:cs="Century Gothic"/>
                <w:color w:val="auto"/>
                <w:sz w:val="16"/>
                <w:szCs w:val="16"/>
              </w:rPr>
              <w:t>BUILDING NAME / NUMBER</w:t>
            </w:r>
            <w:r w:rsidRPr="000813EC">
              <w:rPr>
                <w:rFonts w:eastAsia="Century Gothic" w:cs="Century Gothic"/>
                <w:color w:val="auto"/>
                <w:sz w:val="16"/>
                <w:szCs w:val="16"/>
              </w:rPr>
              <w:t xml:space="preserve">, </w:t>
            </w:r>
            <w:r w:rsidR="003A6D23" w:rsidRPr="000813EC">
              <w:rPr>
                <w:rFonts w:eastAsia="Century Gothic" w:cs="Century Gothic"/>
                <w:color w:val="auto"/>
                <w:sz w:val="16"/>
                <w:szCs w:val="16"/>
              </w:rPr>
              <w:t>PRINCIPAL STREET</w:t>
            </w:r>
            <w:r w:rsidRPr="000813EC">
              <w:rPr>
                <w:rFonts w:eastAsia="Century Gothic" w:cs="Century Gothic"/>
                <w:color w:val="auto"/>
                <w:sz w:val="16"/>
                <w:szCs w:val="16"/>
              </w:rPr>
              <w:t xml:space="preserve">, </w:t>
            </w:r>
            <w:r w:rsidR="003A6D23" w:rsidRPr="000813EC">
              <w:rPr>
                <w:rFonts w:eastAsia="Century Gothic" w:cs="Century Gothic"/>
                <w:color w:val="auto"/>
                <w:sz w:val="16"/>
                <w:szCs w:val="16"/>
              </w:rPr>
              <w:t>DEPENDENT STREET</w:t>
            </w:r>
            <w:r w:rsidRPr="000813EC">
              <w:rPr>
                <w:rFonts w:eastAsia="Century Gothic" w:cs="Century Gothic"/>
                <w:color w:val="auto"/>
                <w:sz w:val="16"/>
                <w:szCs w:val="16"/>
              </w:rPr>
              <w:t xml:space="preserve">, </w:t>
            </w:r>
            <w:r w:rsidR="003A6D23" w:rsidRPr="000813EC">
              <w:rPr>
                <w:rFonts w:eastAsia="Century Gothic" w:cs="Century Gothic"/>
                <w:color w:val="auto"/>
                <w:sz w:val="16"/>
                <w:szCs w:val="16"/>
              </w:rPr>
              <w:t>DEPENDENT LOCALITY</w:t>
            </w:r>
            <w:r w:rsidRPr="000813EC">
              <w:rPr>
                <w:rFonts w:eastAsia="Century Gothic" w:cs="Century Gothic"/>
                <w:color w:val="auto"/>
                <w:sz w:val="16"/>
                <w:szCs w:val="16"/>
              </w:rPr>
              <w:t xml:space="preserve">, </w:t>
            </w:r>
            <w:r w:rsidR="003A6D23" w:rsidRPr="000813EC">
              <w:rPr>
                <w:rFonts w:eastAsia="Century Gothic" w:cs="Century Gothic"/>
                <w:color w:val="auto"/>
                <w:sz w:val="16"/>
                <w:szCs w:val="16"/>
              </w:rPr>
              <w:t>POST TOWN</w:t>
            </w:r>
            <w:r w:rsidRPr="000813EC">
              <w:rPr>
                <w:rFonts w:eastAsia="Century Gothic" w:cs="Century Gothic"/>
                <w:color w:val="auto"/>
                <w:sz w:val="16"/>
                <w:szCs w:val="16"/>
              </w:rPr>
              <w:t xml:space="preserve">, </w:t>
            </w:r>
            <w:r w:rsidR="003A6D23" w:rsidRPr="000813EC">
              <w:rPr>
                <w:rFonts w:eastAsia="Century Gothic" w:cs="Century Gothic"/>
                <w:color w:val="auto"/>
                <w:sz w:val="16"/>
                <w:szCs w:val="16"/>
              </w:rPr>
              <w:t>COUNTY</w:t>
            </w:r>
            <w:r w:rsidRPr="000813EC">
              <w:rPr>
                <w:rFonts w:eastAsia="Century Gothic" w:cs="Century Gothic"/>
                <w:color w:val="auto"/>
                <w:sz w:val="16"/>
                <w:szCs w:val="16"/>
              </w:rPr>
              <w:t xml:space="preserve">, </w:t>
            </w:r>
            <w:r w:rsidR="003A6D23" w:rsidRPr="000813EC">
              <w:rPr>
                <w:rFonts w:eastAsia="Century Gothic" w:cs="Century Gothic"/>
                <w:color w:val="auto"/>
                <w:sz w:val="16"/>
                <w:szCs w:val="16"/>
              </w:rPr>
              <w:t>POST CODE</w:t>
            </w:r>
            <w:r w:rsidRPr="000813EC">
              <w:rPr>
                <w:rFonts w:eastAsia="Century Gothic" w:cs="Century Gothic"/>
                <w:color w:val="auto"/>
                <w:sz w:val="16"/>
                <w:szCs w:val="16"/>
              </w:rPr>
              <w:t xml:space="preserve">, </w:t>
            </w:r>
            <w:r w:rsidR="003A6D23" w:rsidRPr="000813EC">
              <w:rPr>
                <w:rFonts w:eastAsia="Century Gothic" w:cs="Century Gothic"/>
                <w:color w:val="auto"/>
                <w:sz w:val="16"/>
                <w:szCs w:val="16"/>
              </w:rPr>
              <w:t>SHIPPER SHORT CODE AT METER REMOVAL</w:t>
            </w:r>
            <w:r w:rsidRPr="000813EC">
              <w:rPr>
                <w:rFonts w:eastAsia="Century Gothic" w:cs="Century Gothic"/>
                <w:color w:val="auto"/>
                <w:sz w:val="16"/>
                <w:szCs w:val="16"/>
              </w:rPr>
              <w:t xml:space="preserve">, </w:t>
            </w:r>
            <w:r w:rsidR="003A6D23" w:rsidRPr="000813EC">
              <w:rPr>
                <w:rFonts w:eastAsia="Century Gothic" w:cs="Century Gothic"/>
                <w:color w:val="auto"/>
                <w:sz w:val="16"/>
                <w:szCs w:val="16"/>
              </w:rPr>
              <w:t>SHIPPER NAME AT METER REMOVAL</w:t>
            </w:r>
            <w:r w:rsidRPr="000813EC">
              <w:rPr>
                <w:rFonts w:eastAsia="Century Gothic" w:cs="Century Gothic"/>
                <w:color w:val="auto"/>
                <w:sz w:val="16"/>
                <w:szCs w:val="16"/>
              </w:rPr>
              <w:t xml:space="preserve">, </w:t>
            </w:r>
            <w:r w:rsidR="003A6D23" w:rsidRPr="000813EC">
              <w:rPr>
                <w:rFonts w:eastAsia="Century Gothic" w:cs="Century Gothic"/>
                <w:color w:val="auto"/>
                <w:sz w:val="16"/>
                <w:szCs w:val="16"/>
              </w:rPr>
              <w:t>SUPPLIER SHORT CODE AT METER REMOVAL</w:t>
            </w:r>
            <w:r w:rsidRPr="000813EC">
              <w:rPr>
                <w:rFonts w:eastAsia="Century Gothic" w:cs="Century Gothic"/>
                <w:color w:val="auto"/>
                <w:sz w:val="16"/>
                <w:szCs w:val="16"/>
              </w:rPr>
              <w:t xml:space="preserve">, </w:t>
            </w:r>
            <w:r w:rsidR="003A6D23" w:rsidRPr="000813EC">
              <w:rPr>
                <w:rFonts w:eastAsia="Century Gothic" w:cs="Century Gothic"/>
                <w:color w:val="auto"/>
                <w:sz w:val="16"/>
                <w:szCs w:val="16"/>
              </w:rPr>
              <w:t>SUPPLIER NAME AT METER REMOVAL</w:t>
            </w:r>
            <w:r w:rsidRPr="000813EC">
              <w:rPr>
                <w:rFonts w:eastAsia="Century Gothic" w:cs="Century Gothic"/>
                <w:color w:val="auto"/>
                <w:sz w:val="16"/>
                <w:szCs w:val="16"/>
              </w:rPr>
              <w:t xml:space="preserve">, </w:t>
            </w:r>
            <w:r w:rsidR="003A6D23" w:rsidRPr="000813EC">
              <w:rPr>
                <w:rFonts w:eastAsia="Century Gothic" w:cs="Century Gothic"/>
                <w:color w:val="auto"/>
                <w:sz w:val="16"/>
                <w:szCs w:val="16"/>
              </w:rPr>
              <w:t>METER POINT AQ</w:t>
            </w:r>
            <w:r w:rsidR="00B936A4" w:rsidRPr="000813EC">
              <w:rPr>
                <w:rFonts w:eastAsia="Century Gothic" w:cs="Century Gothic"/>
                <w:color w:val="auto"/>
                <w:sz w:val="16"/>
                <w:szCs w:val="16"/>
              </w:rPr>
              <w:t xml:space="preserve"> </w:t>
            </w:r>
          </w:p>
          <w:p w14:paraId="794EEF4C" w14:textId="77777777" w:rsidR="00B936A4" w:rsidRPr="000813EC" w:rsidRDefault="00B936A4" w:rsidP="00F566E4">
            <w:pPr>
              <w:pStyle w:val="ListParagraph"/>
              <w:spacing w:before="240" w:after="240"/>
              <w:ind w:right="-29"/>
              <w:rPr>
                <w:rFonts w:eastAsia="Century Gothic" w:cs="Century Gothic"/>
                <w:color w:val="auto"/>
                <w:sz w:val="16"/>
                <w:szCs w:val="16"/>
              </w:rPr>
            </w:pPr>
          </w:p>
          <w:p w14:paraId="1C4E4F45" w14:textId="20280E63" w:rsidR="004A0AA0" w:rsidRPr="000813EC" w:rsidRDefault="08E7BF26" w:rsidP="2A5DED67">
            <w:pPr>
              <w:pStyle w:val="ListParagraph"/>
              <w:numPr>
                <w:ilvl w:val="0"/>
                <w:numId w:val="3"/>
              </w:numPr>
              <w:spacing w:before="240" w:after="240"/>
              <w:jc w:val="both"/>
              <w:rPr>
                <w:rFonts w:eastAsia="Century Gothic" w:cs="Century Gothic"/>
                <w:color w:val="auto"/>
                <w:sz w:val="16"/>
                <w:szCs w:val="16"/>
                <w:u w:val="single"/>
              </w:rPr>
            </w:pPr>
            <w:r w:rsidRPr="000813EC">
              <w:rPr>
                <w:rFonts w:eastAsia="Century Gothic" w:cs="Century Gothic"/>
                <w:color w:val="auto"/>
                <w:sz w:val="16"/>
                <w:szCs w:val="16"/>
                <w:u w:val="single"/>
              </w:rPr>
              <w:t xml:space="preserve">MUS_343_PTS </w:t>
            </w:r>
          </w:p>
          <w:p w14:paraId="53F593CB" w14:textId="69391E70" w:rsidR="00EB05BC" w:rsidRPr="000813EC" w:rsidRDefault="00EB05BC" w:rsidP="00EB05BC">
            <w:pPr>
              <w:pStyle w:val="ListParagraph"/>
              <w:spacing w:before="240" w:after="240"/>
              <w:jc w:val="both"/>
              <w:rPr>
                <w:rFonts w:eastAsia="Century Gothic" w:cs="Century Gothic"/>
                <w:color w:val="auto"/>
                <w:sz w:val="16"/>
                <w:szCs w:val="16"/>
              </w:rPr>
            </w:pPr>
            <w:r w:rsidRPr="000813EC">
              <w:rPr>
                <w:rFonts w:eastAsia="Century Gothic" w:cs="Century Gothic"/>
                <w:color w:val="auto"/>
                <w:sz w:val="16"/>
                <w:szCs w:val="16"/>
              </w:rPr>
              <w:t>Recipients - Shipper</w:t>
            </w:r>
          </w:p>
          <w:p w14:paraId="0F33BE32" w14:textId="4B28893A" w:rsidR="00EB05BC" w:rsidRPr="000813EC" w:rsidRDefault="00EB05BC" w:rsidP="00EB05BC">
            <w:pPr>
              <w:pStyle w:val="ListParagraph"/>
              <w:spacing w:before="240" w:after="240"/>
              <w:jc w:val="both"/>
              <w:rPr>
                <w:rFonts w:eastAsia="Century Gothic" w:cs="Century Gothic"/>
                <w:color w:val="auto"/>
                <w:sz w:val="16"/>
                <w:szCs w:val="16"/>
              </w:rPr>
            </w:pPr>
            <w:r w:rsidRPr="000813EC">
              <w:rPr>
                <w:rFonts w:eastAsia="Century Gothic" w:cs="Century Gothic"/>
                <w:color w:val="auto"/>
                <w:sz w:val="16"/>
                <w:szCs w:val="16"/>
              </w:rPr>
              <w:t xml:space="preserve">Frequency - </w:t>
            </w:r>
            <w:r w:rsidR="00591698" w:rsidRPr="000813EC">
              <w:rPr>
                <w:rFonts w:eastAsia="Century Gothic" w:cs="Century Gothic"/>
                <w:color w:val="auto"/>
                <w:sz w:val="16"/>
                <w:szCs w:val="16"/>
              </w:rPr>
              <w:t>Monthly</w:t>
            </w:r>
          </w:p>
          <w:p w14:paraId="4F1449C6" w14:textId="21AFC886" w:rsidR="00EB05BC" w:rsidRPr="000813EC" w:rsidRDefault="7BCADAC7" w:rsidP="00EB05BC">
            <w:pPr>
              <w:pStyle w:val="ListParagraph"/>
              <w:spacing w:before="240" w:after="240"/>
              <w:jc w:val="both"/>
              <w:rPr>
                <w:rFonts w:eastAsia="Century Gothic" w:cs="Century Gothic"/>
                <w:color w:val="auto"/>
                <w:sz w:val="16"/>
                <w:szCs w:val="16"/>
              </w:rPr>
            </w:pPr>
            <w:r w:rsidRPr="000813EC">
              <w:rPr>
                <w:rFonts w:eastAsia="Century Gothic" w:cs="Century Gothic"/>
                <w:color w:val="auto"/>
                <w:sz w:val="16"/>
                <w:szCs w:val="16"/>
              </w:rPr>
              <w:t xml:space="preserve">Data Fields – </w:t>
            </w:r>
            <w:r w:rsidR="6B2CA8DA" w:rsidRPr="000813EC">
              <w:rPr>
                <w:rFonts w:eastAsia="Century Gothic" w:cs="Century Gothic"/>
                <w:color w:val="auto"/>
                <w:sz w:val="16"/>
                <w:szCs w:val="16"/>
              </w:rPr>
              <w:t xml:space="preserve">MPRN, MPRN Creation Date, Pot Name, Sub Category Code, Responsible Shipper, CRN (MUS / GSR), Meter Point Status Code, </w:t>
            </w:r>
            <w:proofErr w:type="spellStart"/>
            <w:r w:rsidR="6B2CA8DA" w:rsidRPr="000813EC">
              <w:rPr>
                <w:rFonts w:eastAsia="Century Gothic" w:cs="Century Gothic"/>
                <w:color w:val="auto"/>
                <w:sz w:val="16"/>
                <w:szCs w:val="16"/>
              </w:rPr>
              <w:t>Mp</w:t>
            </w:r>
            <w:proofErr w:type="spellEnd"/>
            <w:r w:rsidR="6B2CA8DA" w:rsidRPr="000813EC">
              <w:rPr>
                <w:rFonts w:eastAsia="Century Gothic" w:cs="Century Gothic"/>
                <w:color w:val="auto"/>
                <w:sz w:val="16"/>
                <w:szCs w:val="16"/>
              </w:rPr>
              <w:t xml:space="preserve"> Location Description, Original Withdrawal Date, Isolation Date (Meter Removal Date), Building Number, Building Name, Delivery Point Alias</w:t>
            </w:r>
            <w:r w:rsidR="0C5BFFD1" w:rsidRPr="000813EC">
              <w:rPr>
                <w:rFonts w:eastAsia="Century Gothic" w:cs="Century Gothic"/>
                <w:color w:val="auto"/>
                <w:sz w:val="16"/>
                <w:szCs w:val="16"/>
              </w:rPr>
              <w:t>,</w:t>
            </w:r>
            <w:r w:rsidR="00EB05BC" w:rsidRPr="000813EC">
              <w:rPr>
                <w:sz w:val="16"/>
                <w:szCs w:val="16"/>
              </w:rPr>
              <w:tab/>
            </w:r>
            <w:r w:rsidR="6B2CA8DA" w:rsidRPr="000813EC">
              <w:rPr>
                <w:rFonts w:eastAsia="Century Gothic" w:cs="Century Gothic"/>
                <w:color w:val="auto"/>
                <w:sz w:val="16"/>
                <w:szCs w:val="16"/>
              </w:rPr>
              <w:t>Sub Building Name</w:t>
            </w:r>
            <w:r w:rsidR="0C5BFFD1"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Principal Street</w:t>
            </w:r>
            <w:r w:rsidR="0C5BFFD1"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Dependant Street</w:t>
            </w:r>
            <w:r w:rsidR="0C5BFFD1"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 xml:space="preserve">Double </w:t>
            </w:r>
            <w:proofErr w:type="spellStart"/>
            <w:r w:rsidR="6B2CA8DA" w:rsidRPr="000813EC">
              <w:rPr>
                <w:rFonts w:eastAsia="Century Gothic" w:cs="Century Gothic"/>
                <w:color w:val="auto"/>
                <w:sz w:val="16"/>
                <w:szCs w:val="16"/>
              </w:rPr>
              <w:t>Dpnd</w:t>
            </w:r>
            <w:proofErr w:type="spellEnd"/>
            <w:r w:rsidR="6B2CA8DA" w:rsidRPr="000813EC">
              <w:rPr>
                <w:rFonts w:eastAsia="Century Gothic" w:cs="Century Gothic"/>
                <w:color w:val="auto"/>
                <w:sz w:val="16"/>
                <w:szCs w:val="16"/>
              </w:rPr>
              <w:t xml:space="preserve"> Local</w:t>
            </w:r>
            <w:r w:rsidR="0C5BFFD1" w:rsidRPr="000813EC">
              <w:rPr>
                <w:rFonts w:eastAsia="Century Gothic" w:cs="Century Gothic"/>
                <w:color w:val="auto"/>
                <w:sz w:val="16"/>
                <w:szCs w:val="16"/>
              </w:rPr>
              <w:t xml:space="preserve">, </w:t>
            </w:r>
            <w:proofErr w:type="spellStart"/>
            <w:r w:rsidR="6B2CA8DA" w:rsidRPr="000813EC">
              <w:rPr>
                <w:rFonts w:eastAsia="Century Gothic" w:cs="Century Gothic"/>
                <w:color w:val="auto"/>
                <w:sz w:val="16"/>
                <w:szCs w:val="16"/>
              </w:rPr>
              <w:t>Dpndnt</w:t>
            </w:r>
            <w:proofErr w:type="spellEnd"/>
            <w:r w:rsidR="6B2CA8DA" w:rsidRPr="000813EC">
              <w:rPr>
                <w:rFonts w:eastAsia="Century Gothic" w:cs="Century Gothic"/>
                <w:color w:val="auto"/>
                <w:sz w:val="16"/>
                <w:szCs w:val="16"/>
              </w:rPr>
              <w:t xml:space="preserve"> Locality</w:t>
            </w:r>
            <w:r w:rsidR="0C5BFFD1"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Post Town</w:t>
            </w:r>
            <w:r w:rsidR="0C5BFFD1"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County</w:t>
            </w:r>
            <w:r w:rsidR="0C5BFFD1"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Post Code</w:t>
            </w:r>
            <w:r w:rsidR="0C5BFFD1"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LDZ Identifier</w:t>
            </w:r>
            <w:r w:rsidR="0C5BFFD1" w:rsidRPr="000813EC">
              <w:rPr>
                <w:rFonts w:eastAsia="Century Gothic" w:cs="Century Gothic"/>
                <w:color w:val="auto"/>
                <w:sz w:val="16"/>
                <w:szCs w:val="16"/>
              </w:rPr>
              <w:t xml:space="preserve">, </w:t>
            </w:r>
            <w:r w:rsidR="5E0074E0" w:rsidRPr="000813EC">
              <w:rPr>
                <w:rFonts w:eastAsia="Century Gothic" w:cs="Century Gothic"/>
                <w:color w:val="auto"/>
                <w:sz w:val="16"/>
                <w:szCs w:val="16"/>
              </w:rPr>
              <w:t>IGT</w:t>
            </w:r>
            <w:r w:rsidR="0C5BFFD1"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SSC (FOM)</w:t>
            </w:r>
            <w:r w:rsidR="7C737592"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FOM CRN</w:t>
            </w:r>
            <w:r w:rsidR="7C737592"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FOM</w:t>
            </w:r>
            <w:r w:rsidR="7C737592"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Meter Serial Number</w:t>
            </w:r>
            <w:r w:rsidR="7C737592"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FOM Shipper Reference</w:t>
            </w:r>
            <w:r w:rsidR="2FFD1B87"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 xml:space="preserve">MSN  </w:t>
            </w:r>
            <w:r w:rsidR="5A2A5F60" w:rsidRPr="000813EC">
              <w:rPr>
                <w:rFonts w:eastAsia="Century Gothic" w:cs="Century Gothic"/>
                <w:color w:val="auto"/>
                <w:sz w:val="16"/>
                <w:szCs w:val="16"/>
              </w:rPr>
              <w:t>(</w:t>
            </w:r>
            <w:r w:rsidR="6B2CA8DA" w:rsidRPr="000813EC">
              <w:rPr>
                <w:rFonts w:eastAsia="Century Gothic" w:cs="Century Gothic"/>
                <w:color w:val="auto"/>
                <w:sz w:val="16"/>
                <w:szCs w:val="16"/>
              </w:rPr>
              <w:t>C&amp;D)</w:t>
            </w:r>
            <w:r w:rsidR="2FFD1B87"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Date of Work ( C&amp;D )</w:t>
            </w:r>
            <w:r w:rsidR="2FFD1B87"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SSC (Conf Attempt)</w:t>
            </w:r>
            <w:r w:rsidR="2FFD1B87"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CNF Reference (Conf Attempt)</w:t>
            </w:r>
            <w:r w:rsidR="65E891FC"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Conf Rejected Date (Conf Attempt)</w:t>
            </w:r>
            <w:r w:rsidR="65E891FC"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Conf Rejection</w:t>
            </w:r>
            <w:r w:rsidR="65E891FC"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MSG Text (Conf Attempt)</w:t>
            </w:r>
            <w:r w:rsidR="65E891FC"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Siteworks SSC (service request)</w:t>
            </w:r>
            <w:r w:rsidR="65E891FC"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Shipper MPRN Creation</w:t>
            </w:r>
            <w:r w:rsidR="1BD22A88"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C&amp;D Rejection</w:t>
            </w:r>
            <w:r w:rsidR="273C4E31"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Confirmation Rejection</w:t>
            </w:r>
            <w:r w:rsidR="273C4E31"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Service Request</w:t>
            </w:r>
            <w:r w:rsidR="273C4E31" w:rsidRPr="000813EC">
              <w:rPr>
                <w:rFonts w:eastAsia="Century Gothic" w:cs="Century Gothic"/>
                <w:color w:val="auto"/>
                <w:sz w:val="16"/>
                <w:szCs w:val="16"/>
              </w:rPr>
              <w:t xml:space="preserve">, </w:t>
            </w:r>
            <w:r w:rsidR="6B2CA8DA" w:rsidRPr="000813EC">
              <w:rPr>
                <w:rFonts w:eastAsia="Century Gothic" w:cs="Century Gothic"/>
                <w:color w:val="auto"/>
                <w:sz w:val="16"/>
                <w:szCs w:val="16"/>
              </w:rPr>
              <w:t>Attempted Read Submission</w:t>
            </w:r>
          </w:p>
          <w:p w14:paraId="22EB029A" w14:textId="77777777" w:rsidR="00ED5DB1" w:rsidRPr="000813EC" w:rsidRDefault="00ED5DB1" w:rsidP="00EB05BC">
            <w:pPr>
              <w:pStyle w:val="ListParagraph"/>
              <w:spacing w:before="240" w:after="240"/>
              <w:jc w:val="both"/>
              <w:rPr>
                <w:rFonts w:eastAsia="Century Gothic" w:cs="Century Gothic"/>
                <w:color w:val="auto"/>
                <w:sz w:val="16"/>
                <w:szCs w:val="16"/>
              </w:rPr>
            </w:pPr>
          </w:p>
          <w:p w14:paraId="42602385" w14:textId="65F91859" w:rsidR="004A0AA0" w:rsidRPr="000813EC" w:rsidRDefault="08E7BF26" w:rsidP="2A5DED67">
            <w:pPr>
              <w:pStyle w:val="ListParagraph"/>
              <w:numPr>
                <w:ilvl w:val="0"/>
                <w:numId w:val="3"/>
              </w:numPr>
              <w:spacing w:before="240" w:after="240"/>
              <w:jc w:val="both"/>
              <w:rPr>
                <w:rFonts w:eastAsia="Century Gothic" w:cs="Century Gothic"/>
                <w:color w:val="auto"/>
                <w:sz w:val="16"/>
                <w:szCs w:val="16"/>
                <w:u w:val="single"/>
              </w:rPr>
            </w:pPr>
            <w:r w:rsidRPr="000813EC">
              <w:rPr>
                <w:rFonts w:eastAsia="Century Gothic" w:cs="Century Gothic"/>
                <w:color w:val="auto"/>
                <w:sz w:val="16"/>
                <w:szCs w:val="16"/>
                <w:u w:val="single"/>
              </w:rPr>
              <w:t xml:space="preserve">MUS_343_Shipper_Activity </w:t>
            </w:r>
          </w:p>
          <w:p w14:paraId="39DD62EF" w14:textId="6279CF25" w:rsidR="00EB05BC" w:rsidRPr="000813EC" w:rsidRDefault="00EB05BC" w:rsidP="00EB05BC">
            <w:pPr>
              <w:pStyle w:val="ListParagraph"/>
              <w:spacing w:before="240" w:after="240"/>
              <w:jc w:val="both"/>
              <w:rPr>
                <w:rFonts w:eastAsia="Century Gothic" w:cs="Century Gothic"/>
                <w:color w:val="auto"/>
                <w:sz w:val="16"/>
                <w:szCs w:val="16"/>
              </w:rPr>
            </w:pPr>
            <w:r w:rsidRPr="000813EC">
              <w:rPr>
                <w:rFonts w:eastAsia="Century Gothic" w:cs="Century Gothic"/>
                <w:color w:val="auto"/>
                <w:sz w:val="16"/>
                <w:szCs w:val="16"/>
              </w:rPr>
              <w:t>Recipients - Shipper</w:t>
            </w:r>
          </w:p>
          <w:p w14:paraId="7D29476F" w14:textId="5E7723CD" w:rsidR="00EB05BC" w:rsidRPr="000813EC" w:rsidRDefault="00EB05BC" w:rsidP="00EB05BC">
            <w:pPr>
              <w:pStyle w:val="ListParagraph"/>
              <w:spacing w:before="240" w:after="240"/>
              <w:jc w:val="both"/>
              <w:rPr>
                <w:rFonts w:eastAsia="Century Gothic" w:cs="Century Gothic"/>
                <w:color w:val="auto"/>
                <w:sz w:val="16"/>
                <w:szCs w:val="16"/>
              </w:rPr>
            </w:pPr>
            <w:r w:rsidRPr="000813EC">
              <w:rPr>
                <w:rFonts w:eastAsia="Century Gothic" w:cs="Century Gothic"/>
                <w:color w:val="auto"/>
                <w:sz w:val="16"/>
                <w:szCs w:val="16"/>
              </w:rPr>
              <w:t xml:space="preserve">Frequency - </w:t>
            </w:r>
            <w:r w:rsidR="00591698" w:rsidRPr="000813EC">
              <w:rPr>
                <w:rFonts w:eastAsia="Century Gothic" w:cs="Century Gothic"/>
                <w:color w:val="auto"/>
                <w:sz w:val="16"/>
                <w:szCs w:val="16"/>
              </w:rPr>
              <w:t>Monthly</w:t>
            </w:r>
          </w:p>
          <w:p w14:paraId="33A65AA5" w14:textId="42A30497" w:rsidR="00EB05BC" w:rsidRPr="000813EC" w:rsidRDefault="7BCADAC7" w:rsidP="00EB05BC">
            <w:pPr>
              <w:pStyle w:val="ListParagraph"/>
              <w:spacing w:before="240" w:after="240"/>
              <w:jc w:val="both"/>
              <w:rPr>
                <w:rFonts w:eastAsia="Century Gothic" w:cs="Century Gothic"/>
                <w:color w:val="auto"/>
                <w:sz w:val="16"/>
                <w:szCs w:val="16"/>
              </w:rPr>
            </w:pPr>
            <w:r w:rsidRPr="000813EC">
              <w:rPr>
                <w:rFonts w:eastAsia="Century Gothic" w:cs="Century Gothic"/>
                <w:color w:val="auto"/>
                <w:sz w:val="16"/>
                <w:szCs w:val="16"/>
              </w:rPr>
              <w:t xml:space="preserve">Data Fields – </w:t>
            </w:r>
            <w:r w:rsidR="0BD1EDF7" w:rsidRPr="000813EC">
              <w:rPr>
                <w:rFonts w:eastAsia="Century Gothic" w:cs="Century Gothic"/>
                <w:color w:val="auto"/>
                <w:sz w:val="16"/>
                <w:szCs w:val="16"/>
              </w:rPr>
              <w:t>MPRN</w:t>
            </w:r>
            <w:r w:rsidR="2DCCD48D"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MPRN Creation Date</w:t>
            </w:r>
            <w:r w:rsidR="2DCCD48D"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Pot Name</w:t>
            </w:r>
            <w:r w:rsidR="2DCCD48D"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Sub Category Code</w:t>
            </w:r>
            <w:r w:rsidR="2DCCD48D"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Responsible Shipper</w:t>
            </w:r>
            <w:r w:rsidR="2DCCD48D"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CRN (MUS / GSR)</w:t>
            </w:r>
            <w:r w:rsidR="2DCCD48D"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Meter Point Status Code</w:t>
            </w:r>
            <w:r w:rsidR="6CDA5025" w:rsidRPr="000813EC">
              <w:rPr>
                <w:rFonts w:eastAsia="Century Gothic" w:cs="Century Gothic"/>
                <w:color w:val="auto"/>
                <w:sz w:val="16"/>
                <w:szCs w:val="16"/>
              </w:rPr>
              <w:t xml:space="preserve">, </w:t>
            </w:r>
            <w:proofErr w:type="spellStart"/>
            <w:r w:rsidR="0BD1EDF7" w:rsidRPr="000813EC">
              <w:rPr>
                <w:rFonts w:eastAsia="Century Gothic" w:cs="Century Gothic"/>
                <w:color w:val="auto"/>
                <w:sz w:val="16"/>
                <w:szCs w:val="16"/>
              </w:rPr>
              <w:t>Mp</w:t>
            </w:r>
            <w:proofErr w:type="spellEnd"/>
            <w:r w:rsidR="0BD1EDF7" w:rsidRPr="000813EC">
              <w:rPr>
                <w:rFonts w:eastAsia="Century Gothic" w:cs="Century Gothic"/>
                <w:color w:val="auto"/>
                <w:sz w:val="16"/>
                <w:szCs w:val="16"/>
              </w:rPr>
              <w:t xml:space="preserve"> Location Description</w:t>
            </w:r>
            <w:r w:rsidR="6CDA5025"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Original Withdrawal Date</w:t>
            </w:r>
            <w:r w:rsidR="6CDA5025"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Isolation Date (Meter Removal Date)</w:t>
            </w:r>
            <w:r w:rsidR="6CDA5025"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Building Number</w:t>
            </w:r>
            <w:r w:rsidR="6CDA5025"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Building Name</w:t>
            </w:r>
            <w:r w:rsidR="6CDA5025"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Delivery Point Alias</w:t>
            </w:r>
            <w:r w:rsidR="6CDA5025"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Sub Building Name</w:t>
            </w:r>
            <w:r w:rsidR="6CDA5025"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Principal Street</w:t>
            </w:r>
            <w:r w:rsidR="6CDA5025"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Dependant Street</w:t>
            </w:r>
            <w:r w:rsidR="403D4F76"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 xml:space="preserve">Double </w:t>
            </w:r>
            <w:proofErr w:type="spellStart"/>
            <w:r w:rsidR="0BD1EDF7" w:rsidRPr="000813EC">
              <w:rPr>
                <w:rFonts w:eastAsia="Century Gothic" w:cs="Century Gothic"/>
                <w:color w:val="auto"/>
                <w:sz w:val="16"/>
                <w:szCs w:val="16"/>
              </w:rPr>
              <w:t>Dpnd</w:t>
            </w:r>
            <w:proofErr w:type="spellEnd"/>
            <w:r w:rsidR="0BD1EDF7" w:rsidRPr="000813EC">
              <w:rPr>
                <w:rFonts w:eastAsia="Century Gothic" w:cs="Century Gothic"/>
                <w:color w:val="auto"/>
                <w:sz w:val="16"/>
                <w:szCs w:val="16"/>
              </w:rPr>
              <w:t xml:space="preserve"> Local</w:t>
            </w:r>
            <w:r w:rsidR="403D4F76" w:rsidRPr="000813EC">
              <w:rPr>
                <w:rFonts w:eastAsia="Century Gothic" w:cs="Century Gothic"/>
                <w:color w:val="auto"/>
                <w:sz w:val="16"/>
                <w:szCs w:val="16"/>
              </w:rPr>
              <w:t xml:space="preserve">, </w:t>
            </w:r>
            <w:proofErr w:type="spellStart"/>
            <w:r w:rsidR="0BD1EDF7" w:rsidRPr="000813EC">
              <w:rPr>
                <w:rFonts w:eastAsia="Century Gothic" w:cs="Century Gothic"/>
                <w:color w:val="auto"/>
                <w:sz w:val="16"/>
                <w:szCs w:val="16"/>
              </w:rPr>
              <w:t>Dpndnt</w:t>
            </w:r>
            <w:proofErr w:type="spellEnd"/>
            <w:r w:rsidR="0BD1EDF7" w:rsidRPr="000813EC">
              <w:rPr>
                <w:rFonts w:eastAsia="Century Gothic" w:cs="Century Gothic"/>
                <w:color w:val="auto"/>
                <w:sz w:val="16"/>
                <w:szCs w:val="16"/>
              </w:rPr>
              <w:t xml:space="preserve"> Locality</w:t>
            </w:r>
            <w:r w:rsidR="403D4F76"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Post Town</w:t>
            </w:r>
            <w:r w:rsidR="403D4F76"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County</w:t>
            </w:r>
            <w:r w:rsidR="403D4F76"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Post Code</w:t>
            </w:r>
            <w:r w:rsidR="403D4F76"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LDZ Identifier</w:t>
            </w:r>
            <w:r w:rsidR="403D4F76" w:rsidRPr="000813EC">
              <w:rPr>
                <w:rFonts w:eastAsia="Century Gothic" w:cs="Century Gothic"/>
                <w:color w:val="auto"/>
                <w:sz w:val="16"/>
                <w:szCs w:val="16"/>
              </w:rPr>
              <w:t xml:space="preserve">, </w:t>
            </w:r>
            <w:r w:rsidR="0D938006" w:rsidRPr="000813EC">
              <w:rPr>
                <w:rFonts w:eastAsia="Century Gothic" w:cs="Century Gothic"/>
                <w:color w:val="auto"/>
                <w:sz w:val="16"/>
                <w:szCs w:val="16"/>
              </w:rPr>
              <w:t>IGT</w:t>
            </w:r>
            <w:r w:rsidR="31CE7C61"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SSC (FOM)</w:t>
            </w:r>
            <w:r w:rsidR="31CE7C61"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FOM CRN</w:t>
            </w:r>
            <w:r w:rsidR="31CE7C61"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FOM Meter Serial Number</w:t>
            </w:r>
            <w:r w:rsidR="31CE7C61"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FOM Shipper Reference</w:t>
            </w:r>
            <w:r w:rsidR="31CE7C61"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MSN (C&amp;D</w:t>
            </w:r>
            <w:r w:rsidR="56342B53" w:rsidRPr="000813EC">
              <w:rPr>
                <w:rFonts w:eastAsia="Century Gothic" w:cs="Century Gothic"/>
                <w:color w:val="auto"/>
                <w:sz w:val="16"/>
                <w:szCs w:val="16"/>
              </w:rPr>
              <w:t>)</w:t>
            </w:r>
            <w:r w:rsidR="48EAD79B"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Date of Word ( C&amp;D )</w:t>
            </w:r>
            <w:r w:rsidR="48EAD79B"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SSC (Conf Attempt)</w:t>
            </w:r>
            <w:r w:rsidR="48EAD79B"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CNF Reference (Conf Attempt)</w:t>
            </w:r>
            <w:r w:rsidR="48EAD79B"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Conf Rejected Date (Conf Attempt)</w:t>
            </w:r>
            <w:r w:rsidR="48EAD79B"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Conf Rejection MSG Text (Conf Attempt)</w:t>
            </w:r>
            <w:r w:rsidR="55FE1634"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Siteworks SSC (service request)</w:t>
            </w:r>
            <w:r w:rsidR="55FE1634"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Shipper MPRN Creation</w:t>
            </w:r>
            <w:r w:rsidR="0E1D3883"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C&amp;D Rejection</w:t>
            </w:r>
            <w:r w:rsidR="55FE1634"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Confirmation Rejection</w:t>
            </w:r>
            <w:r w:rsidR="55FE1634"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Service Request</w:t>
            </w:r>
            <w:r w:rsidR="0E0BF7EB" w:rsidRPr="000813EC">
              <w:rPr>
                <w:rFonts w:eastAsia="Century Gothic" w:cs="Century Gothic"/>
                <w:color w:val="auto"/>
                <w:sz w:val="16"/>
                <w:szCs w:val="16"/>
              </w:rPr>
              <w:t xml:space="preserve">, </w:t>
            </w:r>
            <w:r w:rsidR="0BD1EDF7" w:rsidRPr="000813EC">
              <w:rPr>
                <w:rFonts w:eastAsia="Century Gothic" w:cs="Century Gothic"/>
                <w:color w:val="auto"/>
                <w:sz w:val="16"/>
                <w:szCs w:val="16"/>
              </w:rPr>
              <w:t xml:space="preserve">Attempted Read </w:t>
            </w:r>
            <w:r w:rsidR="0E0BF7EB" w:rsidRPr="000813EC">
              <w:rPr>
                <w:rFonts w:eastAsia="Century Gothic" w:cs="Century Gothic"/>
                <w:color w:val="auto"/>
                <w:sz w:val="16"/>
                <w:szCs w:val="16"/>
              </w:rPr>
              <w:t>Submission</w:t>
            </w:r>
          </w:p>
          <w:p w14:paraId="57F05443" w14:textId="77777777" w:rsidR="00EB05BC" w:rsidRPr="000813EC" w:rsidRDefault="00EB05BC" w:rsidP="00EB05BC">
            <w:pPr>
              <w:pStyle w:val="ListParagraph"/>
              <w:spacing w:before="240" w:after="240"/>
              <w:jc w:val="both"/>
              <w:rPr>
                <w:rFonts w:eastAsia="Century Gothic" w:cs="Century Gothic"/>
                <w:color w:val="auto"/>
                <w:sz w:val="16"/>
                <w:szCs w:val="16"/>
              </w:rPr>
            </w:pPr>
          </w:p>
          <w:p w14:paraId="2C9A80CC" w14:textId="1EAB0DEC" w:rsidR="004A0AA0" w:rsidRPr="000813EC" w:rsidRDefault="79C28A04" w:rsidP="6F7537A3">
            <w:pPr>
              <w:pStyle w:val="ListParagraph"/>
              <w:numPr>
                <w:ilvl w:val="0"/>
                <w:numId w:val="3"/>
              </w:numPr>
              <w:spacing w:before="240" w:after="240"/>
              <w:ind w:right="2340"/>
              <w:jc w:val="both"/>
              <w:rPr>
                <w:rFonts w:eastAsia="Century Gothic" w:cs="Century Gothic"/>
                <w:color w:val="auto"/>
                <w:sz w:val="16"/>
                <w:szCs w:val="16"/>
                <w:u w:val="single"/>
              </w:rPr>
            </w:pPr>
            <w:r w:rsidRPr="000813EC">
              <w:rPr>
                <w:rFonts w:eastAsia="Century Gothic" w:cs="Century Gothic"/>
                <w:color w:val="auto"/>
                <w:sz w:val="16"/>
                <w:szCs w:val="16"/>
                <w:u w:val="single"/>
              </w:rPr>
              <w:t xml:space="preserve">MUS_343_Legit_Unreg </w:t>
            </w:r>
          </w:p>
          <w:p w14:paraId="1C558B23" w14:textId="54D179E3" w:rsidR="00EB05BC" w:rsidRPr="000813EC" w:rsidRDefault="00EB05BC" w:rsidP="00EB05BC">
            <w:pPr>
              <w:pStyle w:val="ListParagraph"/>
              <w:spacing w:before="240" w:after="240"/>
              <w:jc w:val="both"/>
              <w:rPr>
                <w:rFonts w:eastAsia="Century Gothic" w:cs="Century Gothic"/>
                <w:color w:val="auto"/>
                <w:sz w:val="16"/>
                <w:szCs w:val="16"/>
              </w:rPr>
            </w:pPr>
            <w:r w:rsidRPr="000813EC">
              <w:rPr>
                <w:rFonts w:eastAsia="Century Gothic" w:cs="Century Gothic"/>
                <w:color w:val="auto"/>
                <w:sz w:val="16"/>
                <w:szCs w:val="16"/>
              </w:rPr>
              <w:t xml:space="preserve">Recipients - </w:t>
            </w:r>
            <w:r w:rsidR="00BD42B9" w:rsidRPr="000813EC">
              <w:rPr>
                <w:rFonts w:eastAsia="Century Gothic" w:cs="Century Gothic"/>
                <w:color w:val="auto"/>
                <w:sz w:val="16"/>
                <w:szCs w:val="16"/>
              </w:rPr>
              <w:t>Shipper</w:t>
            </w:r>
          </w:p>
          <w:p w14:paraId="18C78A12" w14:textId="33AE63B9" w:rsidR="00EB05BC" w:rsidRPr="000813EC" w:rsidRDefault="00EB05BC" w:rsidP="00EB05BC">
            <w:pPr>
              <w:pStyle w:val="ListParagraph"/>
              <w:spacing w:before="240" w:after="240"/>
              <w:jc w:val="both"/>
              <w:rPr>
                <w:rFonts w:eastAsia="Century Gothic" w:cs="Century Gothic"/>
                <w:color w:val="auto"/>
                <w:sz w:val="16"/>
                <w:szCs w:val="16"/>
              </w:rPr>
            </w:pPr>
            <w:r w:rsidRPr="000813EC">
              <w:rPr>
                <w:rFonts w:eastAsia="Century Gothic" w:cs="Century Gothic"/>
                <w:color w:val="auto"/>
                <w:sz w:val="16"/>
                <w:szCs w:val="16"/>
              </w:rPr>
              <w:t xml:space="preserve">Frequency - </w:t>
            </w:r>
            <w:r w:rsidR="00591698" w:rsidRPr="000813EC">
              <w:rPr>
                <w:rFonts w:eastAsia="Century Gothic" w:cs="Century Gothic"/>
                <w:color w:val="auto"/>
                <w:sz w:val="16"/>
                <w:szCs w:val="16"/>
              </w:rPr>
              <w:t>Monthly</w:t>
            </w:r>
          </w:p>
          <w:p w14:paraId="3A088B8A" w14:textId="7CE393E9" w:rsidR="00EB05BC" w:rsidRPr="000813EC" w:rsidRDefault="00EB05BC" w:rsidP="00EB05BC">
            <w:pPr>
              <w:pStyle w:val="ListParagraph"/>
              <w:spacing w:before="240" w:after="240"/>
              <w:jc w:val="both"/>
              <w:rPr>
                <w:rFonts w:eastAsia="Century Gothic" w:cs="Century Gothic"/>
                <w:color w:val="auto"/>
                <w:sz w:val="16"/>
                <w:szCs w:val="16"/>
              </w:rPr>
            </w:pPr>
            <w:r w:rsidRPr="000813EC">
              <w:rPr>
                <w:rFonts w:eastAsia="Century Gothic" w:cs="Century Gothic"/>
                <w:color w:val="auto"/>
                <w:sz w:val="16"/>
                <w:szCs w:val="16"/>
              </w:rPr>
              <w:lastRenderedPageBreak/>
              <w:t xml:space="preserve">Data Fields – </w:t>
            </w:r>
            <w:r w:rsidR="00273318" w:rsidRPr="000813EC">
              <w:rPr>
                <w:rFonts w:eastAsia="Century Gothic" w:cs="Century Gothic"/>
                <w:color w:val="auto"/>
                <w:sz w:val="16"/>
                <w:szCs w:val="16"/>
              </w:rPr>
              <w:t xml:space="preserve">MPRN, MPRN Creation Date, Pot Name, Sub Category Code, Responsible Shipper, CRN (MUS / GSR), Meter Point status Code, </w:t>
            </w:r>
            <w:proofErr w:type="spellStart"/>
            <w:r w:rsidR="00273318" w:rsidRPr="000813EC">
              <w:rPr>
                <w:rFonts w:eastAsia="Century Gothic" w:cs="Century Gothic"/>
                <w:color w:val="auto"/>
                <w:sz w:val="16"/>
                <w:szCs w:val="16"/>
              </w:rPr>
              <w:t>Mp</w:t>
            </w:r>
            <w:proofErr w:type="spellEnd"/>
            <w:r w:rsidR="00273318" w:rsidRPr="000813EC">
              <w:rPr>
                <w:rFonts w:eastAsia="Century Gothic" w:cs="Century Gothic"/>
                <w:color w:val="auto"/>
                <w:sz w:val="16"/>
                <w:szCs w:val="16"/>
              </w:rPr>
              <w:t xml:space="preserve"> Location Description, Original Withdrawal Date, Isolation Date (Meter Removal Date), Building Number, Building Name, Delivery Point Alias, Sub Building Name, Principal Street, Dependant Street, Double </w:t>
            </w:r>
            <w:proofErr w:type="spellStart"/>
            <w:r w:rsidR="00273318" w:rsidRPr="000813EC">
              <w:rPr>
                <w:rFonts w:eastAsia="Century Gothic" w:cs="Century Gothic"/>
                <w:color w:val="auto"/>
                <w:sz w:val="16"/>
                <w:szCs w:val="16"/>
              </w:rPr>
              <w:t>Dpnd</w:t>
            </w:r>
            <w:proofErr w:type="spellEnd"/>
            <w:r w:rsidR="00273318" w:rsidRPr="000813EC">
              <w:rPr>
                <w:rFonts w:eastAsia="Century Gothic" w:cs="Century Gothic"/>
                <w:color w:val="auto"/>
                <w:sz w:val="16"/>
                <w:szCs w:val="16"/>
              </w:rPr>
              <w:t xml:space="preserve"> Local, </w:t>
            </w:r>
            <w:proofErr w:type="spellStart"/>
            <w:r w:rsidR="00273318" w:rsidRPr="000813EC">
              <w:rPr>
                <w:rFonts w:eastAsia="Century Gothic" w:cs="Century Gothic"/>
                <w:color w:val="auto"/>
                <w:sz w:val="16"/>
                <w:szCs w:val="16"/>
              </w:rPr>
              <w:t>Dpndnt</w:t>
            </w:r>
            <w:proofErr w:type="spellEnd"/>
            <w:r w:rsidR="00273318" w:rsidRPr="000813EC">
              <w:rPr>
                <w:rFonts w:eastAsia="Century Gothic" w:cs="Century Gothic"/>
                <w:color w:val="auto"/>
                <w:sz w:val="16"/>
                <w:szCs w:val="16"/>
              </w:rPr>
              <w:t xml:space="preserve"> Locality, Post Town, County, Post Code, LDZ Identifier, </w:t>
            </w:r>
            <w:r w:rsidR="004E050D" w:rsidRPr="000813EC">
              <w:rPr>
                <w:rFonts w:eastAsia="Century Gothic" w:cs="Century Gothic"/>
                <w:color w:val="auto"/>
                <w:sz w:val="16"/>
                <w:szCs w:val="16"/>
              </w:rPr>
              <w:t>IGT</w:t>
            </w:r>
            <w:r w:rsidR="00BA6114" w:rsidRPr="000813EC">
              <w:rPr>
                <w:rFonts w:eastAsia="Century Gothic" w:cs="Century Gothic"/>
                <w:color w:val="auto"/>
                <w:sz w:val="16"/>
                <w:szCs w:val="16"/>
              </w:rPr>
              <w:t>,</w:t>
            </w:r>
            <w:r w:rsidR="00772EB0" w:rsidRPr="000813EC">
              <w:rPr>
                <w:rFonts w:eastAsia="Century Gothic" w:cs="Century Gothic"/>
                <w:color w:val="auto"/>
                <w:sz w:val="16"/>
                <w:szCs w:val="16"/>
              </w:rPr>
              <w:t xml:space="preserve"> </w:t>
            </w:r>
            <w:r w:rsidR="00273318" w:rsidRPr="000813EC">
              <w:rPr>
                <w:rFonts w:eastAsia="Century Gothic" w:cs="Century Gothic"/>
                <w:color w:val="auto"/>
                <w:sz w:val="16"/>
                <w:szCs w:val="16"/>
              </w:rPr>
              <w:t>SSC (FOM), FOM CRN, FOM Meter Serial Number, FOM Shipper Reference, MSN</w:t>
            </w:r>
            <w:r w:rsidR="00E16B9C" w:rsidRPr="000813EC">
              <w:rPr>
                <w:rFonts w:eastAsia="Century Gothic" w:cs="Century Gothic"/>
                <w:color w:val="auto"/>
                <w:sz w:val="16"/>
                <w:szCs w:val="16"/>
              </w:rPr>
              <w:t xml:space="preserve"> </w:t>
            </w:r>
            <w:r w:rsidR="00273318" w:rsidRPr="000813EC">
              <w:rPr>
                <w:rFonts w:eastAsia="Century Gothic" w:cs="Century Gothic"/>
                <w:color w:val="auto"/>
                <w:sz w:val="16"/>
                <w:szCs w:val="16"/>
              </w:rPr>
              <w:t>(C&amp;D</w:t>
            </w:r>
            <w:r w:rsidR="00C16A0E" w:rsidRPr="000813EC">
              <w:rPr>
                <w:rFonts w:eastAsia="Century Gothic" w:cs="Century Gothic"/>
                <w:color w:val="auto"/>
                <w:sz w:val="16"/>
                <w:szCs w:val="16"/>
              </w:rPr>
              <w:t>)</w:t>
            </w:r>
            <w:r w:rsidR="00273318" w:rsidRPr="000813EC">
              <w:rPr>
                <w:rFonts w:eastAsia="Century Gothic" w:cs="Century Gothic"/>
                <w:color w:val="auto"/>
                <w:sz w:val="16"/>
                <w:szCs w:val="16"/>
              </w:rPr>
              <w:t>, Date of Work ( C&amp;D ), SSC (Conf Attempt), CNF Reference (Conf Attempt), Conf Rejected Date (Conf Attempt), Conf Rejection MSG Text (Conf Attempt), Siteworks SSC (service request), Shipper MPRN Creation, C&amp;D Rejection, Confirmation Rejection, Service Request, Attempted Read Submission, Date Moved in to Legit</w:t>
            </w:r>
          </w:p>
          <w:p w14:paraId="53716627" w14:textId="77777777" w:rsidR="001C27CA" w:rsidRPr="000813EC" w:rsidRDefault="001C27CA" w:rsidP="00EB05BC">
            <w:pPr>
              <w:pStyle w:val="ListParagraph"/>
              <w:spacing w:before="240" w:after="240"/>
              <w:jc w:val="both"/>
              <w:rPr>
                <w:rFonts w:eastAsia="Century Gothic" w:cs="Century Gothic"/>
                <w:color w:val="auto"/>
                <w:sz w:val="16"/>
                <w:szCs w:val="16"/>
              </w:rPr>
            </w:pPr>
          </w:p>
          <w:p w14:paraId="0E0AF95C" w14:textId="5906FA7F" w:rsidR="001C27CA" w:rsidRPr="000813EC" w:rsidRDefault="001C27CA" w:rsidP="00820EE4">
            <w:pPr>
              <w:pStyle w:val="ListParagraph"/>
              <w:numPr>
                <w:ilvl w:val="0"/>
                <w:numId w:val="5"/>
              </w:numPr>
              <w:spacing w:before="240" w:after="240"/>
              <w:ind w:left="747" w:hanging="425"/>
              <w:jc w:val="both"/>
              <w:rPr>
                <w:rFonts w:eastAsia="Century Gothic" w:cs="Century Gothic"/>
                <w:color w:val="auto"/>
                <w:sz w:val="16"/>
                <w:szCs w:val="16"/>
                <w:u w:val="single"/>
              </w:rPr>
            </w:pPr>
            <w:r w:rsidRPr="000813EC">
              <w:rPr>
                <w:rFonts w:eastAsia="Century Gothic" w:cs="Century Gothic"/>
                <w:color w:val="auto"/>
                <w:sz w:val="16"/>
                <w:szCs w:val="16"/>
                <w:u w:val="single"/>
              </w:rPr>
              <w:t>MUS_343_Orphaned_</w:t>
            </w:r>
            <w:r w:rsidR="00820EE4" w:rsidRPr="000813EC">
              <w:rPr>
                <w:rFonts w:eastAsia="Century Gothic" w:cs="Century Gothic"/>
                <w:color w:val="auto"/>
                <w:sz w:val="16"/>
                <w:szCs w:val="16"/>
                <w:u w:val="single"/>
              </w:rPr>
              <w:t>All</w:t>
            </w:r>
            <w:r w:rsidRPr="000813EC">
              <w:rPr>
                <w:rFonts w:eastAsia="Century Gothic" w:cs="Century Gothic"/>
                <w:color w:val="auto"/>
                <w:sz w:val="16"/>
                <w:szCs w:val="16"/>
                <w:u w:val="single"/>
              </w:rPr>
              <w:t xml:space="preserve">   </w:t>
            </w:r>
          </w:p>
          <w:p w14:paraId="6B37DC5F" w14:textId="77777777" w:rsidR="00772EB0" w:rsidRPr="000813EC" w:rsidRDefault="00772EB0" w:rsidP="00772EB0">
            <w:pPr>
              <w:pStyle w:val="ListParagraph"/>
              <w:spacing w:before="240" w:after="240"/>
              <w:jc w:val="both"/>
              <w:rPr>
                <w:rFonts w:eastAsia="Century Gothic" w:cs="Century Gothic"/>
                <w:color w:val="auto"/>
                <w:sz w:val="16"/>
                <w:szCs w:val="16"/>
              </w:rPr>
            </w:pPr>
            <w:r w:rsidRPr="000813EC">
              <w:rPr>
                <w:rFonts w:eastAsia="Century Gothic" w:cs="Century Gothic"/>
                <w:color w:val="auto"/>
                <w:sz w:val="16"/>
                <w:szCs w:val="16"/>
              </w:rPr>
              <w:t>Recipients - Shipper</w:t>
            </w:r>
          </w:p>
          <w:p w14:paraId="590E209F" w14:textId="77777777" w:rsidR="00772EB0" w:rsidRPr="000813EC" w:rsidRDefault="00772EB0" w:rsidP="00772EB0">
            <w:pPr>
              <w:pStyle w:val="ListParagraph"/>
              <w:spacing w:before="240" w:after="240"/>
              <w:jc w:val="both"/>
              <w:rPr>
                <w:rFonts w:eastAsia="Century Gothic" w:cs="Century Gothic"/>
                <w:color w:val="auto"/>
                <w:sz w:val="16"/>
                <w:szCs w:val="16"/>
              </w:rPr>
            </w:pPr>
            <w:r w:rsidRPr="000813EC">
              <w:rPr>
                <w:rFonts w:eastAsia="Century Gothic" w:cs="Century Gothic"/>
                <w:color w:val="auto"/>
                <w:sz w:val="16"/>
                <w:szCs w:val="16"/>
              </w:rPr>
              <w:t>Frequency - Monthly</w:t>
            </w:r>
          </w:p>
          <w:p w14:paraId="1179E493" w14:textId="68B830C2" w:rsidR="001C27CA" w:rsidRPr="000813EC" w:rsidRDefault="00772EB0" w:rsidP="00772EB0">
            <w:pPr>
              <w:pStyle w:val="ListParagraph"/>
              <w:spacing w:before="240" w:after="240"/>
              <w:jc w:val="both"/>
              <w:rPr>
                <w:rFonts w:eastAsia="Century Gothic" w:cs="Century Gothic"/>
                <w:color w:val="auto"/>
                <w:sz w:val="16"/>
                <w:szCs w:val="16"/>
              </w:rPr>
            </w:pPr>
            <w:r w:rsidRPr="000813EC">
              <w:rPr>
                <w:rFonts w:eastAsia="Century Gothic" w:cs="Century Gothic"/>
                <w:color w:val="auto"/>
                <w:sz w:val="16"/>
                <w:szCs w:val="16"/>
              </w:rPr>
              <w:t xml:space="preserve">Data Fields – </w:t>
            </w:r>
            <w:r w:rsidR="00275FAA" w:rsidRPr="000813EC">
              <w:rPr>
                <w:rFonts w:eastAsia="Century Gothic" w:cs="Century Gothic"/>
                <w:color w:val="auto"/>
                <w:sz w:val="16"/>
                <w:szCs w:val="16"/>
              </w:rPr>
              <w:t xml:space="preserve">MPRN, MPRN Creation Date, Pot Name, Sub Category Code, Responsible Shipper, CRN (MUS / GSR), Meter Point Status Code, </w:t>
            </w:r>
            <w:proofErr w:type="spellStart"/>
            <w:r w:rsidR="00275FAA" w:rsidRPr="000813EC">
              <w:rPr>
                <w:rFonts w:eastAsia="Century Gothic" w:cs="Century Gothic"/>
                <w:color w:val="auto"/>
                <w:sz w:val="16"/>
                <w:szCs w:val="16"/>
              </w:rPr>
              <w:t>Mp</w:t>
            </w:r>
            <w:proofErr w:type="spellEnd"/>
            <w:r w:rsidR="00275FAA" w:rsidRPr="000813EC">
              <w:rPr>
                <w:rFonts w:eastAsia="Century Gothic" w:cs="Century Gothic"/>
                <w:color w:val="auto"/>
                <w:sz w:val="16"/>
                <w:szCs w:val="16"/>
              </w:rPr>
              <w:t xml:space="preserve"> Location Description, Original Withdrawal Date, Isolation Date (Meter Removal Date), Building Number, Building Name, Delivery Point Alias, Sub Building Name, Principal Street, Dependant Street, Double </w:t>
            </w:r>
            <w:proofErr w:type="spellStart"/>
            <w:r w:rsidR="00275FAA" w:rsidRPr="000813EC">
              <w:rPr>
                <w:rFonts w:eastAsia="Century Gothic" w:cs="Century Gothic"/>
                <w:color w:val="auto"/>
                <w:sz w:val="16"/>
                <w:szCs w:val="16"/>
              </w:rPr>
              <w:t>Dpnd</w:t>
            </w:r>
            <w:proofErr w:type="spellEnd"/>
            <w:r w:rsidR="00275FAA" w:rsidRPr="000813EC">
              <w:rPr>
                <w:rFonts w:eastAsia="Century Gothic" w:cs="Century Gothic"/>
                <w:color w:val="auto"/>
                <w:sz w:val="16"/>
                <w:szCs w:val="16"/>
              </w:rPr>
              <w:t xml:space="preserve"> Local, </w:t>
            </w:r>
            <w:proofErr w:type="spellStart"/>
            <w:r w:rsidR="00275FAA" w:rsidRPr="000813EC">
              <w:rPr>
                <w:rFonts w:eastAsia="Century Gothic" w:cs="Century Gothic"/>
                <w:color w:val="auto"/>
                <w:sz w:val="16"/>
                <w:szCs w:val="16"/>
              </w:rPr>
              <w:t>Dpndnt</w:t>
            </w:r>
            <w:proofErr w:type="spellEnd"/>
            <w:r w:rsidR="00275FAA" w:rsidRPr="000813EC">
              <w:rPr>
                <w:rFonts w:eastAsia="Century Gothic" w:cs="Century Gothic"/>
                <w:color w:val="auto"/>
                <w:sz w:val="16"/>
                <w:szCs w:val="16"/>
              </w:rPr>
              <w:t xml:space="preserve"> Locality, Post Town, County Post Code, LDZ Identifier, IGT</w:t>
            </w:r>
            <w:r w:rsidR="00BA6114" w:rsidRPr="000813EC">
              <w:rPr>
                <w:rFonts w:eastAsia="Century Gothic" w:cs="Century Gothic"/>
                <w:color w:val="auto"/>
                <w:sz w:val="16"/>
                <w:szCs w:val="16"/>
              </w:rPr>
              <w:t>,</w:t>
            </w:r>
            <w:r w:rsidR="00275FAA" w:rsidRPr="000813EC">
              <w:rPr>
                <w:rFonts w:eastAsia="Century Gothic" w:cs="Century Gothic"/>
                <w:color w:val="auto"/>
                <w:sz w:val="16"/>
                <w:szCs w:val="16"/>
              </w:rPr>
              <w:t xml:space="preserve"> SSC (FOM), FOM CRN, FOM Meter Serial Number, FOM Shipper Reference, MSN (C&amp;D), Date of Work (C&amp;D), SSC (Conf Attempt), CNF Reference (Conf Attempt), Conf Rejected Date (Conf Attempt), Conf Rejection, MSG Text (Conf Attempt), Siteworks SSC (service request), Shipper MPRN Creation, C&amp;D Rejection, Confirmation Rejection Service Request, Attempted Read Submission</w:t>
            </w:r>
          </w:p>
          <w:p w14:paraId="6BF1FE2B" w14:textId="77777777" w:rsidR="00772EB0" w:rsidRPr="000813EC" w:rsidRDefault="00772EB0" w:rsidP="00772EB0">
            <w:pPr>
              <w:pStyle w:val="ListParagraph"/>
              <w:spacing w:before="240" w:after="240"/>
              <w:jc w:val="both"/>
              <w:rPr>
                <w:rFonts w:eastAsia="Century Gothic" w:cs="Century Gothic"/>
                <w:color w:val="auto"/>
                <w:sz w:val="16"/>
                <w:szCs w:val="16"/>
              </w:rPr>
            </w:pPr>
          </w:p>
          <w:p w14:paraId="6F030FD5" w14:textId="1BEB9C92" w:rsidR="001C27CA" w:rsidRPr="000813EC" w:rsidRDefault="001C27CA" w:rsidP="00820EE4">
            <w:pPr>
              <w:pStyle w:val="ListParagraph"/>
              <w:numPr>
                <w:ilvl w:val="0"/>
                <w:numId w:val="5"/>
              </w:numPr>
              <w:spacing w:before="240" w:after="240"/>
              <w:ind w:left="747" w:hanging="425"/>
              <w:jc w:val="both"/>
              <w:rPr>
                <w:rFonts w:eastAsia="Century Gothic" w:cs="Century Gothic"/>
                <w:color w:val="auto"/>
                <w:sz w:val="16"/>
                <w:szCs w:val="16"/>
                <w:u w:val="single"/>
              </w:rPr>
            </w:pPr>
            <w:r w:rsidRPr="000813EC">
              <w:rPr>
                <w:rFonts w:eastAsia="Century Gothic" w:cs="Century Gothic"/>
                <w:color w:val="auto"/>
                <w:sz w:val="16"/>
                <w:szCs w:val="16"/>
                <w:u w:val="single"/>
              </w:rPr>
              <w:t>MUS_343_SSP_</w:t>
            </w:r>
            <w:r w:rsidR="00820EE4" w:rsidRPr="000813EC">
              <w:rPr>
                <w:rFonts w:eastAsia="Century Gothic" w:cs="Century Gothic"/>
                <w:color w:val="auto"/>
                <w:sz w:val="16"/>
                <w:szCs w:val="16"/>
                <w:u w:val="single"/>
              </w:rPr>
              <w:t>All</w:t>
            </w:r>
          </w:p>
          <w:p w14:paraId="1E76E724" w14:textId="77777777" w:rsidR="00772EB0" w:rsidRPr="000813EC" w:rsidRDefault="00772EB0" w:rsidP="00772EB0">
            <w:pPr>
              <w:pStyle w:val="ListParagraph"/>
              <w:spacing w:before="240" w:after="240"/>
              <w:jc w:val="both"/>
              <w:rPr>
                <w:rFonts w:eastAsia="Century Gothic" w:cs="Century Gothic"/>
                <w:color w:val="auto"/>
                <w:sz w:val="16"/>
                <w:szCs w:val="16"/>
              </w:rPr>
            </w:pPr>
            <w:r w:rsidRPr="000813EC">
              <w:rPr>
                <w:rFonts w:eastAsia="Century Gothic" w:cs="Century Gothic"/>
                <w:color w:val="auto"/>
                <w:sz w:val="16"/>
                <w:szCs w:val="16"/>
              </w:rPr>
              <w:t>Recipients - Shipper</w:t>
            </w:r>
          </w:p>
          <w:p w14:paraId="528E1E14" w14:textId="77777777" w:rsidR="00772EB0" w:rsidRPr="000813EC" w:rsidRDefault="00772EB0" w:rsidP="00772EB0">
            <w:pPr>
              <w:pStyle w:val="ListParagraph"/>
              <w:spacing w:before="240" w:after="240"/>
              <w:jc w:val="both"/>
              <w:rPr>
                <w:rFonts w:eastAsia="Century Gothic" w:cs="Century Gothic"/>
                <w:color w:val="auto"/>
                <w:sz w:val="16"/>
                <w:szCs w:val="16"/>
              </w:rPr>
            </w:pPr>
            <w:r w:rsidRPr="000813EC">
              <w:rPr>
                <w:rFonts w:eastAsia="Century Gothic" w:cs="Century Gothic"/>
                <w:color w:val="auto"/>
                <w:sz w:val="16"/>
                <w:szCs w:val="16"/>
              </w:rPr>
              <w:t>Frequency - Monthly</w:t>
            </w:r>
          </w:p>
          <w:p w14:paraId="6C769596" w14:textId="28CE9C26" w:rsidR="00EB05BC" w:rsidRPr="000813EC" w:rsidRDefault="00772EB0" w:rsidP="000557D6">
            <w:pPr>
              <w:pStyle w:val="ListParagraph"/>
              <w:spacing w:before="240" w:after="240"/>
              <w:jc w:val="both"/>
              <w:rPr>
                <w:rFonts w:eastAsia="Century Gothic" w:cs="Century Gothic"/>
                <w:color w:val="auto"/>
                <w:sz w:val="16"/>
                <w:szCs w:val="16"/>
              </w:rPr>
            </w:pPr>
            <w:r w:rsidRPr="000813EC">
              <w:rPr>
                <w:rFonts w:eastAsia="Century Gothic" w:cs="Century Gothic"/>
                <w:color w:val="auto"/>
                <w:sz w:val="16"/>
                <w:szCs w:val="16"/>
              </w:rPr>
              <w:t>Data Fields</w:t>
            </w:r>
            <w:r w:rsidR="0086667D" w:rsidRPr="000813EC">
              <w:rPr>
                <w:rFonts w:eastAsia="Century Gothic" w:cs="Century Gothic"/>
                <w:color w:val="auto"/>
                <w:sz w:val="16"/>
                <w:szCs w:val="16"/>
              </w:rPr>
              <w:t xml:space="preserve"> - </w:t>
            </w:r>
            <w:r w:rsidR="000557D6" w:rsidRPr="000813EC">
              <w:rPr>
                <w:rFonts w:eastAsia="Century Gothic" w:cs="Century Gothic"/>
                <w:color w:val="auto"/>
                <w:sz w:val="16"/>
                <w:szCs w:val="16"/>
              </w:rPr>
              <w:t xml:space="preserve">MPRN, MPRN Creation Date, Pot Name, Sub Category Code, Responsible Shipper, CRN (MUS / GSR), Meter Point Status Code, </w:t>
            </w:r>
            <w:proofErr w:type="spellStart"/>
            <w:r w:rsidR="000557D6" w:rsidRPr="000813EC">
              <w:rPr>
                <w:rFonts w:eastAsia="Century Gothic" w:cs="Century Gothic"/>
                <w:color w:val="auto"/>
                <w:sz w:val="16"/>
                <w:szCs w:val="16"/>
              </w:rPr>
              <w:t>Mp</w:t>
            </w:r>
            <w:proofErr w:type="spellEnd"/>
            <w:r w:rsidR="000557D6" w:rsidRPr="000813EC">
              <w:rPr>
                <w:rFonts w:eastAsia="Century Gothic" w:cs="Century Gothic"/>
                <w:color w:val="auto"/>
                <w:sz w:val="16"/>
                <w:szCs w:val="16"/>
              </w:rPr>
              <w:t xml:space="preserve"> Location Description, Original Withdrawal Date, Isolation Date (Meter Removal Date), Building Number, Building Name, Delivery Point Alias, Sub Building Name, Principal Street, Dependant Street, Double </w:t>
            </w:r>
            <w:proofErr w:type="spellStart"/>
            <w:r w:rsidR="000557D6" w:rsidRPr="000813EC">
              <w:rPr>
                <w:rFonts w:eastAsia="Century Gothic" w:cs="Century Gothic"/>
                <w:color w:val="auto"/>
                <w:sz w:val="16"/>
                <w:szCs w:val="16"/>
              </w:rPr>
              <w:t>Dpnd</w:t>
            </w:r>
            <w:proofErr w:type="spellEnd"/>
            <w:r w:rsidR="000557D6" w:rsidRPr="000813EC">
              <w:rPr>
                <w:rFonts w:eastAsia="Century Gothic" w:cs="Century Gothic"/>
                <w:color w:val="auto"/>
                <w:sz w:val="16"/>
                <w:szCs w:val="16"/>
              </w:rPr>
              <w:t xml:space="preserve"> Local, </w:t>
            </w:r>
            <w:proofErr w:type="spellStart"/>
            <w:r w:rsidR="000557D6" w:rsidRPr="000813EC">
              <w:rPr>
                <w:rFonts w:eastAsia="Century Gothic" w:cs="Century Gothic"/>
                <w:color w:val="auto"/>
                <w:sz w:val="16"/>
                <w:szCs w:val="16"/>
              </w:rPr>
              <w:t>Dpndnt</w:t>
            </w:r>
            <w:proofErr w:type="spellEnd"/>
            <w:r w:rsidR="000557D6" w:rsidRPr="000813EC">
              <w:rPr>
                <w:rFonts w:eastAsia="Century Gothic" w:cs="Century Gothic"/>
                <w:color w:val="auto"/>
                <w:sz w:val="16"/>
                <w:szCs w:val="16"/>
              </w:rPr>
              <w:t xml:space="preserve"> Locality, Post Town, County, Post Code, LDZ Identifier, IGT, SSC (FOM), FOM CRN, FOM Meter Serial Number, FOM Shipper Reference, MSN (C&amp;D</w:t>
            </w:r>
            <w:r w:rsidR="00C16A0E" w:rsidRPr="000813EC">
              <w:rPr>
                <w:rFonts w:eastAsia="Century Gothic" w:cs="Century Gothic"/>
                <w:color w:val="auto"/>
                <w:sz w:val="16"/>
                <w:szCs w:val="16"/>
              </w:rPr>
              <w:t>)</w:t>
            </w:r>
            <w:r w:rsidR="000557D6" w:rsidRPr="000813EC">
              <w:rPr>
                <w:rFonts w:eastAsia="Century Gothic" w:cs="Century Gothic"/>
                <w:color w:val="auto"/>
                <w:sz w:val="16"/>
                <w:szCs w:val="16"/>
              </w:rPr>
              <w:t>, Date of Work (C&amp;D), SSC</w:t>
            </w:r>
            <w:r w:rsidR="00C16A0E" w:rsidRPr="000813EC">
              <w:rPr>
                <w:rFonts w:eastAsia="Century Gothic" w:cs="Century Gothic"/>
                <w:color w:val="auto"/>
                <w:sz w:val="16"/>
                <w:szCs w:val="16"/>
              </w:rPr>
              <w:t xml:space="preserve"> </w:t>
            </w:r>
            <w:r w:rsidR="000557D6" w:rsidRPr="000813EC">
              <w:rPr>
                <w:rFonts w:eastAsia="Century Gothic" w:cs="Century Gothic"/>
                <w:color w:val="auto"/>
                <w:sz w:val="16"/>
                <w:szCs w:val="16"/>
              </w:rPr>
              <w:t>(Conf Attempt),</w:t>
            </w:r>
            <w:r w:rsidR="00C16A0E" w:rsidRPr="000813EC">
              <w:rPr>
                <w:rFonts w:eastAsia="Century Gothic" w:cs="Century Gothic"/>
                <w:color w:val="auto"/>
                <w:sz w:val="16"/>
                <w:szCs w:val="16"/>
              </w:rPr>
              <w:t xml:space="preserve"> </w:t>
            </w:r>
            <w:r w:rsidR="000557D6" w:rsidRPr="000813EC">
              <w:rPr>
                <w:rFonts w:eastAsia="Century Gothic" w:cs="Century Gothic"/>
                <w:color w:val="auto"/>
                <w:sz w:val="16"/>
                <w:szCs w:val="16"/>
              </w:rPr>
              <w:t>CNF Reference (Conf Attempt),</w:t>
            </w:r>
            <w:r w:rsidR="00C16A0E" w:rsidRPr="000813EC">
              <w:rPr>
                <w:rFonts w:eastAsia="Century Gothic" w:cs="Century Gothic"/>
                <w:color w:val="auto"/>
                <w:sz w:val="16"/>
                <w:szCs w:val="16"/>
              </w:rPr>
              <w:t xml:space="preserve"> </w:t>
            </w:r>
            <w:r w:rsidR="000557D6" w:rsidRPr="000813EC">
              <w:rPr>
                <w:rFonts w:eastAsia="Century Gothic" w:cs="Century Gothic"/>
                <w:color w:val="auto"/>
                <w:sz w:val="16"/>
                <w:szCs w:val="16"/>
              </w:rPr>
              <w:t>Conf Rejected Date (Conf Attempt), Conf Rejection, MSG Text (Conf Attempt), Siteworks SSC (service request), Shipper MPRN Creation, C&amp;D Rejection, Confirmation Rejection, Service Request, Attempted Read Submission</w:t>
            </w:r>
          </w:p>
          <w:p w14:paraId="1E76522A" w14:textId="77777777" w:rsidR="00B936A4" w:rsidRPr="000813EC" w:rsidRDefault="00B936A4" w:rsidP="00B936A4">
            <w:pPr>
              <w:pStyle w:val="ListParagraph"/>
              <w:spacing w:before="240" w:after="240"/>
              <w:ind w:right="2340"/>
              <w:jc w:val="both"/>
              <w:rPr>
                <w:rFonts w:eastAsia="Century Gothic" w:cs="Century Gothic"/>
                <w:color w:val="auto"/>
                <w:sz w:val="16"/>
                <w:szCs w:val="16"/>
              </w:rPr>
            </w:pPr>
          </w:p>
          <w:p w14:paraId="57B7AD88" w14:textId="2BC6BAC6" w:rsidR="004A0AA0" w:rsidRPr="000813EC" w:rsidRDefault="43DEF843" w:rsidP="7BAAF4A3">
            <w:pPr>
              <w:pStyle w:val="ListParagraph"/>
              <w:numPr>
                <w:ilvl w:val="0"/>
                <w:numId w:val="3"/>
              </w:numPr>
              <w:spacing w:before="240" w:after="240"/>
              <w:jc w:val="both"/>
              <w:rPr>
                <w:rFonts w:eastAsia="Century Gothic" w:cs="Century Gothic"/>
                <w:color w:val="auto"/>
                <w:sz w:val="16"/>
                <w:szCs w:val="16"/>
                <w:u w:val="single"/>
              </w:rPr>
            </w:pPr>
            <w:r w:rsidRPr="000813EC">
              <w:rPr>
                <w:rFonts w:eastAsia="Century Gothic" w:cs="Century Gothic"/>
                <w:color w:val="auto"/>
                <w:sz w:val="16"/>
                <w:szCs w:val="16"/>
                <w:u w:val="single"/>
              </w:rPr>
              <w:t>Shipperless &amp; Unregistered Summary</w:t>
            </w:r>
          </w:p>
          <w:p w14:paraId="21B858AF" w14:textId="3EE554EE" w:rsidR="5D52C8A5" w:rsidRPr="000813EC" w:rsidRDefault="617DC05B" w:rsidP="5D52C8A5">
            <w:pPr>
              <w:pStyle w:val="ListParagraph"/>
              <w:spacing w:before="240" w:after="240"/>
              <w:jc w:val="both"/>
              <w:rPr>
                <w:rFonts w:eastAsia="Century Gothic" w:cs="Century Gothic"/>
                <w:color w:val="auto"/>
                <w:sz w:val="16"/>
                <w:szCs w:val="16"/>
              </w:rPr>
            </w:pPr>
            <w:r w:rsidRPr="000813EC">
              <w:rPr>
                <w:rFonts w:eastAsia="Century Gothic" w:cs="Century Gothic"/>
                <w:color w:val="auto"/>
                <w:sz w:val="16"/>
                <w:szCs w:val="16"/>
              </w:rPr>
              <w:t>Recipients - GT and IGT</w:t>
            </w:r>
          </w:p>
          <w:p w14:paraId="2F9F7901" w14:textId="1FD93863" w:rsidR="617DC05B" w:rsidRPr="000813EC" w:rsidRDefault="617DC05B" w:rsidP="5E7D18F1">
            <w:pPr>
              <w:pStyle w:val="ListParagraph"/>
              <w:spacing w:before="240" w:after="240"/>
              <w:jc w:val="both"/>
              <w:rPr>
                <w:rFonts w:eastAsia="Century Gothic" w:cs="Century Gothic"/>
                <w:color w:val="auto"/>
                <w:sz w:val="16"/>
                <w:szCs w:val="16"/>
              </w:rPr>
            </w:pPr>
            <w:r w:rsidRPr="000813EC">
              <w:rPr>
                <w:rFonts w:eastAsia="Century Gothic" w:cs="Century Gothic"/>
                <w:color w:val="auto"/>
                <w:sz w:val="16"/>
                <w:szCs w:val="16"/>
              </w:rPr>
              <w:t xml:space="preserve">Frequency - </w:t>
            </w:r>
            <w:r w:rsidR="003F23C7" w:rsidRPr="000813EC">
              <w:rPr>
                <w:rFonts w:eastAsia="Century Gothic" w:cs="Century Gothic"/>
                <w:color w:val="auto"/>
                <w:sz w:val="16"/>
                <w:szCs w:val="16"/>
              </w:rPr>
              <w:t>Monthly</w:t>
            </w:r>
          </w:p>
          <w:p w14:paraId="296AB62A" w14:textId="176F02D0" w:rsidR="617DC05B" w:rsidRPr="000813EC" w:rsidRDefault="617DC05B" w:rsidP="1E65477D">
            <w:pPr>
              <w:pStyle w:val="ListParagraph"/>
              <w:spacing w:before="240" w:after="240"/>
              <w:jc w:val="both"/>
              <w:rPr>
                <w:rFonts w:eastAsia="Century Gothic" w:cs="Century Gothic"/>
                <w:color w:val="auto"/>
                <w:sz w:val="16"/>
                <w:szCs w:val="16"/>
              </w:rPr>
            </w:pPr>
            <w:r w:rsidRPr="000813EC">
              <w:rPr>
                <w:rFonts w:eastAsia="Century Gothic" w:cs="Century Gothic"/>
                <w:color w:val="auto"/>
                <w:sz w:val="16"/>
                <w:szCs w:val="16"/>
              </w:rPr>
              <w:t xml:space="preserve">Data Fields </w:t>
            </w:r>
            <w:r w:rsidR="003A7403" w:rsidRPr="000813EC">
              <w:rPr>
                <w:rFonts w:eastAsia="Century Gothic" w:cs="Century Gothic"/>
                <w:color w:val="auto"/>
                <w:sz w:val="16"/>
                <w:szCs w:val="16"/>
              </w:rPr>
              <w:t>–</w:t>
            </w:r>
            <w:r w:rsidRPr="000813EC">
              <w:rPr>
                <w:rFonts w:eastAsia="Century Gothic" w:cs="Century Gothic"/>
                <w:color w:val="auto"/>
                <w:sz w:val="16"/>
                <w:szCs w:val="16"/>
              </w:rPr>
              <w:t xml:space="preserve"> </w:t>
            </w:r>
            <w:r w:rsidR="006D0C6E" w:rsidRPr="000813EC">
              <w:rPr>
                <w:rFonts w:eastAsia="Century Gothic" w:cs="Century Gothic"/>
                <w:color w:val="auto"/>
                <w:sz w:val="16"/>
                <w:szCs w:val="16"/>
              </w:rPr>
              <w:t xml:space="preserve">Screenshot </w:t>
            </w:r>
            <w:r w:rsidR="7D06CFF2" w:rsidRPr="000813EC">
              <w:rPr>
                <w:rFonts w:eastAsia="Century Gothic" w:cs="Century Gothic"/>
                <w:color w:val="auto"/>
                <w:sz w:val="16"/>
                <w:szCs w:val="16"/>
              </w:rPr>
              <w:t>as below</w:t>
            </w:r>
          </w:p>
          <w:p w14:paraId="1CA2C135" w14:textId="19822B51" w:rsidR="003A7403" w:rsidRPr="000813EC" w:rsidRDefault="0086667D" w:rsidP="1E65477D">
            <w:pPr>
              <w:pStyle w:val="ListParagraph"/>
              <w:spacing w:before="240" w:after="240"/>
              <w:jc w:val="both"/>
              <w:rPr>
                <w:rFonts w:eastAsia="Century Gothic" w:cs="Century Gothic"/>
                <w:color w:val="auto"/>
                <w:sz w:val="16"/>
                <w:szCs w:val="16"/>
              </w:rPr>
            </w:pPr>
            <w:r w:rsidRPr="000813EC">
              <w:rPr>
                <w:rFonts w:eastAsia="Century Gothic" w:cs="Century Gothic"/>
                <w:noProof/>
                <w:color w:val="auto"/>
                <w:sz w:val="16"/>
                <w:szCs w:val="16"/>
              </w:rPr>
              <w:drawing>
                <wp:inline distT="0" distB="0" distL="0" distR="0" wp14:anchorId="31C48E2E" wp14:editId="072B401A">
                  <wp:extent cx="4880740" cy="2665828"/>
                  <wp:effectExtent l="0" t="0" r="0" b="1270"/>
                  <wp:docPr id="1914955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955759" name=""/>
                          <pic:cNvPicPr/>
                        </pic:nvPicPr>
                        <pic:blipFill>
                          <a:blip r:embed="rId20"/>
                          <a:stretch>
                            <a:fillRect/>
                          </a:stretch>
                        </pic:blipFill>
                        <pic:spPr>
                          <a:xfrm>
                            <a:off x="0" y="0"/>
                            <a:ext cx="4887934" cy="2669757"/>
                          </a:xfrm>
                          <a:prstGeom prst="rect">
                            <a:avLst/>
                          </a:prstGeom>
                        </pic:spPr>
                      </pic:pic>
                    </a:graphicData>
                  </a:graphic>
                </wp:inline>
              </w:drawing>
            </w:r>
          </w:p>
          <w:p w14:paraId="28D188A8" w14:textId="77777777" w:rsidR="00AD76C2" w:rsidRPr="000813EC" w:rsidRDefault="00AD76C2" w:rsidP="00AD76C2">
            <w:pPr>
              <w:pStyle w:val="ListParagraph"/>
              <w:spacing w:before="240" w:after="240"/>
              <w:ind w:right="2250"/>
              <w:jc w:val="both"/>
              <w:rPr>
                <w:rFonts w:eastAsia="Century Gothic" w:cs="Century Gothic"/>
                <w:color w:val="auto"/>
                <w:sz w:val="16"/>
                <w:szCs w:val="16"/>
              </w:rPr>
            </w:pPr>
          </w:p>
          <w:p w14:paraId="2CA22C91" w14:textId="77777777" w:rsidR="00410EA3" w:rsidRPr="000813EC" w:rsidRDefault="00410EA3" w:rsidP="00AD76C2">
            <w:pPr>
              <w:pStyle w:val="ListParagraph"/>
              <w:spacing w:before="240" w:after="240"/>
              <w:ind w:right="2250"/>
              <w:jc w:val="both"/>
              <w:rPr>
                <w:rFonts w:eastAsia="Century Gothic" w:cs="Century Gothic"/>
                <w:color w:val="auto"/>
                <w:sz w:val="16"/>
                <w:szCs w:val="16"/>
              </w:rPr>
            </w:pPr>
          </w:p>
          <w:p w14:paraId="0556ADB0" w14:textId="57F38657" w:rsidR="004A0AA0" w:rsidRPr="000813EC" w:rsidRDefault="43DEF843" w:rsidP="00410EA3">
            <w:pPr>
              <w:pStyle w:val="ListParagraph"/>
              <w:numPr>
                <w:ilvl w:val="0"/>
                <w:numId w:val="3"/>
              </w:numPr>
              <w:spacing w:before="240" w:after="240"/>
              <w:ind w:right="112"/>
              <w:jc w:val="both"/>
              <w:rPr>
                <w:rFonts w:eastAsia="Century Gothic" w:cs="Century Gothic"/>
                <w:color w:val="auto"/>
                <w:sz w:val="16"/>
                <w:szCs w:val="16"/>
              </w:rPr>
            </w:pPr>
            <w:r w:rsidRPr="000813EC">
              <w:rPr>
                <w:rFonts w:eastAsia="Century Gothic" w:cs="Century Gothic"/>
                <w:color w:val="auto"/>
                <w:sz w:val="16"/>
                <w:szCs w:val="16"/>
                <w:u w:val="single"/>
              </w:rPr>
              <w:t>[IGT]_</w:t>
            </w:r>
            <w:proofErr w:type="spellStart"/>
            <w:r w:rsidRPr="000813EC">
              <w:rPr>
                <w:rFonts w:eastAsia="Century Gothic" w:cs="Century Gothic"/>
                <w:color w:val="auto"/>
                <w:sz w:val="16"/>
                <w:szCs w:val="16"/>
                <w:u w:val="single"/>
              </w:rPr>
              <w:t>Combined_Reports_MMM_YY</w:t>
            </w:r>
            <w:proofErr w:type="spellEnd"/>
            <w:r w:rsidR="16669B2B" w:rsidRPr="000813EC">
              <w:rPr>
                <w:rFonts w:eastAsia="Century Gothic" w:cs="Century Gothic"/>
                <w:color w:val="auto"/>
                <w:sz w:val="16"/>
                <w:szCs w:val="16"/>
              </w:rPr>
              <w:t xml:space="preserve"> </w:t>
            </w:r>
          </w:p>
          <w:p w14:paraId="326A8A46" w14:textId="5C12340D" w:rsidR="00410EA3" w:rsidRPr="000813EC" w:rsidRDefault="00410EA3" w:rsidP="00410EA3">
            <w:pPr>
              <w:pStyle w:val="ListParagraph"/>
              <w:spacing w:before="240" w:after="240"/>
              <w:ind w:right="112"/>
              <w:jc w:val="both"/>
              <w:rPr>
                <w:rFonts w:eastAsia="Century Gothic" w:cs="Century Gothic"/>
                <w:color w:val="auto"/>
                <w:sz w:val="16"/>
                <w:szCs w:val="16"/>
              </w:rPr>
            </w:pPr>
            <w:r w:rsidRPr="000813EC">
              <w:rPr>
                <w:rFonts w:eastAsia="Century Gothic" w:cs="Century Gothic"/>
                <w:color w:val="auto"/>
                <w:sz w:val="16"/>
                <w:szCs w:val="16"/>
              </w:rPr>
              <w:t>Recipients</w:t>
            </w:r>
            <w:r w:rsidR="000A54FB" w:rsidRPr="000813EC">
              <w:rPr>
                <w:rFonts w:eastAsia="Century Gothic" w:cs="Century Gothic"/>
                <w:color w:val="auto"/>
                <w:sz w:val="16"/>
                <w:szCs w:val="16"/>
              </w:rPr>
              <w:t xml:space="preserve"> – </w:t>
            </w:r>
            <w:r w:rsidR="1D0F1FC9" w:rsidRPr="000813EC">
              <w:rPr>
                <w:rFonts w:eastAsia="Century Gothic" w:cs="Century Gothic"/>
                <w:color w:val="auto"/>
                <w:sz w:val="16"/>
                <w:szCs w:val="16"/>
              </w:rPr>
              <w:t>GT and IGT</w:t>
            </w:r>
          </w:p>
          <w:p w14:paraId="5D477EB3" w14:textId="4E6D8D65" w:rsidR="000A54FB" w:rsidRPr="000813EC" w:rsidRDefault="000A54FB" w:rsidP="00410EA3">
            <w:pPr>
              <w:pStyle w:val="ListParagraph"/>
              <w:spacing w:before="240" w:after="240"/>
              <w:ind w:right="112"/>
              <w:jc w:val="both"/>
              <w:rPr>
                <w:rFonts w:eastAsia="Century Gothic" w:cs="Century Gothic"/>
                <w:color w:val="auto"/>
                <w:sz w:val="16"/>
                <w:szCs w:val="16"/>
              </w:rPr>
            </w:pPr>
            <w:r w:rsidRPr="000813EC">
              <w:rPr>
                <w:rFonts w:eastAsia="Century Gothic" w:cs="Century Gothic"/>
                <w:color w:val="auto"/>
                <w:sz w:val="16"/>
                <w:szCs w:val="16"/>
              </w:rPr>
              <w:t xml:space="preserve">Frequency – </w:t>
            </w:r>
            <w:r w:rsidR="002D2483" w:rsidRPr="000813EC">
              <w:rPr>
                <w:rFonts w:eastAsia="Century Gothic" w:cs="Century Gothic"/>
                <w:color w:val="auto"/>
                <w:sz w:val="16"/>
                <w:szCs w:val="16"/>
              </w:rPr>
              <w:t>Adhoc</w:t>
            </w:r>
          </w:p>
          <w:p w14:paraId="145BB319" w14:textId="4FE19202" w:rsidR="000A54FB" w:rsidRPr="000813EC" w:rsidRDefault="000A54FB" w:rsidP="00410EA3">
            <w:pPr>
              <w:pStyle w:val="ListParagraph"/>
              <w:spacing w:before="240" w:after="240"/>
              <w:ind w:right="112"/>
              <w:jc w:val="both"/>
              <w:rPr>
                <w:rFonts w:eastAsia="Century Gothic" w:cs="Century Gothic"/>
                <w:color w:val="auto"/>
                <w:sz w:val="16"/>
                <w:szCs w:val="16"/>
              </w:rPr>
            </w:pPr>
            <w:r w:rsidRPr="000813EC">
              <w:rPr>
                <w:rFonts w:eastAsia="Century Gothic" w:cs="Century Gothic"/>
                <w:color w:val="auto"/>
                <w:sz w:val="16"/>
                <w:szCs w:val="16"/>
              </w:rPr>
              <w:t xml:space="preserve">Data Fields </w:t>
            </w:r>
            <w:r w:rsidR="0086667D" w:rsidRPr="000813EC">
              <w:rPr>
                <w:rFonts w:eastAsia="Century Gothic" w:cs="Century Gothic"/>
                <w:color w:val="auto"/>
                <w:sz w:val="16"/>
                <w:szCs w:val="16"/>
              </w:rPr>
              <w:t>–</w:t>
            </w:r>
            <w:r w:rsidRPr="000813EC">
              <w:rPr>
                <w:rFonts w:eastAsia="Century Gothic" w:cs="Century Gothic"/>
                <w:color w:val="auto"/>
                <w:sz w:val="16"/>
                <w:szCs w:val="16"/>
              </w:rPr>
              <w:t xml:space="preserve"> </w:t>
            </w:r>
            <w:r w:rsidR="0086667D" w:rsidRPr="000813EC">
              <w:rPr>
                <w:rFonts w:eastAsia="Century Gothic" w:cs="Century Gothic"/>
                <w:color w:val="auto"/>
                <w:sz w:val="16"/>
                <w:szCs w:val="16"/>
              </w:rPr>
              <w:t>Attached a sample format</w:t>
            </w:r>
          </w:p>
          <w:bookmarkStart w:id="3" w:name="_MON_1821449057"/>
          <w:bookmarkEnd w:id="3"/>
          <w:p w14:paraId="35E4393A" w14:textId="3E77470E" w:rsidR="00410EA3" w:rsidRPr="000813EC" w:rsidRDefault="006E603E" w:rsidP="00410EA3">
            <w:pPr>
              <w:pStyle w:val="ListParagraph"/>
              <w:spacing w:before="240" w:after="240"/>
              <w:ind w:right="112"/>
              <w:jc w:val="both"/>
              <w:rPr>
                <w:rFonts w:eastAsia="Century Gothic" w:cs="Century Gothic"/>
                <w:color w:val="auto"/>
                <w:sz w:val="16"/>
                <w:szCs w:val="16"/>
              </w:rPr>
            </w:pPr>
            <w:r w:rsidRPr="000813EC">
              <w:rPr>
                <w:rFonts w:eastAsia="Century Gothic" w:cs="Century Gothic"/>
                <w:color w:val="auto"/>
                <w:sz w:val="16"/>
                <w:szCs w:val="16"/>
              </w:rPr>
              <w:object w:dxaOrig="1504" w:dyaOrig="981" w14:anchorId="308E8CB6">
                <v:shape id="_x0000_i1027" type="#_x0000_t75" style="width:75pt;height:48.75pt" o:ole="">
                  <v:imagedata r:id="rId21" o:title=""/>
                </v:shape>
                <o:OLEObject Type="Embed" ProgID="Excel.Sheet.12" ShapeID="_x0000_i1027" DrawAspect="Icon" ObjectID="_1821855263" r:id="rId22"/>
              </w:object>
            </w:r>
          </w:p>
          <w:p w14:paraId="49791DB5" w14:textId="77777777" w:rsidR="00EA4C1F" w:rsidRDefault="00E00663" w:rsidP="00B74028">
            <w:pPr>
              <w:pStyle w:val="ListParagraph"/>
              <w:spacing w:before="240" w:after="240"/>
              <w:ind w:right="112"/>
              <w:jc w:val="both"/>
              <w:rPr>
                <w:rFonts w:eastAsia="Century Gothic" w:cs="Century Gothic"/>
                <w:i/>
                <w:iCs/>
                <w:color w:val="auto"/>
                <w:sz w:val="14"/>
                <w:szCs w:val="14"/>
              </w:rPr>
            </w:pPr>
            <w:r w:rsidRPr="007D396A">
              <w:rPr>
                <w:rFonts w:eastAsia="Century Gothic" w:cs="Century Gothic"/>
                <w:i/>
                <w:iCs/>
                <w:color w:val="auto"/>
                <w:sz w:val="14"/>
                <w:szCs w:val="14"/>
              </w:rPr>
              <w:t>IGT combined report</w:t>
            </w:r>
          </w:p>
          <w:p w14:paraId="25BDEBC8" w14:textId="77777777" w:rsidR="00B74028" w:rsidRPr="00672CC7" w:rsidRDefault="00B74028" w:rsidP="00B74028">
            <w:pPr>
              <w:pStyle w:val="ListParagraph"/>
              <w:spacing w:before="240" w:after="240"/>
              <w:ind w:right="112"/>
              <w:jc w:val="both"/>
              <w:rPr>
                <w:rFonts w:eastAsia="Century Gothic" w:cs="Century Gothic"/>
                <w:color w:val="auto"/>
                <w:sz w:val="14"/>
                <w:szCs w:val="14"/>
              </w:rPr>
            </w:pPr>
          </w:p>
          <w:p w14:paraId="6C3947FB" w14:textId="35A1CC65" w:rsidR="00B74028" w:rsidRPr="00B74028" w:rsidRDefault="00B74028" w:rsidP="00B74028">
            <w:pPr>
              <w:spacing w:before="240" w:after="240"/>
              <w:ind w:right="112"/>
              <w:jc w:val="both"/>
              <w:rPr>
                <w:rFonts w:eastAsia="Century Gothic" w:cs="Century Gothic"/>
                <w:i/>
                <w:iCs/>
                <w:color w:val="auto"/>
                <w:sz w:val="22"/>
                <w:szCs w:val="22"/>
              </w:rPr>
            </w:pPr>
            <w:r w:rsidRPr="00672CC7">
              <w:rPr>
                <w:rFonts w:eastAsia="Century Gothic" w:cs="Century Gothic"/>
                <w:color w:val="auto"/>
                <w:sz w:val="22"/>
                <w:szCs w:val="22"/>
              </w:rPr>
              <w:t xml:space="preserve">Further detail on the above information will be provided as part of XRN5732 Project training and onboarding activities </w:t>
            </w:r>
            <w:r w:rsidR="00672CC7">
              <w:rPr>
                <w:rFonts w:eastAsia="Century Gothic" w:cs="Century Gothic"/>
                <w:color w:val="auto"/>
                <w:sz w:val="22"/>
                <w:szCs w:val="22"/>
              </w:rPr>
              <w:t xml:space="preserve">that </w:t>
            </w:r>
            <w:r w:rsidR="00044F47">
              <w:rPr>
                <w:rFonts w:eastAsia="Century Gothic" w:cs="Century Gothic"/>
                <w:color w:val="auto"/>
                <w:sz w:val="22"/>
                <w:szCs w:val="22"/>
              </w:rPr>
              <w:t xml:space="preserve">will be planned in with </w:t>
            </w:r>
            <w:r w:rsidR="00E87586" w:rsidRPr="00672CC7">
              <w:rPr>
                <w:rFonts w:eastAsia="Century Gothic" w:cs="Century Gothic"/>
                <w:color w:val="auto"/>
                <w:sz w:val="22"/>
                <w:szCs w:val="22"/>
              </w:rPr>
              <w:t>IGT stakeholders.</w:t>
            </w:r>
            <w:r w:rsidR="00E87586">
              <w:rPr>
                <w:rFonts w:eastAsia="Century Gothic" w:cs="Century Gothic"/>
                <w:i/>
                <w:iCs/>
                <w:color w:val="auto"/>
                <w:sz w:val="22"/>
                <w:szCs w:val="22"/>
              </w:rPr>
              <w:t xml:space="preserve"> </w:t>
            </w:r>
          </w:p>
        </w:tc>
      </w:tr>
    </w:tbl>
    <w:p w14:paraId="76AA2EC3" w14:textId="77777777" w:rsidR="00A86D70" w:rsidRDefault="00A86D70" w:rsidP="00A86D70"/>
    <w:p w14:paraId="363CE62E" w14:textId="7FAE6443" w:rsidR="00EF01EF" w:rsidRDefault="2E8CF7C1" w:rsidP="00EF2F84">
      <w:pPr>
        <w:rPr>
          <w:color w:val="6680FF" w:themeColor="accent2"/>
          <w:sz w:val="40"/>
          <w:szCs w:val="40"/>
        </w:rPr>
      </w:pPr>
      <w:r w:rsidRPr="7EA55C80">
        <w:rPr>
          <w:color w:val="6680FF" w:themeColor="accent2"/>
          <w:sz w:val="40"/>
          <w:szCs w:val="40"/>
        </w:rPr>
        <w:t>A</w:t>
      </w:r>
      <w:r w:rsidR="1DAC5FFF" w:rsidRPr="7EA55C80">
        <w:rPr>
          <w:color w:val="6680FF" w:themeColor="accent2"/>
          <w:sz w:val="40"/>
          <w:szCs w:val="40"/>
        </w:rPr>
        <w:t>ssociated Changes</w:t>
      </w:r>
    </w:p>
    <w:tbl>
      <w:tblPr>
        <w:tblStyle w:val="GridTable3"/>
        <w:tblW w:w="9093" w:type="dxa"/>
        <w:tblLook w:val="04A0" w:firstRow="1" w:lastRow="0" w:firstColumn="1" w:lastColumn="0" w:noHBand="0" w:noVBand="1"/>
      </w:tblPr>
      <w:tblGrid>
        <w:gridCol w:w="2830"/>
        <w:gridCol w:w="6263"/>
      </w:tblGrid>
      <w:tr w:rsidR="009F0211" w:rsidRPr="00CE732A" w14:paraId="3DC07315" w14:textId="77777777" w:rsidTr="3EBAFA04">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830" w:type="dxa"/>
            <w:shd w:val="clear" w:color="auto" w:fill="212133" w:themeFill="text2"/>
            <w:vAlign w:val="center"/>
          </w:tcPr>
          <w:p w14:paraId="49B70FE7" w14:textId="23E7565E" w:rsidR="00EF01EF" w:rsidRPr="00CE732A" w:rsidRDefault="1DAC5FFF" w:rsidP="7EA55C80">
            <w:pPr>
              <w:rPr>
                <w:b w:val="0"/>
                <w:bCs w:val="0"/>
                <w:i w:val="0"/>
                <w:iCs w:val="0"/>
                <w:color w:val="FFFFFF"/>
              </w:rPr>
            </w:pPr>
            <w:r w:rsidRPr="7EA55C80">
              <w:rPr>
                <w:b w:val="0"/>
                <w:bCs w:val="0"/>
                <w:i w:val="0"/>
                <w:iCs w:val="0"/>
                <w:color w:val="FFFFFF"/>
              </w:rPr>
              <w:t>Associated Change(s) and Title(s):</w:t>
            </w:r>
          </w:p>
        </w:tc>
        <w:tc>
          <w:tcPr>
            <w:tcW w:w="6263" w:type="dxa"/>
            <w:tcBorders>
              <w:top w:val="single" w:sz="12" w:space="0" w:color="000000"/>
              <w:right w:val="single" w:sz="12" w:space="0" w:color="000000"/>
            </w:tcBorders>
            <w:shd w:val="clear" w:color="auto" w:fill="FFFFFF"/>
            <w:vAlign w:val="center"/>
          </w:tcPr>
          <w:p w14:paraId="0EE9E344" w14:textId="6F6D0F9B" w:rsidR="00EF01EF" w:rsidRPr="00CE732A" w:rsidRDefault="385F89CD" w:rsidP="00D16007">
            <w:pPr>
              <w:cnfStyle w:val="100000000000" w:firstRow="1" w:lastRow="0" w:firstColumn="0" w:lastColumn="0" w:oddVBand="0" w:evenVBand="0" w:oddHBand="0" w:evenHBand="0" w:firstRowFirstColumn="0" w:firstRowLastColumn="0" w:lastRowFirstColumn="0" w:lastRowLastColumn="0"/>
              <w:rPr>
                <w:b w:val="0"/>
                <w:bCs w:val="0"/>
                <w:color w:val="212133" w:themeColor="text1"/>
              </w:rPr>
            </w:pPr>
            <w:r w:rsidRPr="2A5DED67">
              <w:rPr>
                <w:b w:val="0"/>
                <w:bCs w:val="0"/>
                <w:color w:val="212133" w:themeColor="text2"/>
              </w:rPr>
              <w:t>N/A</w:t>
            </w:r>
          </w:p>
        </w:tc>
      </w:tr>
    </w:tbl>
    <w:p w14:paraId="243FE610" w14:textId="77777777" w:rsidR="00A05790" w:rsidRDefault="00A05790" w:rsidP="00EF2F84">
      <w:pPr>
        <w:rPr>
          <w:color w:val="6680FF" w:themeColor="accent2"/>
          <w:sz w:val="40"/>
          <w:szCs w:val="40"/>
        </w:rPr>
      </w:pPr>
    </w:p>
    <w:p w14:paraId="56B50CD2" w14:textId="6380611E" w:rsidR="00A36380" w:rsidRDefault="77DE7F5F" w:rsidP="00A36380">
      <w:pPr>
        <w:rPr>
          <w:color w:val="6680FF" w:themeColor="accent2"/>
          <w:sz w:val="40"/>
          <w:szCs w:val="40"/>
        </w:rPr>
      </w:pPr>
      <w:r w:rsidRPr="7EA55C80">
        <w:rPr>
          <w:color w:val="6680FF" w:themeColor="accent2"/>
          <w:sz w:val="40"/>
          <w:szCs w:val="40"/>
        </w:rPr>
        <w:t>DSG</w:t>
      </w:r>
    </w:p>
    <w:tbl>
      <w:tblPr>
        <w:tblStyle w:val="ListTable3"/>
        <w:tblW w:w="9093" w:type="dxa"/>
        <w:tblLook w:val="04A0" w:firstRow="1" w:lastRow="0" w:firstColumn="1" w:lastColumn="0" w:noHBand="0" w:noVBand="1"/>
      </w:tblPr>
      <w:tblGrid>
        <w:gridCol w:w="2830"/>
        <w:gridCol w:w="6263"/>
      </w:tblGrid>
      <w:tr w:rsidR="00A36380" w:rsidRPr="00CE732A" w14:paraId="07AF2133" w14:textId="77777777" w:rsidTr="7EA55C80">
        <w:trPr>
          <w:cnfStyle w:val="100000000000" w:firstRow="1" w:lastRow="0" w:firstColumn="0" w:lastColumn="0" w:oddVBand="0" w:evenVBand="0" w:oddHBand="0" w:evenHBand="0" w:firstRowFirstColumn="0" w:firstRowLastColumn="0" w:lastRowFirstColumn="0" w:lastRowLastColumn="0"/>
          <w:trHeight w:val="758"/>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FFFFFF"/>
              <w:right w:val="single" w:sz="4" w:space="0" w:color="212133" w:themeColor="text2"/>
            </w:tcBorders>
            <w:shd w:val="clear" w:color="auto" w:fill="212133" w:themeFill="text2"/>
            <w:vAlign w:val="center"/>
          </w:tcPr>
          <w:p w14:paraId="16DF752C" w14:textId="7000DD77" w:rsidR="00A36380" w:rsidRPr="00CE732A" w:rsidRDefault="00A36380" w:rsidP="007F0F15">
            <w:pPr>
              <w:jc w:val="right"/>
              <w:rPr>
                <w:b w:val="0"/>
                <w:bCs w:val="0"/>
                <w:color w:val="FFFFFF"/>
              </w:rPr>
            </w:pPr>
            <w:r>
              <w:rPr>
                <w:b w:val="0"/>
                <w:bCs w:val="0"/>
                <w:color w:val="FFFFFF"/>
              </w:rPr>
              <w:t>Target DSG Discussion Date:</w:t>
            </w:r>
          </w:p>
        </w:tc>
        <w:tc>
          <w:tcPr>
            <w:tcW w:w="6263" w:type="dxa"/>
            <w:tcBorders>
              <w:left w:val="single" w:sz="4" w:space="0" w:color="212133" w:themeColor="text2"/>
              <w:right w:val="single" w:sz="4" w:space="0" w:color="212133" w:themeColor="text2"/>
            </w:tcBorders>
            <w:shd w:val="clear" w:color="auto" w:fill="FFFFFF"/>
            <w:vAlign w:val="center"/>
          </w:tcPr>
          <w:p w14:paraId="159EC9C4" w14:textId="10D25C47" w:rsidR="00A36380" w:rsidRPr="00044F47" w:rsidRDefault="00044F47" w:rsidP="00D16007">
            <w:pPr>
              <w:cnfStyle w:val="100000000000" w:firstRow="1" w:lastRow="0" w:firstColumn="0" w:lastColumn="0" w:oddVBand="0" w:evenVBand="0" w:oddHBand="0" w:evenHBand="0" w:firstRowFirstColumn="0" w:firstRowLastColumn="0" w:lastRowFirstColumn="0" w:lastRowLastColumn="0"/>
              <w:rPr>
                <w:b w:val="0"/>
                <w:bCs w:val="0"/>
                <w:color w:val="212133" w:themeColor="text1"/>
              </w:rPr>
            </w:pPr>
            <w:r w:rsidRPr="00044F47">
              <w:rPr>
                <w:b w:val="0"/>
                <w:bCs w:val="0"/>
                <w:color w:val="212133" w:themeColor="text1"/>
              </w:rPr>
              <w:t>20</w:t>
            </w:r>
            <w:r w:rsidRPr="00044F47">
              <w:rPr>
                <w:b w:val="0"/>
                <w:bCs w:val="0"/>
                <w:color w:val="212133" w:themeColor="text1"/>
                <w:vertAlign w:val="superscript"/>
              </w:rPr>
              <w:t>th</w:t>
            </w:r>
            <w:r w:rsidRPr="00044F47">
              <w:rPr>
                <w:b w:val="0"/>
                <w:bCs w:val="0"/>
                <w:color w:val="212133" w:themeColor="text1"/>
              </w:rPr>
              <w:t xml:space="preserve"> October 2025</w:t>
            </w:r>
          </w:p>
        </w:tc>
      </w:tr>
      <w:tr w:rsidR="00A36380" w:rsidRPr="00CE732A" w14:paraId="40D7DA35" w14:textId="77777777" w:rsidTr="7EA55C80">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single" w:sz="4" w:space="0" w:color="F5F7FF" w:themeColor="background2"/>
              <w:right w:val="single" w:sz="4" w:space="0" w:color="212133" w:themeColor="text2"/>
            </w:tcBorders>
            <w:shd w:val="clear" w:color="auto" w:fill="212133" w:themeFill="text2"/>
            <w:vAlign w:val="center"/>
          </w:tcPr>
          <w:p w14:paraId="165E6BC1" w14:textId="5F9303F4" w:rsidR="00A36380" w:rsidRPr="00A36380" w:rsidRDefault="00A36380" w:rsidP="007F0F15">
            <w:pPr>
              <w:jc w:val="right"/>
              <w:rPr>
                <w:b w:val="0"/>
                <w:bCs w:val="0"/>
                <w:color w:val="FFFFFF"/>
              </w:rPr>
            </w:pPr>
            <w:r w:rsidRPr="00A36380">
              <w:rPr>
                <w:b w:val="0"/>
                <w:bCs w:val="0"/>
                <w:color w:val="FFFFFF"/>
              </w:rPr>
              <w:t>Any further information:</w:t>
            </w:r>
          </w:p>
        </w:tc>
        <w:tc>
          <w:tcPr>
            <w:tcW w:w="6263" w:type="dxa"/>
            <w:tcBorders>
              <w:left w:val="single" w:sz="4" w:space="0" w:color="212133" w:themeColor="text2"/>
              <w:right w:val="single" w:sz="4" w:space="0" w:color="212133" w:themeColor="text2"/>
            </w:tcBorders>
            <w:shd w:val="clear" w:color="auto" w:fill="FFFFFF"/>
            <w:vAlign w:val="center"/>
          </w:tcPr>
          <w:p w14:paraId="3F587D9E" w14:textId="77777777" w:rsidR="00A36380" w:rsidRPr="00A36380" w:rsidRDefault="00A36380" w:rsidP="00D16007">
            <w:pPr>
              <w:cnfStyle w:val="000000100000" w:firstRow="0" w:lastRow="0" w:firstColumn="0" w:lastColumn="0" w:oddVBand="0" w:evenVBand="0" w:oddHBand="1" w:evenHBand="0" w:firstRowFirstColumn="0" w:firstRowLastColumn="0" w:lastRowFirstColumn="0" w:lastRowLastColumn="0"/>
              <w:rPr>
                <w:color w:val="FFFFFF"/>
              </w:rPr>
            </w:pPr>
          </w:p>
        </w:tc>
      </w:tr>
    </w:tbl>
    <w:p w14:paraId="37D02BFA" w14:textId="42CCCCA9" w:rsidR="00A36380" w:rsidRDefault="00A36380" w:rsidP="00A36380">
      <w:pPr>
        <w:rPr>
          <w:color w:val="6680FF" w:themeColor="accent2"/>
          <w:sz w:val="40"/>
          <w:szCs w:val="40"/>
        </w:rPr>
      </w:pPr>
      <w:r>
        <w:rPr>
          <w:color w:val="6680FF" w:themeColor="accent2"/>
          <w:sz w:val="40"/>
          <w:szCs w:val="40"/>
        </w:rPr>
        <w:t>Implementation</w:t>
      </w:r>
    </w:p>
    <w:tbl>
      <w:tblPr>
        <w:tblStyle w:val="ListTable3"/>
        <w:tblW w:w="9093" w:type="dxa"/>
        <w:tblLook w:val="04A0" w:firstRow="1" w:lastRow="0" w:firstColumn="1" w:lastColumn="0" w:noHBand="0" w:noVBand="1"/>
      </w:tblPr>
      <w:tblGrid>
        <w:gridCol w:w="2830"/>
        <w:gridCol w:w="6263"/>
      </w:tblGrid>
      <w:tr w:rsidR="008477AA" w:rsidRPr="00CE732A" w14:paraId="0AF1A40B" w14:textId="77777777" w:rsidTr="7EA55C80">
        <w:trPr>
          <w:cnfStyle w:val="100000000000" w:firstRow="1" w:lastRow="0" w:firstColumn="0" w:lastColumn="0" w:oddVBand="0" w:evenVBand="0" w:oddHBand="0" w:evenHBand="0" w:firstRowFirstColumn="0" w:firstRowLastColumn="0" w:lastRowFirstColumn="0" w:lastRowLastColumn="0"/>
          <w:trHeight w:val="758"/>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FFFFFF"/>
              <w:right w:val="single" w:sz="4" w:space="0" w:color="212133" w:themeColor="text2"/>
            </w:tcBorders>
            <w:shd w:val="clear" w:color="auto" w:fill="212133" w:themeFill="text2"/>
            <w:vAlign w:val="center"/>
          </w:tcPr>
          <w:p w14:paraId="4833D968" w14:textId="5C5A768F" w:rsidR="008477AA" w:rsidRPr="008477AA" w:rsidRDefault="008477AA" w:rsidP="008477AA">
            <w:pPr>
              <w:jc w:val="right"/>
              <w:rPr>
                <w:b w:val="0"/>
                <w:bCs w:val="0"/>
                <w:color w:val="FFFFFF"/>
              </w:rPr>
            </w:pPr>
            <w:r w:rsidRPr="008477AA">
              <w:rPr>
                <w:b w:val="0"/>
                <w:bCs w:val="0"/>
                <w:color w:val="FFFFFF"/>
              </w:rPr>
              <w:t>Target Release:</w:t>
            </w:r>
          </w:p>
        </w:tc>
        <w:tc>
          <w:tcPr>
            <w:tcW w:w="6263" w:type="dxa"/>
            <w:tcBorders>
              <w:left w:val="single" w:sz="4" w:space="0" w:color="212133" w:themeColor="text2"/>
              <w:right w:val="single" w:sz="4" w:space="0" w:color="212133" w:themeColor="text2"/>
            </w:tcBorders>
            <w:shd w:val="clear" w:color="auto" w:fill="FFFFFF"/>
            <w:vAlign w:val="center"/>
          </w:tcPr>
          <w:p w14:paraId="08283E7B" w14:textId="1DF31E16" w:rsidR="008477AA" w:rsidRPr="00044F47" w:rsidRDefault="00044F47" w:rsidP="7EA55C80">
            <w:pPr>
              <w:spacing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044F47">
              <w:rPr>
                <w:b w:val="0"/>
                <w:bCs w:val="0"/>
                <w:color w:val="auto"/>
              </w:rPr>
              <w:t>5</w:t>
            </w:r>
            <w:r w:rsidRPr="00044F47">
              <w:rPr>
                <w:b w:val="0"/>
                <w:bCs w:val="0"/>
                <w:color w:val="auto"/>
                <w:vertAlign w:val="superscript"/>
              </w:rPr>
              <w:t>th</w:t>
            </w:r>
            <w:r w:rsidRPr="00044F47">
              <w:rPr>
                <w:b w:val="0"/>
                <w:bCs w:val="0"/>
                <w:color w:val="auto"/>
              </w:rPr>
              <w:t xml:space="preserve"> December 2025</w:t>
            </w:r>
          </w:p>
        </w:tc>
      </w:tr>
      <w:tr w:rsidR="008477AA" w:rsidRPr="00CE732A" w14:paraId="28AB5166" w14:textId="77777777" w:rsidTr="7EA55C80">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single" w:sz="4" w:space="0" w:color="F5F7FF" w:themeColor="background2"/>
              <w:right w:val="single" w:sz="4" w:space="0" w:color="212133" w:themeColor="text2"/>
            </w:tcBorders>
            <w:shd w:val="clear" w:color="auto" w:fill="212133" w:themeFill="text2"/>
            <w:vAlign w:val="center"/>
          </w:tcPr>
          <w:p w14:paraId="732EE5AD" w14:textId="6807B19B" w:rsidR="008477AA" w:rsidRPr="008477AA" w:rsidRDefault="008477AA" w:rsidP="008477AA">
            <w:pPr>
              <w:jc w:val="right"/>
              <w:rPr>
                <w:b w:val="0"/>
                <w:bCs w:val="0"/>
                <w:color w:val="FFFFFF"/>
              </w:rPr>
            </w:pPr>
            <w:r w:rsidRPr="008477AA">
              <w:rPr>
                <w:b w:val="0"/>
                <w:bCs w:val="0"/>
                <w:color w:val="FFFFFF"/>
              </w:rPr>
              <w:t>Status:</w:t>
            </w:r>
          </w:p>
        </w:tc>
        <w:tc>
          <w:tcPr>
            <w:tcW w:w="6263" w:type="dxa"/>
            <w:tcBorders>
              <w:left w:val="single" w:sz="4" w:space="0" w:color="212133" w:themeColor="text2"/>
              <w:right w:val="single" w:sz="4" w:space="0" w:color="212133" w:themeColor="text2"/>
            </w:tcBorders>
            <w:shd w:val="clear" w:color="auto" w:fill="FFFFFF"/>
            <w:vAlign w:val="center"/>
          </w:tcPr>
          <w:p w14:paraId="692E1A14" w14:textId="7CF844B7" w:rsidR="008477AA" w:rsidRPr="00044F47" w:rsidRDefault="00044F47" w:rsidP="00D16007">
            <w:pPr>
              <w:cnfStyle w:val="000000100000" w:firstRow="0" w:lastRow="0" w:firstColumn="0" w:lastColumn="0" w:oddVBand="0" w:evenVBand="0" w:oddHBand="1" w:evenHBand="0" w:firstRowFirstColumn="0" w:firstRowLastColumn="0" w:lastRowFirstColumn="0" w:lastRowLastColumn="0"/>
              <w:rPr>
                <w:color w:val="auto"/>
              </w:rPr>
            </w:pPr>
            <w:r w:rsidRPr="00044F47">
              <w:rPr>
                <w:color w:val="auto"/>
              </w:rPr>
              <w:t xml:space="preserve">In delivery </w:t>
            </w:r>
            <w:r>
              <w:rPr>
                <w:color w:val="auto"/>
              </w:rPr>
              <w:t>(Minor Release 15)</w:t>
            </w:r>
          </w:p>
        </w:tc>
      </w:tr>
    </w:tbl>
    <w:p w14:paraId="5747C1FD" w14:textId="64CCEA28" w:rsidR="00761DC4" w:rsidRDefault="00761DC4" w:rsidP="00EF2F84">
      <w:pPr>
        <w:rPr>
          <w:color w:val="6680FF" w:themeColor="accent2"/>
          <w:sz w:val="40"/>
          <w:szCs w:val="40"/>
        </w:rPr>
      </w:pPr>
      <w:r>
        <w:rPr>
          <w:color w:val="6680FF" w:themeColor="accent2"/>
          <w:sz w:val="40"/>
          <w:szCs w:val="40"/>
        </w:rPr>
        <w:br w:type="page"/>
      </w:r>
    </w:p>
    <w:p w14:paraId="78764D85" w14:textId="77777777" w:rsidR="00761DC4" w:rsidRDefault="00761DC4" w:rsidP="00EF2F84">
      <w:pPr>
        <w:rPr>
          <w:color w:val="6680FF" w:themeColor="accent2"/>
          <w:sz w:val="40"/>
          <w:szCs w:val="40"/>
        </w:rPr>
      </w:pPr>
    </w:p>
    <w:p w14:paraId="7FA4F173" w14:textId="439852E7" w:rsidR="00EF2F84" w:rsidRDefault="00EF2F84" w:rsidP="00EF2F84">
      <w:pPr>
        <w:rPr>
          <w:color w:val="6680FF" w:themeColor="accent2"/>
          <w:sz w:val="40"/>
          <w:szCs w:val="40"/>
        </w:rPr>
      </w:pPr>
      <w:r>
        <w:rPr>
          <w:color w:val="6680FF" w:themeColor="accent2"/>
          <w:sz w:val="40"/>
          <w:szCs w:val="40"/>
        </w:rPr>
        <w:t xml:space="preserve">Industry Response </w:t>
      </w:r>
      <w:r w:rsidR="00C27DA0">
        <w:rPr>
          <w:color w:val="6680FF" w:themeColor="accent2"/>
          <w:sz w:val="40"/>
          <w:szCs w:val="40"/>
        </w:rPr>
        <w:t>Detailed design</w:t>
      </w:r>
    </w:p>
    <w:p w14:paraId="1295409B" w14:textId="77777777" w:rsidR="00761DC4" w:rsidRPr="005F269D" w:rsidRDefault="00761DC4" w:rsidP="00EF2F84">
      <w:pPr>
        <w:rPr>
          <w:color w:val="6680FF" w:themeColor="accent2"/>
        </w:rPr>
      </w:pPr>
    </w:p>
    <w:p w14:paraId="3B832DDE" w14:textId="77777777" w:rsidR="000D1CE3" w:rsidRPr="009E154A" w:rsidRDefault="000D1CE3" w:rsidP="000D1CE3">
      <w:pPr>
        <w:textAlignment w:val="baseline"/>
        <w:rPr>
          <w:rFonts w:eastAsia="Times New Roman" w:cs="Segoe UI"/>
        </w:rPr>
      </w:pPr>
      <w:r w:rsidRPr="009E154A">
        <w:rPr>
          <w:noProof/>
        </w:rPr>
        <w:fldChar w:fldCharType="begin"/>
      </w:r>
      <w:r w:rsidRPr="009E154A">
        <w:rPr>
          <w:noProof/>
        </w:rPr>
        <w:instrText xml:space="preserve"> MERGEFIELD  RangeStart:HDS  \* MERGEFORMAT </w:instrText>
      </w:r>
      <w:r w:rsidRPr="009E154A">
        <w:rPr>
          <w:noProof/>
        </w:rPr>
        <w:fldChar w:fldCharType="separate"/>
      </w:r>
      <w:r w:rsidRPr="009E154A">
        <w:rPr>
          <w:noProof/>
        </w:rPr>
        <w:t>«RangeStart:HDS»</w:t>
      </w:r>
      <w:r w:rsidRPr="009E154A">
        <w:rPr>
          <w:noProof/>
        </w:rPr>
        <w:fldChar w:fldCharType="end"/>
      </w:r>
      <w:r w:rsidRPr="009E154A">
        <w:rPr>
          <w:rFonts w:eastAsia="Times New Roman" w:cs="Arial"/>
        </w:rPr>
        <w:t> </w:t>
      </w:r>
      <w:r w:rsidRPr="009E154A">
        <w:rPr>
          <w:rFonts w:eastAsia="Times New Roman" w:cs="Arial"/>
        </w:rPr>
        <w:br/>
        <w:t> </w:t>
      </w:r>
      <w:r w:rsidRPr="009E154A">
        <w:rPr>
          <w:rFonts w:eastAsia="Times New Roman" w:cs="Arial"/>
        </w:rPr>
        <w:br/>
      </w:r>
      <w:r w:rsidRPr="009E154A">
        <w:rPr>
          <w:rFonts w:eastAsia="Times New Roman" w:cs="Calibri"/>
          <w:b/>
          <w:bCs/>
          <w:color w:val="3E5AA8"/>
        </w:rPr>
        <w:t>Change Representation</w:t>
      </w:r>
      <w:r w:rsidRPr="009E154A">
        <w:rPr>
          <w:rFonts w:eastAsia="Times New Roman" w:cs="Calibri"/>
        </w:rPr>
        <w:t>  </w:t>
      </w:r>
    </w:p>
    <w:p w14:paraId="32836AE7" w14:textId="77777777" w:rsidR="000D1CE3" w:rsidRPr="009E154A" w:rsidRDefault="000D1CE3" w:rsidP="000D1CE3">
      <w:pPr>
        <w:textAlignment w:val="baseline"/>
        <w:rPr>
          <w:rFonts w:eastAsia="Times New Roman" w:cs="Segoe UI"/>
        </w:rPr>
      </w:pPr>
      <w:r w:rsidRPr="009E154A">
        <w:rPr>
          <w:rFonts w:eastAsia="Times New Roman" w:cs="Calibri"/>
        </w:rPr>
        <w:t>(To be completed by User and returned for response) </w:t>
      </w:r>
    </w:p>
    <w:p w14:paraId="76A8DDCE" w14:textId="77777777" w:rsidR="000D1CE3" w:rsidRPr="009E154A" w:rsidRDefault="000D1CE3" w:rsidP="000D1CE3">
      <w:pPr>
        <w:textAlignment w:val="baseline"/>
        <w:rPr>
          <w:rFonts w:eastAsia="Times New Roman" w:cs="Segoe UI"/>
          <w:b/>
          <w:bCs/>
          <w:color w:val="3E5AA8"/>
        </w:rPr>
      </w:pPr>
      <w:r w:rsidRPr="009E154A">
        <w:rPr>
          <w:rFonts w:eastAsia="Times New Roman" w:cs="Calibri"/>
          <w:b/>
          <w:bCs/>
          <w:i/>
          <w:iCs/>
        </w:rPr>
        <w:t>Please consider any commercial impacts to your organisation that Xoserve need to be aware of when formulating your response</w:t>
      </w:r>
      <w:r w:rsidRPr="009E154A">
        <w:rPr>
          <w:rFonts w:eastAsia="Times New Roman" w:cs="Calibri"/>
          <w:b/>
          <w:bCs/>
        </w:rPr>
        <w:t> </w:t>
      </w:r>
    </w:p>
    <w:p w14:paraId="47522963" w14:textId="77777777" w:rsidR="000D1CE3" w:rsidRPr="009E154A" w:rsidRDefault="000D1CE3" w:rsidP="000D1CE3">
      <w:pPr>
        <w:textAlignment w:val="baseline"/>
        <w:rPr>
          <w:rFonts w:eastAsia="Times New Roman" w:cs="Segoe UI"/>
        </w:rPr>
      </w:pPr>
      <w:r w:rsidRPr="009E154A">
        <w:rPr>
          <w:rFonts w:eastAsia="Times New Roman" w:cs="Calibri"/>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9"/>
        <w:gridCol w:w="1878"/>
        <w:gridCol w:w="5422"/>
      </w:tblGrid>
      <w:tr w:rsidR="000D1CE3" w:rsidRPr="009E154A" w14:paraId="595E79B5" w14:textId="77777777" w:rsidTr="00BA783D">
        <w:trPr>
          <w:trHeight w:val="390"/>
        </w:trPr>
        <w:tc>
          <w:tcPr>
            <w:tcW w:w="2565" w:type="dxa"/>
            <w:vMerge w:val="restart"/>
            <w:tcBorders>
              <w:top w:val="single" w:sz="6" w:space="0" w:color="auto"/>
              <w:left w:val="single" w:sz="6" w:space="0" w:color="auto"/>
              <w:bottom w:val="single" w:sz="6" w:space="0" w:color="auto"/>
              <w:right w:val="single" w:sz="6" w:space="0" w:color="auto"/>
            </w:tcBorders>
            <w:shd w:val="clear" w:color="auto" w:fill="101019" w:themeFill="text2" w:themeFillShade="80"/>
            <w:vAlign w:val="center"/>
            <w:hideMark/>
          </w:tcPr>
          <w:p w14:paraId="360A970D" w14:textId="77777777" w:rsidR="000D1CE3" w:rsidRPr="009E154A" w:rsidRDefault="000D1CE3" w:rsidP="00BA783D">
            <w:pPr>
              <w:jc w:val="right"/>
              <w:textAlignment w:val="baseline"/>
              <w:rPr>
                <w:rFonts w:eastAsia="Times New Roman" w:cs="Times New Roman"/>
                <w:color w:val="F5F7FF" w:themeColor="background1"/>
              </w:rPr>
            </w:pPr>
            <w:r w:rsidRPr="009E154A">
              <w:rPr>
                <w:rFonts w:eastAsia="Times New Roman" w:cs="Calibri"/>
                <w:color w:val="F5F7FF" w:themeColor="background1"/>
              </w:rPr>
              <w:t>User Contact Details: </w:t>
            </w:r>
          </w:p>
        </w:tc>
        <w:tc>
          <w:tcPr>
            <w:tcW w:w="1920" w:type="dxa"/>
            <w:tcBorders>
              <w:top w:val="single" w:sz="6" w:space="0" w:color="auto"/>
              <w:left w:val="single" w:sz="6" w:space="0" w:color="auto"/>
              <w:bottom w:val="single" w:sz="6" w:space="0" w:color="auto"/>
              <w:right w:val="single" w:sz="6" w:space="0" w:color="auto"/>
            </w:tcBorders>
            <w:shd w:val="clear" w:color="auto" w:fill="101019" w:themeFill="text2" w:themeFillShade="80"/>
            <w:vAlign w:val="center"/>
            <w:hideMark/>
          </w:tcPr>
          <w:p w14:paraId="4F51B0A1" w14:textId="77777777" w:rsidR="000D1CE3" w:rsidRPr="009E154A" w:rsidRDefault="000D1CE3" w:rsidP="00BA783D">
            <w:pPr>
              <w:jc w:val="right"/>
              <w:textAlignment w:val="baseline"/>
              <w:rPr>
                <w:rFonts w:eastAsia="Times New Roman" w:cs="Times New Roman"/>
              </w:rPr>
            </w:pPr>
            <w:r w:rsidRPr="009E154A">
              <w:rPr>
                <w:rFonts w:eastAsia="Times New Roman" w:cs="Calibri"/>
              </w:rPr>
              <w:t>Organisation: </w:t>
            </w:r>
          </w:p>
        </w:tc>
        <w:tc>
          <w:tcPr>
            <w:tcW w:w="6000" w:type="dxa"/>
            <w:tcBorders>
              <w:top w:val="single" w:sz="6" w:space="0" w:color="auto"/>
              <w:left w:val="single" w:sz="6" w:space="0" w:color="auto"/>
              <w:bottom w:val="single" w:sz="6" w:space="0" w:color="auto"/>
              <w:right w:val="single" w:sz="6" w:space="0" w:color="auto"/>
            </w:tcBorders>
            <w:vAlign w:val="center"/>
            <w:hideMark/>
          </w:tcPr>
          <w:p w14:paraId="0BF1E157" w14:textId="77777777" w:rsidR="000D1CE3" w:rsidRPr="009E154A" w:rsidRDefault="000D1CE3" w:rsidP="00BA783D">
            <w:pPr>
              <w:textAlignment w:val="baseline"/>
              <w:rPr>
                <w:rFonts w:eastAsia="Times New Roman" w:cs="Times New Roman"/>
              </w:rPr>
            </w:pPr>
            <w:r w:rsidRPr="009E154A">
              <w:rPr>
                <w:rFonts w:cs="Arial"/>
              </w:rPr>
              <w:fldChar w:fldCharType="begin"/>
            </w:r>
            <w:r w:rsidRPr="009E154A">
              <w:rPr>
                <w:rFonts w:cs="Arial"/>
              </w:rPr>
              <w:instrText xml:space="preserve"> MERGEFIELD  h1_organisation  \* MERGEFORMAT </w:instrText>
            </w:r>
            <w:r w:rsidRPr="009E154A">
              <w:rPr>
                <w:rFonts w:cs="Arial"/>
              </w:rPr>
              <w:fldChar w:fldCharType="separate"/>
            </w:r>
            <w:r w:rsidRPr="009E154A">
              <w:rPr>
                <w:rFonts w:cs="Arial"/>
                <w:noProof/>
              </w:rPr>
              <w:t>«h1_organisation»</w:t>
            </w:r>
            <w:r w:rsidRPr="009E154A">
              <w:rPr>
                <w:rFonts w:cs="Arial"/>
              </w:rPr>
              <w:fldChar w:fldCharType="end"/>
            </w:r>
            <w:r w:rsidRPr="009E154A">
              <w:rPr>
                <w:rFonts w:eastAsia="Times New Roman" w:cs="Arial"/>
              </w:rPr>
              <w:t> </w:t>
            </w:r>
          </w:p>
        </w:tc>
      </w:tr>
      <w:tr w:rsidR="000D1CE3" w:rsidRPr="009E154A" w14:paraId="3D9037FF" w14:textId="77777777" w:rsidTr="00BA783D">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101019" w:themeFill="text2" w:themeFillShade="80"/>
            <w:vAlign w:val="center"/>
            <w:hideMark/>
          </w:tcPr>
          <w:p w14:paraId="186FE9F3" w14:textId="77777777" w:rsidR="000D1CE3" w:rsidRPr="009E154A" w:rsidRDefault="000D1CE3" w:rsidP="00BA783D">
            <w:pPr>
              <w:rPr>
                <w:rFonts w:eastAsia="Times New Roman" w:cs="Times New Roman"/>
                <w:color w:val="F5F7FF" w:themeColor="background1"/>
              </w:rPr>
            </w:pPr>
          </w:p>
        </w:tc>
        <w:tc>
          <w:tcPr>
            <w:tcW w:w="1920" w:type="dxa"/>
            <w:tcBorders>
              <w:top w:val="single" w:sz="6" w:space="0" w:color="auto"/>
              <w:left w:val="single" w:sz="6" w:space="0" w:color="auto"/>
              <w:bottom w:val="single" w:sz="6" w:space="0" w:color="auto"/>
              <w:right w:val="single" w:sz="6" w:space="0" w:color="auto"/>
            </w:tcBorders>
            <w:shd w:val="clear" w:color="auto" w:fill="101019" w:themeFill="text2" w:themeFillShade="80"/>
            <w:vAlign w:val="center"/>
            <w:hideMark/>
          </w:tcPr>
          <w:p w14:paraId="186ED6E9" w14:textId="77777777" w:rsidR="000D1CE3" w:rsidRPr="009E154A" w:rsidRDefault="000D1CE3" w:rsidP="00BA783D">
            <w:pPr>
              <w:jc w:val="right"/>
              <w:textAlignment w:val="baseline"/>
              <w:rPr>
                <w:rFonts w:eastAsia="Times New Roman" w:cs="Times New Roman"/>
              </w:rPr>
            </w:pPr>
            <w:r w:rsidRPr="009E154A">
              <w:rPr>
                <w:rFonts w:eastAsia="Times New Roman" w:cs="Calibri"/>
              </w:rPr>
              <w:t>Name: </w:t>
            </w:r>
          </w:p>
        </w:tc>
        <w:tc>
          <w:tcPr>
            <w:tcW w:w="6000" w:type="dxa"/>
            <w:tcBorders>
              <w:top w:val="single" w:sz="6" w:space="0" w:color="auto"/>
              <w:left w:val="single" w:sz="6" w:space="0" w:color="auto"/>
              <w:bottom w:val="single" w:sz="6" w:space="0" w:color="auto"/>
              <w:right w:val="single" w:sz="6" w:space="0" w:color="auto"/>
            </w:tcBorders>
            <w:vAlign w:val="center"/>
            <w:hideMark/>
          </w:tcPr>
          <w:p w14:paraId="6F3774FE" w14:textId="77777777" w:rsidR="000D1CE3" w:rsidRPr="009E154A" w:rsidRDefault="000D1CE3" w:rsidP="00BA783D">
            <w:pPr>
              <w:textAlignment w:val="baseline"/>
              <w:rPr>
                <w:rFonts w:eastAsia="Times New Roman" w:cs="Times New Roman"/>
              </w:rPr>
            </w:pPr>
            <w:r w:rsidRPr="009E154A">
              <w:rPr>
                <w:rFonts w:cs="Arial"/>
              </w:rPr>
              <w:fldChar w:fldCharType="begin"/>
            </w:r>
            <w:r w:rsidRPr="009E154A">
              <w:rPr>
                <w:rFonts w:cs="Arial"/>
              </w:rPr>
              <w:instrText xml:space="preserve"> MERGEFIELD  h1_name  \* MERGEFORMAT </w:instrText>
            </w:r>
            <w:r w:rsidRPr="009E154A">
              <w:rPr>
                <w:rFonts w:cs="Arial"/>
              </w:rPr>
              <w:fldChar w:fldCharType="separate"/>
            </w:r>
            <w:r w:rsidRPr="009E154A">
              <w:rPr>
                <w:rFonts w:cs="Arial"/>
                <w:noProof/>
              </w:rPr>
              <w:t>«h1_name»</w:t>
            </w:r>
            <w:r w:rsidRPr="009E154A">
              <w:rPr>
                <w:rFonts w:cs="Arial"/>
              </w:rPr>
              <w:fldChar w:fldCharType="end"/>
            </w:r>
            <w:r w:rsidRPr="009E154A">
              <w:rPr>
                <w:rFonts w:eastAsia="Times New Roman" w:cs="Arial"/>
              </w:rPr>
              <w:t> </w:t>
            </w:r>
          </w:p>
        </w:tc>
      </w:tr>
      <w:tr w:rsidR="000D1CE3" w:rsidRPr="009E154A" w14:paraId="628C671F" w14:textId="77777777" w:rsidTr="00BA783D">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101019" w:themeFill="text2" w:themeFillShade="80"/>
            <w:vAlign w:val="center"/>
            <w:hideMark/>
          </w:tcPr>
          <w:p w14:paraId="60C11810" w14:textId="77777777" w:rsidR="000D1CE3" w:rsidRPr="009E154A" w:rsidRDefault="000D1CE3" w:rsidP="00BA783D">
            <w:pPr>
              <w:rPr>
                <w:rFonts w:eastAsia="Times New Roman" w:cs="Times New Roman"/>
                <w:color w:val="F5F7FF" w:themeColor="background1"/>
              </w:rPr>
            </w:pPr>
          </w:p>
        </w:tc>
        <w:tc>
          <w:tcPr>
            <w:tcW w:w="1920" w:type="dxa"/>
            <w:tcBorders>
              <w:top w:val="single" w:sz="6" w:space="0" w:color="auto"/>
              <w:left w:val="single" w:sz="6" w:space="0" w:color="auto"/>
              <w:bottom w:val="single" w:sz="6" w:space="0" w:color="auto"/>
              <w:right w:val="single" w:sz="6" w:space="0" w:color="auto"/>
            </w:tcBorders>
            <w:shd w:val="clear" w:color="auto" w:fill="101019" w:themeFill="text2" w:themeFillShade="80"/>
            <w:vAlign w:val="center"/>
            <w:hideMark/>
          </w:tcPr>
          <w:p w14:paraId="6AC50343" w14:textId="77777777" w:rsidR="000D1CE3" w:rsidRPr="009E154A" w:rsidRDefault="000D1CE3" w:rsidP="00BA783D">
            <w:pPr>
              <w:jc w:val="right"/>
              <w:textAlignment w:val="baseline"/>
              <w:rPr>
                <w:rFonts w:eastAsia="Times New Roman" w:cs="Times New Roman"/>
              </w:rPr>
            </w:pPr>
            <w:r w:rsidRPr="009E154A">
              <w:rPr>
                <w:rFonts w:eastAsia="Times New Roman" w:cs="Calibri"/>
              </w:rPr>
              <w:t>Email: </w:t>
            </w:r>
          </w:p>
        </w:tc>
        <w:tc>
          <w:tcPr>
            <w:tcW w:w="6000" w:type="dxa"/>
            <w:tcBorders>
              <w:top w:val="single" w:sz="6" w:space="0" w:color="auto"/>
              <w:left w:val="single" w:sz="6" w:space="0" w:color="auto"/>
              <w:bottom w:val="single" w:sz="6" w:space="0" w:color="auto"/>
              <w:right w:val="single" w:sz="6" w:space="0" w:color="auto"/>
            </w:tcBorders>
            <w:vAlign w:val="center"/>
            <w:hideMark/>
          </w:tcPr>
          <w:p w14:paraId="231B1F4C" w14:textId="77777777" w:rsidR="000D1CE3" w:rsidRPr="009E154A" w:rsidRDefault="000D1CE3" w:rsidP="00BA783D">
            <w:pPr>
              <w:textAlignment w:val="baseline"/>
              <w:rPr>
                <w:rFonts w:eastAsia="Times New Roman" w:cs="Times New Roman"/>
              </w:rPr>
            </w:pPr>
            <w:r w:rsidRPr="009E154A">
              <w:rPr>
                <w:rFonts w:cs="Arial"/>
              </w:rPr>
              <w:fldChar w:fldCharType="begin"/>
            </w:r>
            <w:r w:rsidRPr="009E154A">
              <w:rPr>
                <w:rFonts w:cs="Arial"/>
              </w:rPr>
              <w:instrText xml:space="preserve"> MERGEFIELD  h1_email  \* MERGEFORMAT </w:instrText>
            </w:r>
            <w:r w:rsidRPr="009E154A">
              <w:rPr>
                <w:rFonts w:cs="Arial"/>
              </w:rPr>
              <w:fldChar w:fldCharType="separate"/>
            </w:r>
            <w:r w:rsidRPr="009E154A">
              <w:rPr>
                <w:rFonts w:cs="Arial"/>
                <w:noProof/>
              </w:rPr>
              <w:t>«h1_email»</w:t>
            </w:r>
            <w:r w:rsidRPr="009E154A">
              <w:rPr>
                <w:rFonts w:cs="Arial"/>
              </w:rPr>
              <w:fldChar w:fldCharType="end"/>
            </w:r>
            <w:r w:rsidRPr="009E154A">
              <w:rPr>
                <w:rFonts w:eastAsia="Times New Roman" w:cs="Arial"/>
              </w:rPr>
              <w:t> </w:t>
            </w:r>
          </w:p>
        </w:tc>
      </w:tr>
      <w:tr w:rsidR="000D1CE3" w:rsidRPr="009E154A" w14:paraId="6C3B1703" w14:textId="77777777" w:rsidTr="00BA783D">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101019" w:themeFill="text2" w:themeFillShade="80"/>
            <w:vAlign w:val="center"/>
            <w:hideMark/>
          </w:tcPr>
          <w:p w14:paraId="3F5CF929" w14:textId="77777777" w:rsidR="000D1CE3" w:rsidRPr="009E154A" w:rsidRDefault="000D1CE3" w:rsidP="00BA783D">
            <w:pPr>
              <w:rPr>
                <w:rFonts w:eastAsia="Times New Roman" w:cs="Times New Roman"/>
                <w:color w:val="F5F7FF" w:themeColor="background1"/>
              </w:rPr>
            </w:pPr>
          </w:p>
        </w:tc>
        <w:tc>
          <w:tcPr>
            <w:tcW w:w="1920" w:type="dxa"/>
            <w:tcBorders>
              <w:top w:val="single" w:sz="6" w:space="0" w:color="auto"/>
              <w:left w:val="single" w:sz="6" w:space="0" w:color="auto"/>
              <w:bottom w:val="single" w:sz="6" w:space="0" w:color="auto"/>
              <w:right w:val="single" w:sz="6" w:space="0" w:color="auto"/>
            </w:tcBorders>
            <w:shd w:val="clear" w:color="auto" w:fill="101019" w:themeFill="text2" w:themeFillShade="80"/>
            <w:vAlign w:val="center"/>
            <w:hideMark/>
          </w:tcPr>
          <w:p w14:paraId="6CCF7F1F" w14:textId="77777777" w:rsidR="000D1CE3" w:rsidRPr="009E154A" w:rsidRDefault="000D1CE3" w:rsidP="00BA783D">
            <w:pPr>
              <w:jc w:val="right"/>
              <w:textAlignment w:val="baseline"/>
              <w:rPr>
                <w:rFonts w:eastAsia="Times New Roman" w:cs="Times New Roman"/>
              </w:rPr>
            </w:pPr>
            <w:r w:rsidRPr="009E154A">
              <w:rPr>
                <w:rFonts w:eastAsia="Times New Roman" w:cs="Calibri"/>
              </w:rPr>
              <w:t>Telephone: </w:t>
            </w:r>
          </w:p>
        </w:tc>
        <w:tc>
          <w:tcPr>
            <w:tcW w:w="6000" w:type="dxa"/>
            <w:tcBorders>
              <w:top w:val="single" w:sz="6" w:space="0" w:color="auto"/>
              <w:left w:val="single" w:sz="6" w:space="0" w:color="auto"/>
              <w:bottom w:val="single" w:sz="6" w:space="0" w:color="auto"/>
              <w:right w:val="single" w:sz="6" w:space="0" w:color="auto"/>
            </w:tcBorders>
            <w:vAlign w:val="center"/>
            <w:hideMark/>
          </w:tcPr>
          <w:p w14:paraId="6F4CB14F" w14:textId="77777777" w:rsidR="000D1CE3" w:rsidRPr="009E154A" w:rsidRDefault="000D1CE3" w:rsidP="00BA783D">
            <w:pPr>
              <w:textAlignment w:val="baseline"/>
              <w:rPr>
                <w:rFonts w:eastAsia="Times New Roman" w:cs="Times New Roman"/>
              </w:rPr>
            </w:pPr>
            <w:r w:rsidRPr="009E154A">
              <w:rPr>
                <w:rFonts w:cs="Arial"/>
              </w:rPr>
              <w:fldChar w:fldCharType="begin"/>
            </w:r>
            <w:r w:rsidRPr="009E154A">
              <w:rPr>
                <w:rFonts w:cs="Arial"/>
              </w:rPr>
              <w:instrText xml:space="preserve"> MERGEFIELD  h1_telephone  \* MERGEFORMAT </w:instrText>
            </w:r>
            <w:r w:rsidRPr="009E154A">
              <w:rPr>
                <w:rFonts w:cs="Arial"/>
              </w:rPr>
              <w:fldChar w:fldCharType="separate"/>
            </w:r>
            <w:r w:rsidRPr="009E154A">
              <w:rPr>
                <w:rFonts w:cs="Arial"/>
                <w:noProof/>
              </w:rPr>
              <w:t>«h1_telephone»</w:t>
            </w:r>
            <w:r w:rsidRPr="009E154A">
              <w:rPr>
                <w:rFonts w:cs="Arial"/>
              </w:rPr>
              <w:fldChar w:fldCharType="end"/>
            </w:r>
            <w:r w:rsidRPr="009E154A">
              <w:rPr>
                <w:rFonts w:eastAsia="Times New Roman" w:cs="Arial"/>
              </w:rPr>
              <w:t> </w:t>
            </w:r>
          </w:p>
        </w:tc>
      </w:tr>
      <w:tr w:rsidR="000D1CE3" w:rsidRPr="009E154A" w14:paraId="49C9CDFF" w14:textId="77777777" w:rsidTr="00BA783D">
        <w:trPr>
          <w:trHeight w:val="390"/>
        </w:trPr>
        <w:tc>
          <w:tcPr>
            <w:tcW w:w="2565" w:type="dxa"/>
            <w:tcBorders>
              <w:top w:val="single" w:sz="6" w:space="0" w:color="auto"/>
              <w:left w:val="single" w:sz="6" w:space="0" w:color="auto"/>
              <w:bottom w:val="single" w:sz="6" w:space="0" w:color="auto"/>
              <w:right w:val="single" w:sz="6" w:space="0" w:color="auto"/>
            </w:tcBorders>
            <w:shd w:val="clear" w:color="auto" w:fill="101019" w:themeFill="text2" w:themeFillShade="80"/>
            <w:vAlign w:val="center"/>
            <w:hideMark/>
          </w:tcPr>
          <w:p w14:paraId="31EEBCE9" w14:textId="77777777" w:rsidR="000D1CE3" w:rsidRPr="009E154A" w:rsidRDefault="000D1CE3" w:rsidP="00BA783D">
            <w:pPr>
              <w:jc w:val="right"/>
              <w:textAlignment w:val="baseline"/>
              <w:rPr>
                <w:rFonts w:eastAsia="Times New Roman" w:cs="Times New Roman"/>
                <w:color w:val="F5F7FF" w:themeColor="background1"/>
              </w:rPr>
            </w:pPr>
            <w:r w:rsidRPr="009E154A">
              <w:rPr>
                <w:rFonts w:eastAsia="Times New Roman" w:cs="Calibri"/>
                <w:color w:val="F5F7FF" w:themeColor="background1"/>
              </w:rPr>
              <w:t>Customer decision on Change Pack: </w:t>
            </w:r>
          </w:p>
        </w:tc>
        <w:tc>
          <w:tcPr>
            <w:tcW w:w="7920" w:type="dxa"/>
            <w:gridSpan w:val="2"/>
            <w:tcBorders>
              <w:top w:val="single" w:sz="6" w:space="0" w:color="auto"/>
              <w:left w:val="single" w:sz="6" w:space="0" w:color="auto"/>
              <w:bottom w:val="single" w:sz="6" w:space="0" w:color="auto"/>
              <w:right w:val="single" w:sz="6" w:space="0" w:color="auto"/>
            </w:tcBorders>
            <w:vAlign w:val="center"/>
            <w:hideMark/>
          </w:tcPr>
          <w:p w14:paraId="2ED202FF" w14:textId="77777777" w:rsidR="000D1CE3" w:rsidRPr="009E154A" w:rsidRDefault="000D1CE3" w:rsidP="00BA783D">
            <w:pPr>
              <w:textAlignment w:val="baseline"/>
              <w:rPr>
                <w:rFonts w:eastAsia="Times New Roman" w:cs="Times New Roman"/>
              </w:rPr>
            </w:pPr>
            <w:r w:rsidRPr="009E154A">
              <w:rPr>
                <w:rFonts w:cs="Arial"/>
              </w:rPr>
              <w:fldChar w:fldCharType="begin"/>
            </w:r>
            <w:r w:rsidRPr="009E154A">
              <w:rPr>
                <w:rFonts w:cs="Arial"/>
              </w:rPr>
              <w:instrText xml:space="preserve"> MERGEFIELD  h1_userDataStatus  \* MERGEFORMAT </w:instrText>
            </w:r>
            <w:r w:rsidRPr="009E154A">
              <w:rPr>
                <w:rFonts w:cs="Arial"/>
              </w:rPr>
              <w:fldChar w:fldCharType="separate"/>
            </w:r>
            <w:r w:rsidRPr="009E154A">
              <w:rPr>
                <w:rFonts w:cs="Arial"/>
                <w:noProof/>
              </w:rPr>
              <w:t>«h1_userDataStatus»</w:t>
            </w:r>
            <w:r w:rsidRPr="009E154A">
              <w:rPr>
                <w:rFonts w:cs="Arial"/>
              </w:rPr>
              <w:fldChar w:fldCharType="end"/>
            </w:r>
            <w:r w:rsidRPr="009E154A">
              <w:rPr>
                <w:rFonts w:eastAsia="Times New Roman" w:cs="Arial"/>
              </w:rPr>
              <w:t> </w:t>
            </w:r>
          </w:p>
        </w:tc>
      </w:tr>
      <w:tr w:rsidR="000D1CE3" w:rsidRPr="009E154A" w14:paraId="22DE3984" w14:textId="77777777" w:rsidTr="00BA783D">
        <w:trPr>
          <w:trHeight w:val="390"/>
        </w:trPr>
        <w:tc>
          <w:tcPr>
            <w:tcW w:w="2565" w:type="dxa"/>
            <w:tcBorders>
              <w:top w:val="single" w:sz="6" w:space="0" w:color="auto"/>
              <w:left w:val="single" w:sz="6" w:space="0" w:color="auto"/>
              <w:bottom w:val="single" w:sz="6" w:space="0" w:color="auto"/>
              <w:right w:val="single" w:sz="6" w:space="0" w:color="auto"/>
            </w:tcBorders>
            <w:shd w:val="clear" w:color="auto" w:fill="101019" w:themeFill="text2" w:themeFillShade="80"/>
            <w:vAlign w:val="center"/>
            <w:hideMark/>
          </w:tcPr>
          <w:p w14:paraId="5DF095EA" w14:textId="77777777" w:rsidR="000D1CE3" w:rsidRPr="009E154A" w:rsidRDefault="000D1CE3" w:rsidP="00BA783D">
            <w:pPr>
              <w:jc w:val="right"/>
              <w:textAlignment w:val="baseline"/>
              <w:rPr>
                <w:rFonts w:eastAsia="Times New Roman" w:cs="Times New Roman"/>
                <w:color w:val="F5F7FF" w:themeColor="background1"/>
              </w:rPr>
            </w:pPr>
            <w:r w:rsidRPr="009E154A">
              <w:rPr>
                <w:rFonts w:eastAsia="Times New Roman" w:cs="Calibri"/>
                <w:color w:val="F5F7FF" w:themeColor="background1"/>
              </w:rPr>
              <w:t>Commercial impacts: </w:t>
            </w:r>
          </w:p>
        </w:tc>
        <w:tc>
          <w:tcPr>
            <w:tcW w:w="7920" w:type="dxa"/>
            <w:gridSpan w:val="2"/>
            <w:tcBorders>
              <w:top w:val="single" w:sz="6" w:space="0" w:color="auto"/>
              <w:left w:val="single" w:sz="6" w:space="0" w:color="auto"/>
              <w:bottom w:val="single" w:sz="6" w:space="0" w:color="auto"/>
              <w:right w:val="single" w:sz="6" w:space="0" w:color="auto"/>
            </w:tcBorders>
            <w:vAlign w:val="center"/>
            <w:hideMark/>
          </w:tcPr>
          <w:p w14:paraId="71B40985" w14:textId="77777777" w:rsidR="000D1CE3" w:rsidRPr="009E154A" w:rsidRDefault="000D1CE3" w:rsidP="00BA783D">
            <w:pPr>
              <w:textAlignment w:val="baseline"/>
              <w:rPr>
                <w:rFonts w:eastAsia="Times New Roman" w:cs="Times New Roman"/>
              </w:rPr>
            </w:pPr>
            <w:r w:rsidRPr="009E154A">
              <w:rPr>
                <w:rFonts w:cs="Arial"/>
              </w:rPr>
              <w:fldChar w:fldCharType="begin"/>
            </w:r>
            <w:r w:rsidRPr="009E154A">
              <w:rPr>
                <w:rFonts w:cs="Arial"/>
              </w:rPr>
              <w:instrText xml:space="preserve"> MERGEFIELD  h1_commercial_impacts  \* MERGEFORMAT </w:instrText>
            </w:r>
            <w:r w:rsidRPr="009E154A">
              <w:rPr>
                <w:rFonts w:cs="Arial"/>
              </w:rPr>
              <w:fldChar w:fldCharType="separate"/>
            </w:r>
            <w:r w:rsidRPr="009E154A">
              <w:rPr>
                <w:rFonts w:cs="Arial"/>
                <w:noProof/>
              </w:rPr>
              <w:t>«h1_commercial_impacts»</w:t>
            </w:r>
            <w:r w:rsidRPr="009E154A">
              <w:rPr>
                <w:rFonts w:cs="Arial"/>
              </w:rPr>
              <w:fldChar w:fldCharType="end"/>
            </w:r>
          </w:p>
        </w:tc>
      </w:tr>
      <w:tr w:rsidR="000D1CE3" w:rsidRPr="009E154A" w14:paraId="45829F4F" w14:textId="77777777" w:rsidTr="00BA783D">
        <w:trPr>
          <w:trHeight w:val="390"/>
        </w:trPr>
        <w:tc>
          <w:tcPr>
            <w:tcW w:w="2565" w:type="dxa"/>
            <w:tcBorders>
              <w:top w:val="single" w:sz="6" w:space="0" w:color="auto"/>
              <w:left w:val="single" w:sz="6" w:space="0" w:color="auto"/>
              <w:bottom w:val="single" w:sz="6" w:space="0" w:color="auto"/>
              <w:right w:val="single" w:sz="6" w:space="0" w:color="auto"/>
            </w:tcBorders>
            <w:shd w:val="clear" w:color="auto" w:fill="101019" w:themeFill="text2" w:themeFillShade="80"/>
            <w:vAlign w:val="center"/>
            <w:hideMark/>
          </w:tcPr>
          <w:p w14:paraId="42513CB8" w14:textId="77777777" w:rsidR="000D1CE3" w:rsidRPr="009E154A" w:rsidRDefault="000D1CE3" w:rsidP="00BA783D">
            <w:pPr>
              <w:jc w:val="right"/>
              <w:textAlignment w:val="baseline"/>
              <w:rPr>
                <w:rFonts w:eastAsia="Times New Roman" w:cs="Times New Roman"/>
                <w:color w:val="F5F7FF" w:themeColor="background1"/>
              </w:rPr>
            </w:pPr>
            <w:r w:rsidRPr="009E154A">
              <w:rPr>
                <w:rFonts w:eastAsia="Times New Roman" w:cs="Calibri"/>
                <w:color w:val="F5F7FF" w:themeColor="background1"/>
              </w:rPr>
              <w:t>Representation Publication: </w:t>
            </w:r>
          </w:p>
        </w:tc>
        <w:tc>
          <w:tcPr>
            <w:tcW w:w="7920" w:type="dxa"/>
            <w:gridSpan w:val="2"/>
            <w:tcBorders>
              <w:top w:val="single" w:sz="6" w:space="0" w:color="auto"/>
              <w:left w:val="single" w:sz="6" w:space="0" w:color="auto"/>
              <w:bottom w:val="single" w:sz="6" w:space="0" w:color="auto"/>
              <w:right w:val="single" w:sz="6" w:space="0" w:color="auto"/>
            </w:tcBorders>
            <w:vAlign w:val="center"/>
            <w:hideMark/>
          </w:tcPr>
          <w:p w14:paraId="4193286C" w14:textId="77777777" w:rsidR="000D1CE3" w:rsidRPr="009E154A" w:rsidRDefault="000D1CE3" w:rsidP="00BA783D">
            <w:pPr>
              <w:textAlignment w:val="baseline"/>
              <w:rPr>
                <w:rFonts w:eastAsia="Times New Roman" w:cs="Times New Roman"/>
              </w:rPr>
            </w:pPr>
            <w:r w:rsidRPr="009E154A">
              <w:rPr>
                <w:rFonts w:cs="Arial"/>
              </w:rPr>
              <w:fldChar w:fldCharType="begin"/>
            </w:r>
            <w:r w:rsidRPr="009E154A">
              <w:rPr>
                <w:rFonts w:cs="Arial"/>
              </w:rPr>
              <w:instrText xml:space="preserve"> MERGEFIELD  h1_consultation  \* MERGEFORMAT </w:instrText>
            </w:r>
            <w:r w:rsidRPr="009E154A">
              <w:rPr>
                <w:rFonts w:cs="Arial"/>
              </w:rPr>
              <w:fldChar w:fldCharType="separate"/>
            </w:r>
            <w:r w:rsidRPr="009E154A">
              <w:rPr>
                <w:rFonts w:cs="Arial"/>
                <w:noProof/>
              </w:rPr>
              <w:t>«h1_consultation»</w:t>
            </w:r>
            <w:r w:rsidRPr="009E154A">
              <w:rPr>
                <w:rFonts w:cs="Arial"/>
              </w:rPr>
              <w:fldChar w:fldCharType="end"/>
            </w:r>
            <w:r w:rsidRPr="009E154A">
              <w:rPr>
                <w:rFonts w:eastAsia="Times New Roman" w:cs="Arial"/>
              </w:rPr>
              <w:t> </w:t>
            </w:r>
          </w:p>
        </w:tc>
      </w:tr>
      <w:tr w:rsidR="000D1CE3" w:rsidRPr="009E154A" w14:paraId="1C5D6F80" w14:textId="77777777" w:rsidTr="00BA783D">
        <w:trPr>
          <w:trHeight w:val="390"/>
        </w:trPr>
        <w:tc>
          <w:tcPr>
            <w:tcW w:w="2565" w:type="dxa"/>
            <w:tcBorders>
              <w:top w:val="single" w:sz="6" w:space="0" w:color="auto"/>
              <w:left w:val="single" w:sz="6" w:space="0" w:color="auto"/>
              <w:bottom w:val="single" w:sz="6" w:space="0" w:color="auto"/>
              <w:right w:val="single" w:sz="6" w:space="0" w:color="auto"/>
            </w:tcBorders>
            <w:shd w:val="clear" w:color="auto" w:fill="101019" w:themeFill="text2" w:themeFillShade="80"/>
            <w:vAlign w:val="center"/>
            <w:hideMark/>
          </w:tcPr>
          <w:p w14:paraId="3F267F01" w14:textId="77777777" w:rsidR="000D1CE3" w:rsidRPr="009E154A" w:rsidRDefault="000D1CE3" w:rsidP="00BA783D">
            <w:pPr>
              <w:jc w:val="right"/>
              <w:textAlignment w:val="baseline"/>
              <w:rPr>
                <w:rFonts w:eastAsia="Times New Roman" w:cs="Times New Roman"/>
                <w:color w:val="F5F7FF" w:themeColor="background1"/>
              </w:rPr>
            </w:pPr>
            <w:r w:rsidRPr="009E154A">
              <w:rPr>
                <w:rFonts w:eastAsia="Times New Roman" w:cs="Calibri"/>
                <w:color w:val="F5F7FF" w:themeColor="background1"/>
              </w:rPr>
              <w:t>Representation Comments: </w:t>
            </w:r>
          </w:p>
        </w:tc>
        <w:tc>
          <w:tcPr>
            <w:tcW w:w="7920" w:type="dxa"/>
            <w:gridSpan w:val="2"/>
            <w:tcBorders>
              <w:top w:val="single" w:sz="6" w:space="0" w:color="auto"/>
              <w:left w:val="single" w:sz="6" w:space="0" w:color="auto"/>
              <w:bottom w:val="single" w:sz="6" w:space="0" w:color="auto"/>
              <w:right w:val="single" w:sz="6" w:space="0" w:color="auto"/>
            </w:tcBorders>
            <w:vAlign w:val="center"/>
            <w:hideMark/>
          </w:tcPr>
          <w:p w14:paraId="42E31305" w14:textId="77777777" w:rsidR="000D1CE3" w:rsidRPr="009E154A" w:rsidRDefault="000D1CE3" w:rsidP="00BA783D">
            <w:pPr>
              <w:textAlignment w:val="baseline"/>
              <w:rPr>
                <w:rFonts w:eastAsia="Times New Roman" w:cs="Times New Roman"/>
              </w:rPr>
            </w:pPr>
            <w:r w:rsidRPr="009E154A">
              <w:rPr>
                <w:rFonts w:cs="Arial"/>
              </w:rPr>
              <w:fldChar w:fldCharType="begin"/>
            </w:r>
            <w:r w:rsidRPr="009E154A">
              <w:rPr>
                <w:rFonts w:cs="Arial"/>
              </w:rPr>
              <w:instrText xml:space="preserve"> MERGEFIELD  h1_userDataComments  \* MERGEFORMAT </w:instrText>
            </w:r>
            <w:r w:rsidRPr="009E154A">
              <w:rPr>
                <w:rFonts w:cs="Arial"/>
              </w:rPr>
              <w:fldChar w:fldCharType="separate"/>
            </w:r>
            <w:r w:rsidRPr="009E154A">
              <w:rPr>
                <w:rFonts w:cs="Arial"/>
                <w:noProof/>
              </w:rPr>
              <w:t>«h1_userDataComments»</w:t>
            </w:r>
            <w:r w:rsidRPr="009E154A">
              <w:rPr>
                <w:rFonts w:cs="Arial"/>
              </w:rPr>
              <w:fldChar w:fldCharType="end"/>
            </w:r>
            <w:r w:rsidRPr="009E154A">
              <w:rPr>
                <w:rFonts w:eastAsia="Times New Roman" w:cs="Arial"/>
              </w:rPr>
              <w:t> </w:t>
            </w:r>
          </w:p>
        </w:tc>
      </w:tr>
    </w:tbl>
    <w:p w14:paraId="478B3C52" w14:textId="77777777" w:rsidR="000D1CE3" w:rsidRPr="009E154A" w:rsidRDefault="000D1CE3" w:rsidP="000D1CE3">
      <w:pPr>
        <w:textAlignment w:val="baseline"/>
        <w:rPr>
          <w:rFonts w:eastAsia="Times New Roman" w:cs="Segoe UI"/>
        </w:rPr>
      </w:pPr>
      <w:r w:rsidRPr="009E154A">
        <w:rPr>
          <w:rFonts w:eastAsia="Times New Roman" w:cs="Arial"/>
        </w:rPr>
        <w:t> </w:t>
      </w:r>
    </w:p>
    <w:p w14:paraId="4395DFD1" w14:textId="77777777" w:rsidR="000D1CE3" w:rsidRPr="009E154A" w:rsidRDefault="000D1CE3" w:rsidP="000D1CE3">
      <w:pPr>
        <w:textAlignment w:val="baseline"/>
        <w:rPr>
          <w:rFonts w:eastAsia="Times New Roman" w:cs="Segoe UI"/>
          <w:b/>
          <w:bCs/>
          <w:color w:val="3E5AA8"/>
        </w:rPr>
      </w:pPr>
      <w:r w:rsidRPr="009E154A">
        <w:rPr>
          <w:rFonts w:eastAsia="Times New Roman" w:cs="Calibri"/>
          <w:b/>
          <w:bCs/>
          <w:color w:val="3E5AA8"/>
        </w:rPr>
        <w:t>Xoserve’ s Response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0"/>
        <w:gridCol w:w="7299"/>
      </w:tblGrid>
      <w:tr w:rsidR="000D1CE3" w:rsidRPr="009E154A" w14:paraId="211D96F7" w14:textId="77777777" w:rsidTr="00BA783D">
        <w:trPr>
          <w:trHeight w:val="660"/>
        </w:trPr>
        <w:tc>
          <w:tcPr>
            <w:tcW w:w="2565" w:type="dxa"/>
            <w:tcBorders>
              <w:top w:val="single" w:sz="6" w:space="0" w:color="auto"/>
              <w:left w:val="single" w:sz="6" w:space="0" w:color="auto"/>
              <w:bottom w:val="single" w:sz="6" w:space="0" w:color="auto"/>
              <w:right w:val="single" w:sz="6" w:space="0" w:color="auto"/>
            </w:tcBorders>
            <w:shd w:val="clear" w:color="auto" w:fill="101019" w:themeFill="text2" w:themeFillShade="80"/>
            <w:vAlign w:val="center"/>
            <w:hideMark/>
          </w:tcPr>
          <w:p w14:paraId="67B84072" w14:textId="77777777" w:rsidR="000D1CE3" w:rsidRPr="009E154A" w:rsidRDefault="000D1CE3" w:rsidP="00BA783D">
            <w:pPr>
              <w:jc w:val="right"/>
              <w:textAlignment w:val="baseline"/>
              <w:rPr>
                <w:rFonts w:eastAsia="Times New Roman" w:cs="Times New Roman"/>
              </w:rPr>
            </w:pPr>
            <w:r w:rsidRPr="009E154A">
              <w:rPr>
                <w:rFonts w:eastAsia="Times New Roman" w:cs="Calibri"/>
              </w:rPr>
              <w:t>Xoserve Response to Organisations Comments: </w:t>
            </w:r>
          </w:p>
        </w:tc>
        <w:tc>
          <w:tcPr>
            <w:tcW w:w="7920" w:type="dxa"/>
            <w:tcBorders>
              <w:top w:val="single" w:sz="6" w:space="0" w:color="auto"/>
              <w:left w:val="single" w:sz="6" w:space="0" w:color="auto"/>
              <w:bottom w:val="single" w:sz="6" w:space="0" w:color="auto"/>
              <w:right w:val="single" w:sz="6" w:space="0" w:color="auto"/>
            </w:tcBorders>
            <w:vAlign w:val="center"/>
            <w:hideMark/>
          </w:tcPr>
          <w:p w14:paraId="228D485B" w14:textId="77777777" w:rsidR="000D1CE3" w:rsidRPr="009E154A" w:rsidRDefault="000D1CE3" w:rsidP="00BA783D">
            <w:pPr>
              <w:textAlignment w:val="baseline"/>
              <w:rPr>
                <w:rFonts w:eastAsia="Times New Roman" w:cs="Times New Roman"/>
              </w:rPr>
            </w:pPr>
            <w:r w:rsidRPr="009E154A">
              <w:rPr>
                <w:rFonts w:cs="Arial"/>
              </w:rPr>
              <w:fldChar w:fldCharType="begin"/>
            </w:r>
            <w:r w:rsidRPr="009E154A">
              <w:rPr>
                <w:rFonts w:cs="Arial"/>
              </w:rPr>
              <w:instrText xml:space="preserve"> MERGEFIELD  h1_xoserveResponse  \* MERGEFORMAT </w:instrText>
            </w:r>
            <w:r w:rsidRPr="009E154A">
              <w:rPr>
                <w:rFonts w:cs="Arial"/>
              </w:rPr>
              <w:fldChar w:fldCharType="separate"/>
            </w:r>
            <w:r w:rsidRPr="009E154A">
              <w:rPr>
                <w:rFonts w:cs="Arial"/>
                <w:noProof/>
              </w:rPr>
              <w:t>«h1_xoserveResponse»</w:t>
            </w:r>
            <w:r w:rsidRPr="009E154A">
              <w:rPr>
                <w:rFonts w:cs="Arial"/>
              </w:rPr>
              <w:fldChar w:fldCharType="end"/>
            </w:r>
            <w:r w:rsidRPr="009E154A">
              <w:rPr>
                <w:rFonts w:eastAsia="Times New Roman" w:cs="Arial"/>
              </w:rPr>
              <w:t> </w:t>
            </w:r>
          </w:p>
        </w:tc>
      </w:tr>
    </w:tbl>
    <w:p w14:paraId="07353549" w14:textId="77777777" w:rsidR="000D1CE3" w:rsidRPr="009E154A" w:rsidRDefault="000D1CE3" w:rsidP="000D1CE3">
      <w:pPr>
        <w:textAlignment w:val="baseline"/>
        <w:rPr>
          <w:rFonts w:eastAsia="Times New Roman" w:cs="Segoe UI"/>
        </w:rPr>
      </w:pPr>
      <w:r w:rsidRPr="009E154A">
        <w:rPr>
          <w:rFonts w:eastAsia="Times New Roman" w:cs="Arial"/>
        </w:rPr>
        <w:t> </w:t>
      </w:r>
    </w:p>
    <w:p w14:paraId="1F49E3CC" w14:textId="77777777" w:rsidR="000D1CE3" w:rsidRPr="009E154A" w:rsidRDefault="000D1CE3" w:rsidP="000D1CE3">
      <w:pPr>
        <w:textAlignment w:val="baseline"/>
        <w:rPr>
          <w:rFonts w:eastAsia="Times New Roman" w:cs="Segoe UI"/>
        </w:rPr>
      </w:pPr>
      <w:r w:rsidRPr="009E154A">
        <w:rPr>
          <w:rFonts w:eastAsia="Times New Roman" w:cs="Calibri"/>
        </w:rPr>
        <w:t xml:space="preserve">Please send the completed representation response to </w:t>
      </w:r>
      <w:hyperlink r:id="rId23" w:tgtFrame="_blank" w:history="1">
        <w:r w:rsidRPr="009E154A">
          <w:rPr>
            <w:rFonts w:eastAsia="Times New Roman" w:cs="Calibri"/>
            <w:color w:val="6440A3"/>
            <w:u w:val="single"/>
          </w:rPr>
          <w:t>uklink@xoserve.com</w:t>
        </w:r>
      </w:hyperlink>
      <w:r w:rsidRPr="009E154A">
        <w:rPr>
          <w:rFonts w:eastAsia="Times New Roman" w:cs="Calibri"/>
        </w:rPr>
        <w:t>  </w:t>
      </w:r>
    </w:p>
    <w:p w14:paraId="70B4DE60" w14:textId="77777777" w:rsidR="000D1CE3" w:rsidRPr="009E154A" w:rsidRDefault="000D1CE3" w:rsidP="000D1CE3">
      <w:pPr>
        <w:textAlignment w:val="baseline"/>
        <w:rPr>
          <w:rFonts w:eastAsia="Times New Roman" w:cs="Segoe UI"/>
        </w:rPr>
      </w:pPr>
      <w:r w:rsidRPr="009E154A">
        <w:rPr>
          <w:rFonts w:eastAsia="Times New Roman" w:cs="Arial"/>
        </w:rPr>
        <w:t> </w:t>
      </w:r>
    </w:p>
    <w:p w14:paraId="5EA2A993" w14:textId="65C3FDD6" w:rsidR="00880C8B" w:rsidRPr="005F269D" w:rsidRDefault="000D1CE3" w:rsidP="000D1CE3">
      <w:r w:rsidRPr="009E154A">
        <w:rPr>
          <w:noProof/>
        </w:rPr>
        <w:fldChar w:fldCharType="begin"/>
      </w:r>
      <w:r w:rsidRPr="009E154A">
        <w:rPr>
          <w:noProof/>
        </w:rPr>
        <w:instrText xml:space="preserve"> MERGEFIELD  RangeEnd:HDS  \* MERGEFORMAT </w:instrText>
      </w:r>
      <w:r w:rsidRPr="009E154A">
        <w:rPr>
          <w:noProof/>
        </w:rPr>
        <w:fldChar w:fldCharType="separate"/>
      </w:r>
      <w:r w:rsidRPr="009E154A">
        <w:rPr>
          <w:noProof/>
        </w:rPr>
        <w:t>«RangeEnd:HDS»</w:t>
      </w:r>
      <w:r w:rsidRPr="009E154A">
        <w:rPr>
          <w:noProof/>
        </w:rPr>
        <w:fldChar w:fldCharType="end"/>
      </w:r>
      <w:r w:rsidR="005F269D" w:rsidRPr="005F269D">
        <w:br w:type="page"/>
      </w:r>
    </w:p>
    <w:p w14:paraId="364535CB" w14:textId="77777777" w:rsidR="00A872E4" w:rsidRDefault="00A872E4" w:rsidP="00A86D70"/>
    <w:p w14:paraId="6E85C1D6" w14:textId="77777777" w:rsidR="00DE6F80" w:rsidRPr="003B3665" w:rsidRDefault="00DE6F80" w:rsidP="00DE6F80">
      <w:pPr>
        <w:rPr>
          <w:color w:val="6680FF" w:themeColor="accent2"/>
          <w:sz w:val="40"/>
          <w:szCs w:val="40"/>
        </w:rPr>
      </w:pPr>
      <w:r w:rsidRPr="003B3665">
        <w:rPr>
          <w:color w:val="6680FF" w:themeColor="accent2"/>
          <w:sz w:val="40"/>
          <w:szCs w:val="40"/>
        </w:rPr>
        <w:t>Version Control </w:t>
      </w:r>
    </w:p>
    <w:p w14:paraId="1C6A214F" w14:textId="77777777" w:rsidR="00DE6F80" w:rsidRPr="003B3665" w:rsidRDefault="00DE6F80" w:rsidP="00DE6F80">
      <w:r w:rsidRPr="003B3665">
        <w:t> </w:t>
      </w:r>
    </w:p>
    <w:p w14:paraId="645DAAA6" w14:textId="3B7A3491" w:rsidR="00DE6F80" w:rsidRPr="003B3665" w:rsidRDefault="00DE6F80" w:rsidP="00DE6F80">
      <w:r w:rsidRPr="003B3665">
        <w:t>Document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1815"/>
        <w:gridCol w:w="1785"/>
        <w:gridCol w:w="1950"/>
        <w:gridCol w:w="1575"/>
      </w:tblGrid>
      <w:tr w:rsidR="00DE6F80" w:rsidRPr="003B3665" w14:paraId="02974D45" w14:textId="77777777" w:rsidTr="7EA55C80">
        <w:trPr>
          <w:trHeight w:val="300"/>
        </w:trPr>
        <w:tc>
          <w:tcPr>
            <w:tcW w:w="1860" w:type="dxa"/>
            <w:tcBorders>
              <w:top w:val="single" w:sz="6" w:space="0" w:color="212133" w:themeColor="text2"/>
              <w:left w:val="single" w:sz="6" w:space="0" w:color="212133" w:themeColor="text2"/>
              <w:bottom w:val="single" w:sz="6" w:space="0" w:color="212133" w:themeColor="text2"/>
              <w:right w:val="single" w:sz="4" w:space="0" w:color="FFFFFF"/>
            </w:tcBorders>
            <w:shd w:val="clear" w:color="auto" w:fill="212133" w:themeFill="text2"/>
            <w:vAlign w:val="center"/>
            <w:hideMark/>
          </w:tcPr>
          <w:p w14:paraId="78689B50" w14:textId="77777777" w:rsidR="00DE6F80" w:rsidRPr="00CC6A74" w:rsidRDefault="00DE6F80" w:rsidP="007F0F15">
            <w:pPr>
              <w:rPr>
                <w:color w:val="F5F7FF" w:themeColor="background1"/>
              </w:rPr>
            </w:pPr>
            <w:r w:rsidRPr="00CC6A74">
              <w:rPr>
                <w:color w:val="F5F7FF" w:themeColor="background1"/>
              </w:rPr>
              <w:t>Version </w:t>
            </w:r>
          </w:p>
        </w:tc>
        <w:tc>
          <w:tcPr>
            <w:tcW w:w="1815" w:type="dxa"/>
            <w:tcBorders>
              <w:top w:val="single" w:sz="6" w:space="0" w:color="212133" w:themeColor="text2"/>
              <w:left w:val="single" w:sz="4" w:space="0" w:color="FFFFFF"/>
              <w:bottom w:val="single" w:sz="6" w:space="0" w:color="212133" w:themeColor="text2"/>
              <w:right w:val="single" w:sz="4" w:space="0" w:color="FFFFFF"/>
            </w:tcBorders>
            <w:shd w:val="clear" w:color="auto" w:fill="212133" w:themeFill="text2"/>
            <w:vAlign w:val="center"/>
            <w:hideMark/>
          </w:tcPr>
          <w:p w14:paraId="601B3350" w14:textId="77777777" w:rsidR="00DE6F80" w:rsidRPr="00CC6A74" w:rsidRDefault="00DE6F80" w:rsidP="007F0F15">
            <w:pPr>
              <w:rPr>
                <w:color w:val="F5F7FF" w:themeColor="background1"/>
              </w:rPr>
            </w:pPr>
            <w:r w:rsidRPr="00CC6A74">
              <w:rPr>
                <w:color w:val="F5F7FF" w:themeColor="background1"/>
              </w:rPr>
              <w:t> </w:t>
            </w:r>
          </w:p>
          <w:p w14:paraId="0E8C6998" w14:textId="77777777" w:rsidR="00DE6F80" w:rsidRPr="00CC6A74" w:rsidRDefault="00DE6F80" w:rsidP="007F0F15">
            <w:pPr>
              <w:rPr>
                <w:color w:val="F5F7FF" w:themeColor="background1"/>
              </w:rPr>
            </w:pPr>
            <w:r w:rsidRPr="00CC6A74">
              <w:rPr>
                <w:color w:val="F5F7FF" w:themeColor="background1"/>
              </w:rPr>
              <w:t>Status </w:t>
            </w:r>
          </w:p>
          <w:p w14:paraId="3BBBA46A" w14:textId="77777777" w:rsidR="00DE6F80" w:rsidRPr="00CC6A74" w:rsidRDefault="00DE6F80" w:rsidP="007F0F15">
            <w:pPr>
              <w:rPr>
                <w:color w:val="F5F7FF" w:themeColor="background1"/>
              </w:rPr>
            </w:pPr>
            <w:r w:rsidRPr="00CC6A74">
              <w:rPr>
                <w:color w:val="F5F7FF" w:themeColor="background1"/>
              </w:rPr>
              <w:t> </w:t>
            </w:r>
          </w:p>
        </w:tc>
        <w:tc>
          <w:tcPr>
            <w:tcW w:w="1785" w:type="dxa"/>
            <w:tcBorders>
              <w:top w:val="single" w:sz="6" w:space="0" w:color="212133" w:themeColor="text2"/>
              <w:left w:val="single" w:sz="4" w:space="0" w:color="FFFFFF"/>
              <w:bottom w:val="single" w:sz="6" w:space="0" w:color="212133" w:themeColor="text2"/>
              <w:right w:val="single" w:sz="4" w:space="0" w:color="FFFFFF"/>
            </w:tcBorders>
            <w:shd w:val="clear" w:color="auto" w:fill="212133" w:themeFill="text2"/>
            <w:vAlign w:val="center"/>
            <w:hideMark/>
          </w:tcPr>
          <w:p w14:paraId="289F5931" w14:textId="77777777" w:rsidR="00DE6F80" w:rsidRPr="00CC6A74" w:rsidRDefault="00DE6F80" w:rsidP="007F0F15">
            <w:pPr>
              <w:rPr>
                <w:color w:val="F5F7FF" w:themeColor="background1"/>
              </w:rPr>
            </w:pPr>
            <w:r w:rsidRPr="00CC6A74">
              <w:rPr>
                <w:color w:val="F5F7FF" w:themeColor="background1"/>
              </w:rPr>
              <w:t>Date </w:t>
            </w:r>
          </w:p>
        </w:tc>
        <w:tc>
          <w:tcPr>
            <w:tcW w:w="1950" w:type="dxa"/>
            <w:tcBorders>
              <w:top w:val="single" w:sz="6" w:space="0" w:color="212133" w:themeColor="text2"/>
              <w:left w:val="single" w:sz="4" w:space="0" w:color="FFFFFF"/>
              <w:bottom w:val="single" w:sz="6" w:space="0" w:color="212133" w:themeColor="text2"/>
              <w:right w:val="single" w:sz="4" w:space="0" w:color="FFFFFF"/>
            </w:tcBorders>
            <w:shd w:val="clear" w:color="auto" w:fill="212133" w:themeFill="text2"/>
            <w:vAlign w:val="center"/>
            <w:hideMark/>
          </w:tcPr>
          <w:p w14:paraId="042D68BF" w14:textId="77777777" w:rsidR="00DE6F80" w:rsidRPr="00CC6A74" w:rsidRDefault="00DE6F80" w:rsidP="007F0F15">
            <w:pPr>
              <w:rPr>
                <w:color w:val="F5F7FF" w:themeColor="background1"/>
              </w:rPr>
            </w:pPr>
            <w:r w:rsidRPr="00CC6A74">
              <w:rPr>
                <w:color w:val="F5F7FF" w:themeColor="background1"/>
              </w:rPr>
              <w:t>Author(s) </w:t>
            </w:r>
          </w:p>
        </w:tc>
        <w:tc>
          <w:tcPr>
            <w:tcW w:w="1575" w:type="dxa"/>
            <w:tcBorders>
              <w:top w:val="single" w:sz="6" w:space="0" w:color="212133" w:themeColor="text2"/>
              <w:left w:val="single" w:sz="4" w:space="0" w:color="FFFFFF"/>
              <w:bottom w:val="single" w:sz="6" w:space="0" w:color="212133" w:themeColor="text2"/>
              <w:right w:val="single" w:sz="6" w:space="0" w:color="212133" w:themeColor="text2"/>
            </w:tcBorders>
            <w:shd w:val="clear" w:color="auto" w:fill="212133" w:themeFill="text2"/>
            <w:vAlign w:val="center"/>
            <w:hideMark/>
          </w:tcPr>
          <w:p w14:paraId="5D1826D9" w14:textId="77777777" w:rsidR="00DE6F80" w:rsidRPr="00CC6A74" w:rsidRDefault="00DE6F80" w:rsidP="007F0F15">
            <w:pPr>
              <w:rPr>
                <w:color w:val="F5F7FF" w:themeColor="background1"/>
              </w:rPr>
            </w:pPr>
            <w:r w:rsidRPr="00CC6A74">
              <w:rPr>
                <w:color w:val="F5F7FF" w:themeColor="background1"/>
              </w:rPr>
              <w:t>Remarks </w:t>
            </w:r>
          </w:p>
        </w:tc>
      </w:tr>
      <w:tr w:rsidR="00DE6F80" w:rsidRPr="003B3665" w14:paraId="1E7F91B6" w14:textId="77777777" w:rsidTr="7EA55C80">
        <w:trPr>
          <w:trHeight w:val="300"/>
        </w:trPr>
        <w:tc>
          <w:tcPr>
            <w:tcW w:w="1860" w:type="dxa"/>
            <w:tcBorders>
              <w:top w:val="single" w:sz="6" w:space="0" w:color="212133" w:themeColor="text2"/>
              <w:left w:val="single" w:sz="6" w:space="0" w:color="212133" w:themeColor="text2"/>
              <w:bottom w:val="single" w:sz="6" w:space="0" w:color="212133" w:themeColor="text2"/>
              <w:right w:val="single" w:sz="6" w:space="0" w:color="212133" w:themeColor="text2"/>
            </w:tcBorders>
            <w:vAlign w:val="center"/>
            <w:hideMark/>
          </w:tcPr>
          <w:p w14:paraId="017BFBE7" w14:textId="4CCFF0B1" w:rsidR="00DE6F80" w:rsidRPr="003B3665" w:rsidRDefault="6EC30042" w:rsidP="007F0F15">
            <w:r>
              <w:t> </w:t>
            </w:r>
            <w:r w:rsidR="797405CA">
              <w:t>0.1</w:t>
            </w:r>
          </w:p>
        </w:tc>
        <w:tc>
          <w:tcPr>
            <w:tcW w:w="1815" w:type="dxa"/>
            <w:tcBorders>
              <w:top w:val="single" w:sz="6" w:space="0" w:color="212133" w:themeColor="text2"/>
              <w:left w:val="single" w:sz="6" w:space="0" w:color="212133" w:themeColor="text2"/>
              <w:bottom w:val="single" w:sz="6" w:space="0" w:color="212133" w:themeColor="text2"/>
              <w:right w:val="single" w:sz="6" w:space="0" w:color="212133" w:themeColor="text2"/>
            </w:tcBorders>
            <w:hideMark/>
          </w:tcPr>
          <w:p w14:paraId="0C7B8A5D" w14:textId="3177704B" w:rsidR="00DE6F80" w:rsidRPr="003B3665" w:rsidRDefault="6EC30042" w:rsidP="007F0F15">
            <w:r>
              <w:t> </w:t>
            </w:r>
            <w:r w:rsidR="534D4BBB">
              <w:t>Draft</w:t>
            </w:r>
          </w:p>
        </w:tc>
        <w:tc>
          <w:tcPr>
            <w:tcW w:w="1785" w:type="dxa"/>
            <w:tcBorders>
              <w:top w:val="single" w:sz="6" w:space="0" w:color="212133" w:themeColor="text2"/>
              <w:left w:val="single" w:sz="6" w:space="0" w:color="212133" w:themeColor="text2"/>
              <w:bottom w:val="single" w:sz="6" w:space="0" w:color="212133" w:themeColor="text2"/>
              <w:right w:val="single" w:sz="6" w:space="0" w:color="212133" w:themeColor="text2"/>
            </w:tcBorders>
            <w:hideMark/>
          </w:tcPr>
          <w:p w14:paraId="7A77DA28" w14:textId="3232937A" w:rsidR="00DE6F80" w:rsidRPr="003B3665" w:rsidRDefault="6EC30042" w:rsidP="007F0F15">
            <w:r>
              <w:t> </w:t>
            </w:r>
            <w:r w:rsidR="35EA8583">
              <w:t>06.10.2025</w:t>
            </w:r>
          </w:p>
        </w:tc>
        <w:tc>
          <w:tcPr>
            <w:tcW w:w="1950" w:type="dxa"/>
            <w:tcBorders>
              <w:top w:val="single" w:sz="6" w:space="0" w:color="212133" w:themeColor="text2"/>
              <w:left w:val="single" w:sz="6" w:space="0" w:color="212133" w:themeColor="text2"/>
              <w:bottom w:val="single" w:sz="6" w:space="0" w:color="212133" w:themeColor="text2"/>
              <w:right w:val="single" w:sz="6" w:space="0" w:color="212133" w:themeColor="text2"/>
            </w:tcBorders>
            <w:hideMark/>
          </w:tcPr>
          <w:p w14:paraId="62F92F70" w14:textId="0DF05374" w:rsidR="00DE6F80" w:rsidRPr="003B3665" w:rsidRDefault="6EC30042" w:rsidP="007F0F15">
            <w:r>
              <w:t> </w:t>
            </w:r>
            <w:r w:rsidR="51982320">
              <w:t>Nandini Kundu</w:t>
            </w:r>
          </w:p>
        </w:tc>
        <w:tc>
          <w:tcPr>
            <w:tcW w:w="1575" w:type="dxa"/>
            <w:tcBorders>
              <w:top w:val="single" w:sz="6" w:space="0" w:color="212133" w:themeColor="text2"/>
              <w:left w:val="single" w:sz="6" w:space="0" w:color="212133" w:themeColor="text2"/>
              <w:bottom w:val="single" w:sz="6" w:space="0" w:color="212133" w:themeColor="text2"/>
              <w:right w:val="single" w:sz="6" w:space="0" w:color="212133" w:themeColor="text2"/>
            </w:tcBorders>
            <w:hideMark/>
          </w:tcPr>
          <w:p w14:paraId="0C9DD84C" w14:textId="77777777" w:rsidR="00DE6F80" w:rsidRPr="003B3665" w:rsidRDefault="00DE6F80" w:rsidP="007F0F15">
            <w:r w:rsidRPr="003B3665">
              <w:t> </w:t>
            </w:r>
          </w:p>
        </w:tc>
      </w:tr>
      <w:tr w:rsidR="00DE6F80" w:rsidRPr="003B3665" w14:paraId="7CCE3243" w14:textId="77777777" w:rsidTr="7EA55C80">
        <w:trPr>
          <w:trHeight w:val="300"/>
        </w:trPr>
        <w:tc>
          <w:tcPr>
            <w:tcW w:w="1860" w:type="dxa"/>
            <w:tcBorders>
              <w:top w:val="single" w:sz="6" w:space="0" w:color="212133" w:themeColor="text2"/>
              <w:left w:val="single" w:sz="6" w:space="0" w:color="212133" w:themeColor="text2"/>
              <w:bottom w:val="single" w:sz="6" w:space="0" w:color="212133" w:themeColor="text2"/>
              <w:right w:val="single" w:sz="6" w:space="0" w:color="212133" w:themeColor="text2"/>
            </w:tcBorders>
            <w:vAlign w:val="center"/>
            <w:hideMark/>
          </w:tcPr>
          <w:p w14:paraId="1F05AC24" w14:textId="09B36535" w:rsidR="00DE6F80" w:rsidRPr="003B3665" w:rsidRDefault="00DE6F80" w:rsidP="007F0F15">
            <w:r w:rsidRPr="003B3665">
              <w:t> </w:t>
            </w:r>
            <w:r w:rsidR="00D27E6C">
              <w:t>1.0</w:t>
            </w:r>
          </w:p>
        </w:tc>
        <w:tc>
          <w:tcPr>
            <w:tcW w:w="1815" w:type="dxa"/>
            <w:tcBorders>
              <w:top w:val="single" w:sz="6" w:space="0" w:color="212133" w:themeColor="text2"/>
              <w:left w:val="single" w:sz="6" w:space="0" w:color="212133" w:themeColor="text2"/>
              <w:bottom w:val="single" w:sz="6" w:space="0" w:color="212133" w:themeColor="text2"/>
              <w:right w:val="single" w:sz="6" w:space="0" w:color="212133" w:themeColor="text2"/>
            </w:tcBorders>
            <w:hideMark/>
          </w:tcPr>
          <w:p w14:paraId="37A99D52" w14:textId="2F79C66B" w:rsidR="00DE6F80" w:rsidRPr="003B3665" w:rsidRDefault="00D27E6C" w:rsidP="007F0F15">
            <w:r>
              <w:t>Approved</w:t>
            </w:r>
          </w:p>
        </w:tc>
        <w:tc>
          <w:tcPr>
            <w:tcW w:w="1785" w:type="dxa"/>
            <w:tcBorders>
              <w:top w:val="single" w:sz="6" w:space="0" w:color="212133" w:themeColor="text2"/>
              <w:left w:val="single" w:sz="6" w:space="0" w:color="212133" w:themeColor="text2"/>
              <w:bottom w:val="single" w:sz="6" w:space="0" w:color="212133" w:themeColor="text2"/>
              <w:right w:val="single" w:sz="6" w:space="0" w:color="212133" w:themeColor="text2"/>
            </w:tcBorders>
            <w:hideMark/>
          </w:tcPr>
          <w:p w14:paraId="01052E21" w14:textId="4CF3E89A" w:rsidR="00DE6F80" w:rsidRPr="003B3665" w:rsidRDefault="00DE6F80" w:rsidP="007F0F15">
            <w:r w:rsidRPr="003B3665">
              <w:t> </w:t>
            </w:r>
            <w:r w:rsidR="00D27E6C">
              <w:t>10.10.2025</w:t>
            </w:r>
          </w:p>
        </w:tc>
        <w:tc>
          <w:tcPr>
            <w:tcW w:w="1950" w:type="dxa"/>
            <w:tcBorders>
              <w:top w:val="single" w:sz="6" w:space="0" w:color="212133" w:themeColor="text2"/>
              <w:left w:val="single" w:sz="6" w:space="0" w:color="212133" w:themeColor="text2"/>
              <w:bottom w:val="single" w:sz="6" w:space="0" w:color="212133" w:themeColor="text2"/>
              <w:right w:val="single" w:sz="6" w:space="0" w:color="212133" w:themeColor="text2"/>
            </w:tcBorders>
            <w:hideMark/>
          </w:tcPr>
          <w:p w14:paraId="3EC76B93" w14:textId="356FCB9B" w:rsidR="00DE6F80" w:rsidRPr="003B3665" w:rsidRDefault="00DE6F80" w:rsidP="007F0F15">
            <w:r w:rsidRPr="003B3665">
              <w:t> </w:t>
            </w:r>
            <w:r w:rsidR="00D27E6C">
              <w:t>Nandini Kundu</w:t>
            </w:r>
          </w:p>
        </w:tc>
        <w:tc>
          <w:tcPr>
            <w:tcW w:w="1575" w:type="dxa"/>
            <w:tcBorders>
              <w:top w:val="single" w:sz="6" w:space="0" w:color="212133" w:themeColor="text2"/>
              <w:left w:val="single" w:sz="6" w:space="0" w:color="212133" w:themeColor="text2"/>
              <w:bottom w:val="single" w:sz="6" w:space="0" w:color="212133" w:themeColor="text2"/>
              <w:right w:val="single" w:sz="6" w:space="0" w:color="212133" w:themeColor="text2"/>
            </w:tcBorders>
            <w:hideMark/>
          </w:tcPr>
          <w:p w14:paraId="0376BA1A" w14:textId="77777777" w:rsidR="00DE6F80" w:rsidRPr="003B3665" w:rsidRDefault="00DE6F80" w:rsidP="007F0F15">
            <w:r w:rsidRPr="003B3665">
              <w:t> </w:t>
            </w:r>
          </w:p>
        </w:tc>
      </w:tr>
    </w:tbl>
    <w:p w14:paraId="0D6B24BC" w14:textId="77777777" w:rsidR="00DE6F80" w:rsidRPr="003B3665" w:rsidRDefault="00DE6F80" w:rsidP="00DE6F80">
      <w:r w:rsidRPr="003B3665">
        <w:t> </w:t>
      </w:r>
    </w:p>
    <w:p w14:paraId="240853DB" w14:textId="4FD40BAE" w:rsidR="00DE6F80" w:rsidRDefault="00F977F4" w:rsidP="00A86D70">
      <w:r>
        <w:t>Template</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2"/>
        <w:gridCol w:w="1393"/>
        <w:gridCol w:w="1401"/>
        <w:gridCol w:w="1484"/>
        <w:gridCol w:w="1783"/>
        <w:gridCol w:w="1637"/>
      </w:tblGrid>
      <w:tr w:rsidR="00873FF9" w:rsidRPr="003B3665" w14:paraId="4C038311" w14:textId="7EAABAF4" w:rsidTr="00AE51CA">
        <w:trPr>
          <w:trHeight w:val="300"/>
        </w:trPr>
        <w:tc>
          <w:tcPr>
            <w:tcW w:w="1312" w:type="dxa"/>
            <w:tcBorders>
              <w:top w:val="single" w:sz="6" w:space="0" w:color="212133"/>
              <w:left w:val="single" w:sz="6" w:space="0" w:color="212133"/>
              <w:bottom w:val="single" w:sz="6" w:space="0" w:color="212133"/>
              <w:right w:val="single" w:sz="4" w:space="0" w:color="FFFFFF"/>
            </w:tcBorders>
            <w:shd w:val="clear" w:color="auto" w:fill="212133" w:themeFill="text1"/>
            <w:vAlign w:val="center"/>
            <w:hideMark/>
          </w:tcPr>
          <w:p w14:paraId="2C3598BE" w14:textId="77777777" w:rsidR="00F977F4" w:rsidRPr="00CC6A74" w:rsidRDefault="00F977F4" w:rsidP="007F0F15">
            <w:pPr>
              <w:rPr>
                <w:color w:val="F5F7FF" w:themeColor="background1"/>
              </w:rPr>
            </w:pPr>
            <w:r w:rsidRPr="00CC6A74">
              <w:rPr>
                <w:color w:val="F5F7FF" w:themeColor="background1"/>
              </w:rPr>
              <w:t>Version </w:t>
            </w:r>
          </w:p>
        </w:tc>
        <w:tc>
          <w:tcPr>
            <w:tcW w:w="1393" w:type="dxa"/>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1F317908" w14:textId="77777777" w:rsidR="00F977F4" w:rsidRPr="00CC6A74" w:rsidRDefault="00F977F4" w:rsidP="007F0F15">
            <w:pPr>
              <w:rPr>
                <w:color w:val="F5F7FF" w:themeColor="background1"/>
              </w:rPr>
            </w:pPr>
            <w:r w:rsidRPr="00CC6A74">
              <w:rPr>
                <w:color w:val="F5F7FF" w:themeColor="background1"/>
              </w:rPr>
              <w:t> </w:t>
            </w:r>
          </w:p>
          <w:p w14:paraId="47FCF0BD" w14:textId="77777777" w:rsidR="00F977F4" w:rsidRPr="00CC6A74" w:rsidRDefault="00F977F4" w:rsidP="007F0F15">
            <w:pPr>
              <w:rPr>
                <w:color w:val="F5F7FF" w:themeColor="background1"/>
              </w:rPr>
            </w:pPr>
            <w:r w:rsidRPr="00CC6A74">
              <w:rPr>
                <w:color w:val="F5F7FF" w:themeColor="background1"/>
              </w:rPr>
              <w:t>Status </w:t>
            </w:r>
          </w:p>
          <w:p w14:paraId="4DAC4B6A" w14:textId="77777777" w:rsidR="00F977F4" w:rsidRPr="00CC6A74" w:rsidRDefault="00F977F4" w:rsidP="007F0F15">
            <w:pPr>
              <w:rPr>
                <w:color w:val="F5F7FF" w:themeColor="background1"/>
              </w:rPr>
            </w:pPr>
            <w:r w:rsidRPr="00CC6A74">
              <w:rPr>
                <w:color w:val="F5F7FF" w:themeColor="background1"/>
              </w:rPr>
              <w:t> </w:t>
            </w:r>
          </w:p>
        </w:tc>
        <w:tc>
          <w:tcPr>
            <w:tcW w:w="1401" w:type="dxa"/>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65D609A8" w14:textId="77777777" w:rsidR="00F977F4" w:rsidRPr="00CC6A74" w:rsidRDefault="00F977F4" w:rsidP="007F0F15">
            <w:pPr>
              <w:rPr>
                <w:color w:val="F5F7FF" w:themeColor="background1"/>
              </w:rPr>
            </w:pPr>
            <w:r w:rsidRPr="00CC6A74">
              <w:rPr>
                <w:color w:val="F5F7FF" w:themeColor="background1"/>
              </w:rPr>
              <w:t>Date </w:t>
            </w:r>
          </w:p>
        </w:tc>
        <w:tc>
          <w:tcPr>
            <w:tcW w:w="1484" w:type="dxa"/>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5F3D5E4D" w14:textId="77777777" w:rsidR="00F977F4" w:rsidRPr="00CC6A74" w:rsidRDefault="00F977F4" w:rsidP="007F0F15">
            <w:pPr>
              <w:rPr>
                <w:color w:val="F5F7FF" w:themeColor="background1"/>
              </w:rPr>
            </w:pPr>
            <w:r w:rsidRPr="00CC6A74">
              <w:rPr>
                <w:color w:val="F5F7FF" w:themeColor="background1"/>
              </w:rPr>
              <w:t>Author(s) </w:t>
            </w:r>
          </w:p>
        </w:tc>
        <w:tc>
          <w:tcPr>
            <w:tcW w:w="1783" w:type="dxa"/>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50579BDE" w14:textId="77777777" w:rsidR="00F977F4" w:rsidRPr="00CC6A74" w:rsidRDefault="00F977F4" w:rsidP="007F0F15">
            <w:pPr>
              <w:rPr>
                <w:color w:val="F5F7FF" w:themeColor="background1"/>
              </w:rPr>
            </w:pPr>
            <w:r w:rsidRPr="00CC6A74">
              <w:rPr>
                <w:color w:val="F5F7FF" w:themeColor="background1"/>
              </w:rPr>
              <w:t>Remarks </w:t>
            </w:r>
          </w:p>
        </w:tc>
        <w:tc>
          <w:tcPr>
            <w:tcW w:w="1637" w:type="dxa"/>
            <w:tcBorders>
              <w:top w:val="single" w:sz="6" w:space="0" w:color="212133"/>
              <w:left w:val="single" w:sz="4" w:space="0" w:color="FFFFFF"/>
              <w:bottom w:val="single" w:sz="6" w:space="0" w:color="212133"/>
              <w:right w:val="single" w:sz="6" w:space="0" w:color="212133"/>
            </w:tcBorders>
            <w:shd w:val="clear" w:color="auto" w:fill="212133" w:themeFill="text1"/>
            <w:vAlign w:val="center"/>
          </w:tcPr>
          <w:p w14:paraId="76D31341" w14:textId="2C423EF9" w:rsidR="00F977F4" w:rsidRPr="00CC6A74" w:rsidRDefault="00F977F4" w:rsidP="00F977F4">
            <w:pPr>
              <w:rPr>
                <w:color w:val="F5F7FF" w:themeColor="background1"/>
              </w:rPr>
            </w:pPr>
            <w:r>
              <w:rPr>
                <w:color w:val="F5F7FF" w:themeColor="background1"/>
              </w:rPr>
              <w:t>Approved by</w:t>
            </w:r>
          </w:p>
        </w:tc>
      </w:tr>
      <w:tr w:rsidR="00762B59" w:rsidRPr="003B3665" w14:paraId="566775EF" w14:textId="33D5C968" w:rsidTr="00AE51CA">
        <w:trPr>
          <w:trHeight w:val="300"/>
        </w:trPr>
        <w:tc>
          <w:tcPr>
            <w:tcW w:w="1312" w:type="dxa"/>
            <w:tcBorders>
              <w:top w:val="single" w:sz="6" w:space="0" w:color="212133"/>
              <w:left w:val="single" w:sz="6" w:space="0" w:color="212133"/>
              <w:bottom w:val="single" w:sz="6" w:space="0" w:color="212133"/>
              <w:right w:val="single" w:sz="6" w:space="0" w:color="212133"/>
            </w:tcBorders>
            <w:vAlign w:val="center"/>
            <w:hideMark/>
          </w:tcPr>
          <w:p w14:paraId="3DC800D6" w14:textId="0E8C2F0C" w:rsidR="00762B59" w:rsidRPr="00762B59" w:rsidRDefault="00762B59" w:rsidP="00762B59">
            <w:pPr>
              <w:rPr>
                <w:rFonts w:cs="Calibri"/>
              </w:rPr>
            </w:pPr>
            <w:r w:rsidRPr="00762B59">
              <w:rPr>
                <w:rFonts w:cs="Calibri"/>
              </w:rPr>
              <w:t>1.0</w:t>
            </w:r>
          </w:p>
        </w:tc>
        <w:tc>
          <w:tcPr>
            <w:tcW w:w="1393" w:type="dxa"/>
            <w:tcBorders>
              <w:top w:val="single" w:sz="6" w:space="0" w:color="212133"/>
              <w:left w:val="single" w:sz="6" w:space="0" w:color="212133"/>
              <w:bottom w:val="single" w:sz="6" w:space="0" w:color="212133"/>
              <w:right w:val="single" w:sz="6" w:space="0" w:color="212133"/>
            </w:tcBorders>
            <w:vAlign w:val="center"/>
            <w:hideMark/>
          </w:tcPr>
          <w:p w14:paraId="3CD4ED88" w14:textId="13B865C7" w:rsidR="00762B59" w:rsidRPr="00762B59" w:rsidRDefault="00762B59" w:rsidP="00762B59">
            <w:pPr>
              <w:rPr>
                <w:rFonts w:cs="Calibri"/>
              </w:rPr>
            </w:pPr>
            <w:r w:rsidRPr="00762B59">
              <w:rPr>
                <w:rFonts w:cs="Calibri"/>
              </w:rPr>
              <w:t>Approved</w:t>
            </w:r>
          </w:p>
        </w:tc>
        <w:tc>
          <w:tcPr>
            <w:tcW w:w="1401" w:type="dxa"/>
            <w:tcBorders>
              <w:top w:val="single" w:sz="6" w:space="0" w:color="212133"/>
              <w:left w:val="single" w:sz="6" w:space="0" w:color="212133"/>
              <w:bottom w:val="single" w:sz="6" w:space="0" w:color="212133"/>
              <w:right w:val="single" w:sz="6" w:space="0" w:color="212133"/>
            </w:tcBorders>
            <w:vAlign w:val="center"/>
            <w:hideMark/>
          </w:tcPr>
          <w:p w14:paraId="4FA94170" w14:textId="45692602" w:rsidR="00762B59" w:rsidRPr="00762B59" w:rsidRDefault="00762B59" w:rsidP="00762B59">
            <w:pPr>
              <w:rPr>
                <w:rFonts w:cs="Calibri"/>
              </w:rPr>
            </w:pPr>
            <w:r w:rsidRPr="00762B59">
              <w:rPr>
                <w:rFonts w:cs="Calibri"/>
              </w:rPr>
              <w:t>09/03/2022</w:t>
            </w:r>
          </w:p>
        </w:tc>
        <w:tc>
          <w:tcPr>
            <w:tcW w:w="1484" w:type="dxa"/>
            <w:tcBorders>
              <w:top w:val="single" w:sz="6" w:space="0" w:color="212133"/>
              <w:left w:val="single" w:sz="6" w:space="0" w:color="212133"/>
              <w:bottom w:val="single" w:sz="6" w:space="0" w:color="212133"/>
              <w:right w:val="single" w:sz="6" w:space="0" w:color="212133"/>
            </w:tcBorders>
            <w:vAlign w:val="center"/>
            <w:hideMark/>
          </w:tcPr>
          <w:p w14:paraId="2B404705" w14:textId="5A8DDE74" w:rsidR="00762B59" w:rsidRPr="00762B59" w:rsidRDefault="00762B59" w:rsidP="00762B59">
            <w:pPr>
              <w:rPr>
                <w:rFonts w:cs="Calibri"/>
              </w:rPr>
            </w:pPr>
            <w:r w:rsidRPr="00762B59">
              <w:rPr>
                <w:rFonts w:cs="Calibri"/>
              </w:rPr>
              <w:t>Rachel Taggart</w:t>
            </w:r>
          </w:p>
        </w:tc>
        <w:tc>
          <w:tcPr>
            <w:tcW w:w="1783" w:type="dxa"/>
            <w:tcBorders>
              <w:top w:val="single" w:sz="6" w:space="0" w:color="212133"/>
              <w:left w:val="single" w:sz="6" w:space="0" w:color="212133"/>
              <w:bottom w:val="single" w:sz="6" w:space="0" w:color="212133"/>
              <w:right w:val="single" w:sz="6" w:space="0" w:color="212133"/>
            </w:tcBorders>
            <w:vAlign w:val="center"/>
            <w:hideMark/>
          </w:tcPr>
          <w:p w14:paraId="5BF162C8" w14:textId="6A89A83B" w:rsidR="00762B59" w:rsidRPr="00762B59" w:rsidRDefault="00762B59" w:rsidP="00762B59">
            <w:pPr>
              <w:rPr>
                <w:rFonts w:cs="Calibri"/>
              </w:rPr>
            </w:pPr>
            <w:r w:rsidRPr="00762B59">
              <w:rPr>
                <w:rFonts w:cs="Calibri"/>
              </w:rPr>
              <w:t>Detail Design Change Pack transferred to own document</w:t>
            </w:r>
          </w:p>
        </w:tc>
        <w:tc>
          <w:tcPr>
            <w:tcW w:w="1637" w:type="dxa"/>
            <w:tcBorders>
              <w:top w:val="single" w:sz="6" w:space="0" w:color="212133"/>
              <w:left w:val="single" w:sz="6" w:space="0" w:color="212133"/>
              <w:bottom w:val="single" w:sz="6" w:space="0" w:color="212133"/>
              <w:right w:val="single" w:sz="6" w:space="0" w:color="212133"/>
            </w:tcBorders>
          </w:tcPr>
          <w:p w14:paraId="2B9C6663" w14:textId="4EFE832E" w:rsidR="00762B59" w:rsidRPr="00762B59" w:rsidRDefault="00762B59" w:rsidP="00762B59">
            <w:pPr>
              <w:rPr>
                <w:rFonts w:cs="Calibri"/>
              </w:rPr>
            </w:pPr>
            <w:r w:rsidRPr="00762B59">
              <w:rPr>
                <w:rFonts w:cs="Calibri"/>
              </w:rPr>
              <w:t>Change Management Committee on 09/03/2022</w:t>
            </w:r>
          </w:p>
        </w:tc>
      </w:tr>
      <w:tr w:rsidR="00762B59" w:rsidRPr="003B3665" w14:paraId="4A45641C" w14:textId="0BC1342F" w:rsidTr="00AE51CA">
        <w:trPr>
          <w:trHeight w:val="300"/>
        </w:trPr>
        <w:tc>
          <w:tcPr>
            <w:tcW w:w="1312" w:type="dxa"/>
            <w:tcBorders>
              <w:top w:val="single" w:sz="6" w:space="0" w:color="212133"/>
              <w:left w:val="single" w:sz="6" w:space="0" w:color="212133"/>
              <w:bottom w:val="single" w:sz="6" w:space="0" w:color="212133"/>
              <w:right w:val="single" w:sz="6" w:space="0" w:color="212133"/>
            </w:tcBorders>
            <w:vAlign w:val="center"/>
            <w:hideMark/>
          </w:tcPr>
          <w:p w14:paraId="5A244583" w14:textId="0969CFC2" w:rsidR="00762B59" w:rsidRPr="00762B59" w:rsidRDefault="00762B59" w:rsidP="00762B59">
            <w:pPr>
              <w:rPr>
                <w:rFonts w:cs="Calibri"/>
              </w:rPr>
            </w:pPr>
            <w:r w:rsidRPr="00762B59">
              <w:rPr>
                <w:rFonts w:cs="Calibri"/>
              </w:rPr>
              <w:t>1.1</w:t>
            </w:r>
          </w:p>
        </w:tc>
        <w:tc>
          <w:tcPr>
            <w:tcW w:w="1393" w:type="dxa"/>
            <w:tcBorders>
              <w:top w:val="single" w:sz="6" w:space="0" w:color="212133"/>
              <w:left w:val="single" w:sz="6" w:space="0" w:color="212133"/>
              <w:bottom w:val="single" w:sz="6" w:space="0" w:color="212133"/>
              <w:right w:val="single" w:sz="6" w:space="0" w:color="212133"/>
            </w:tcBorders>
            <w:vAlign w:val="center"/>
            <w:hideMark/>
          </w:tcPr>
          <w:p w14:paraId="3C8B9DD0" w14:textId="22AD15D8" w:rsidR="00762B59" w:rsidRPr="00762B59" w:rsidRDefault="00762B59" w:rsidP="00762B59">
            <w:pPr>
              <w:rPr>
                <w:rFonts w:cs="Calibri"/>
              </w:rPr>
            </w:pPr>
            <w:r w:rsidRPr="00762B59">
              <w:rPr>
                <w:rFonts w:cs="Calibri"/>
              </w:rPr>
              <w:t>Approved</w:t>
            </w:r>
          </w:p>
        </w:tc>
        <w:tc>
          <w:tcPr>
            <w:tcW w:w="1401" w:type="dxa"/>
            <w:tcBorders>
              <w:top w:val="single" w:sz="6" w:space="0" w:color="212133"/>
              <w:left w:val="single" w:sz="6" w:space="0" w:color="212133"/>
              <w:bottom w:val="single" w:sz="6" w:space="0" w:color="212133"/>
              <w:right w:val="single" w:sz="6" w:space="0" w:color="212133"/>
            </w:tcBorders>
            <w:vAlign w:val="center"/>
            <w:hideMark/>
          </w:tcPr>
          <w:p w14:paraId="53320BA1" w14:textId="5C7C118B" w:rsidR="00762B59" w:rsidRPr="00762B59" w:rsidRDefault="00762B59" w:rsidP="00762B59">
            <w:pPr>
              <w:rPr>
                <w:rFonts w:cs="Calibri"/>
              </w:rPr>
            </w:pPr>
            <w:r w:rsidRPr="00762B59">
              <w:rPr>
                <w:rFonts w:cs="Calibri"/>
              </w:rPr>
              <w:t>25/04/2023</w:t>
            </w:r>
          </w:p>
        </w:tc>
        <w:tc>
          <w:tcPr>
            <w:tcW w:w="1484" w:type="dxa"/>
            <w:tcBorders>
              <w:top w:val="single" w:sz="6" w:space="0" w:color="212133"/>
              <w:left w:val="single" w:sz="6" w:space="0" w:color="212133"/>
              <w:bottom w:val="single" w:sz="6" w:space="0" w:color="212133"/>
              <w:right w:val="single" w:sz="6" w:space="0" w:color="212133"/>
            </w:tcBorders>
            <w:vAlign w:val="center"/>
            <w:hideMark/>
          </w:tcPr>
          <w:p w14:paraId="41F4FBE0" w14:textId="5F6A5283" w:rsidR="00762B59" w:rsidRPr="00762B59" w:rsidRDefault="00762B59" w:rsidP="00762B59">
            <w:pPr>
              <w:rPr>
                <w:rFonts w:cs="Calibri"/>
              </w:rPr>
            </w:pPr>
            <w:r w:rsidRPr="00762B59">
              <w:rPr>
                <w:rFonts w:cs="Calibri"/>
              </w:rPr>
              <w:t>Rachel Taggart</w:t>
            </w:r>
          </w:p>
        </w:tc>
        <w:tc>
          <w:tcPr>
            <w:tcW w:w="1783" w:type="dxa"/>
            <w:tcBorders>
              <w:top w:val="single" w:sz="6" w:space="0" w:color="212133"/>
              <w:left w:val="single" w:sz="6" w:space="0" w:color="212133"/>
              <w:bottom w:val="single" w:sz="6" w:space="0" w:color="212133"/>
              <w:right w:val="single" w:sz="6" w:space="0" w:color="212133"/>
            </w:tcBorders>
            <w:vAlign w:val="center"/>
            <w:hideMark/>
          </w:tcPr>
          <w:p w14:paraId="6E6F98CA" w14:textId="5EEB61BC" w:rsidR="00762B59" w:rsidRPr="00762B59" w:rsidRDefault="00762B59" w:rsidP="00762B59">
            <w:pPr>
              <w:rPr>
                <w:rFonts w:cs="Calibri"/>
              </w:rPr>
            </w:pPr>
            <w:r w:rsidRPr="00762B59">
              <w:rPr>
                <w:rFonts w:cs="Calibri"/>
              </w:rPr>
              <w:t>Updated with new font branding</w:t>
            </w:r>
          </w:p>
        </w:tc>
        <w:tc>
          <w:tcPr>
            <w:tcW w:w="1637" w:type="dxa"/>
            <w:tcBorders>
              <w:top w:val="single" w:sz="6" w:space="0" w:color="212133"/>
              <w:left w:val="single" w:sz="6" w:space="0" w:color="212133"/>
              <w:bottom w:val="single" w:sz="6" w:space="0" w:color="212133"/>
              <w:right w:val="single" w:sz="6" w:space="0" w:color="212133"/>
            </w:tcBorders>
            <w:vAlign w:val="center"/>
          </w:tcPr>
          <w:p w14:paraId="0DFBA567" w14:textId="3F8B01E2" w:rsidR="00762B59" w:rsidRPr="00762B59" w:rsidRDefault="00762B59" w:rsidP="00762B59">
            <w:pPr>
              <w:rPr>
                <w:rFonts w:cs="Calibri"/>
              </w:rPr>
            </w:pPr>
            <w:r w:rsidRPr="00762B59">
              <w:rPr>
                <w:rFonts w:cs="Calibri"/>
              </w:rPr>
              <w:t>Emma Smith</w:t>
            </w:r>
          </w:p>
        </w:tc>
      </w:tr>
      <w:tr w:rsidR="00762B59" w:rsidRPr="003B3665" w14:paraId="2CCF473D" w14:textId="77777777" w:rsidTr="00AE51CA">
        <w:trPr>
          <w:trHeight w:val="300"/>
        </w:trPr>
        <w:tc>
          <w:tcPr>
            <w:tcW w:w="1312" w:type="dxa"/>
            <w:tcBorders>
              <w:top w:val="single" w:sz="6" w:space="0" w:color="212133"/>
              <w:left w:val="single" w:sz="6" w:space="0" w:color="212133"/>
              <w:bottom w:val="single" w:sz="6" w:space="0" w:color="212133"/>
              <w:right w:val="single" w:sz="6" w:space="0" w:color="212133"/>
            </w:tcBorders>
            <w:vAlign w:val="center"/>
          </w:tcPr>
          <w:p w14:paraId="2F20CDF3" w14:textId="2C42BE16" w:rsidR="00762B59" w:rsidRPr="008208E4" w:rsidRDefault="00762B59" w:rsidP="00762B59">
            <w:pPr>
              <w:rPr>
                <w:rFonts w:cs="Calibri"/>
              </w:rPr>
            </w:pPr>
            <w:r w:rsidRPr="00762B59">
              <w:rPr>
                <w:rFonts w:cs="Calibri"/>
              </w:rPr>
              <w:t>1.2</w:t>
            </w:r>
          </w:p>
        </w:tc>
        <w:tc>
          <w:tcPr>
            <w:tcW w:w="1393" w:type="dxa"/>
            <w:tcBorders>
              <w:top w:val="single" w:sz="6" w:space="0" w:color="212133"/>
              <w:left w:val="single" w:sz="6" w:space="0" w:color="212133"/>
              <w:bottom w:val="single" w:sz="6" w:space="0" w:color="212133"/>
              <w:right w:val="single" w:sz="6" w:space="0" w:color="212133"/>
            </w:tcBorders>
            <w:vAlign w:val="center"/>
          </w:tcPr>
          <w:p w14:paraId="1889BF11" w14:textId="1E469B47" w:rsidR="00762B59" w:rsidRPr="008208E4" w:rsidRDefault="00762B59" w:rsidP="00762B59">
            <w:pPr>
              <w:rPr>
                <w:rFonts w:cs="Calibri"/>
              </w:rPr>
            </w:pPr>
            <w:r w:rsidRPr="00762B59">
              <w:rPr>
                <w:rFonts w:cs="Calibri"/>
              </w:rPr>
              <w:t>Updated</w:t>
            </w:r>
          </w:p>
        </w:tc>
        <w:tc>
          <w:tcPr>
            <w:tcW w:w="1401" w:type="dxa"/>
            <w:tcBorders>
              <w:top w:val="single" w:sz="6" w:space="0" w:color="212133"/>
              <w:left w:val="single" w:sz="6" w:space="0" w:color="212133"/>
              <w:bottom w:val="single" w:sz="6" w:space="0" w:color="212133"/>
              <w:right w:val="single" w:sz="6" w:space="0" w:color="212133"/>
            </w:tcBorders>
            <w:vAlign w:val="center"/>
          </w:tcPr>
          <w:p w14:paraId="7773B634" w14:textId="76545FF9" w:rsidR="00762B59" w:rsidRPr="008208E4" w:rsidRDefault="00762B59" w:rsidP="00762B59">
            <w:pPr>
              <w:rPr>
                <w:rFonts w:cs="Calibri"/>
              </w:rPr>
            </w:pPr>
            <w:r w:rsidRPr="00762B59">
              <w:rPr>
                <w:rFonts w:cs="Calibri"/>
              </w:rPr>
              <w:t>14/08/2023</w:t>
            </w:r>
          </w:p>
        </w:tc>
        <w:tc>
          <w:tcPr>
            <w:tcW w:w="1484" w:type="dxa"/>
            <w:tcBorders>
              <w:top w:val="single" w:sz="6" w:space="0" w:color="212133"/>
              <w:left w:val="single" w:sz="6" w:space="0" w:color="212133"/>
              <w:bottom w:val="single" w:sz="6" w:space="0" w:color="212133"/>
              <w:right w:val="single" w:sz="6" w:space="0" w:color="212133"/>
            </w:tcBorders>
            <w:vAlign w:val="center"/>
          </w:tcPr>
          <w:p w14:paraId="2D21F096" w14:textId="082786B7" w:rsidR="00762B59" w:rsidRPr="008208E4" w:rsidRDefault="00762B59" w:rsidP="00762B59">
            <w:pPr>
              <w:rPr>
                <w:rFonts w:cs="Calibri"/>
              </w:rPr>
            </w:pPr>
            <w:r w:rsidRPr="00762B59">
              <w:rPr>
                <w:rFonts w:cs="Calibri"/>
              </w:rPr>
              <w:t>Kate Lancaster</w:t>
            </w:r>
          </w:p>
        </w:tc>
        <w:tc>
          <w:tcPr>
            <w:tcW w:w="1783" w:type="dxa"/>
            <w:tcBorders>
              <w:top w:val="single" w:sz="6" w:space="0" w:color="212133"/>
              <w:left w:val="single" w:sz="6" w:space="0" w:color="212133"/>
              <w:bottom w:val="single" w:sz="6" w:space="0" w:color="212133"/>
              <w:right w:val="single" w:sz="6" w:space="0" w:color="212133"/>
            </w:tcBorders>
            <w:vAlign w:val="center"/>
          </w:tcPr>
          <w:p w14:paraId="0A178289" w14:textId="7A5DF84E" w:rsidR="00762B59" w:rsidRPr="008208E4" w:rsidRDefault="00762B59" w:rsidP="00762B59">
            <w:pPr>
              <w:rPr>
                <w:rFonts w:cs="Calibri"/>
              </w:rPr>
            </w:pPr>
            <w:r w:rsidRPr="00762B59">
              <w:rPr>
                <w:rFonts w:cs="Calibri"/>
              </w:rPr>
              <w:t>Updated with Representation tabs</w:t>
            </w:r>
          </w:p>
        </w:tc>
        <w:tc>
          <w:tcPr>
            <w:tcW w:w="1637" w:type="dxa"/>
            <w:tcBorders>
              <w:top w:val="single" w:sz="6" w:space="0" w:color="212133"/>
              <w:left w:val="single" w:sz="6" w:space="0" w:color="212133"/>
              <w:bottom w:val="single" w:sz="6" w:space="0" w:color="212133"/>
              <w:right w:val="single" w:sz="6" w:space="0" w:color="212133"/>
            </w:tcBorders>
            <w:vAlign w:val="center"/>
          </w:tcPr>
          <w:p w14:paraId="42F785A8" w14:textId="75DF2275" w:rsidR="00762B59" w:rsidRPr="008208E4" w:rsidRDefault="00762B59" w:rsidP="00762B59">
            <w:pPr>
              <w:rPr>
                <w:rFonts w:cs="Calibri"/>
              </w:rPr>
            </w:pPr>
            <w:r>
              <w:rPr>
                <w:rFonts w:cs="Calibri"/>
              </w:rPr>
              <w:t>N/A</w:t>
            </w:r>
          </w:p>
        </w:tc>
      </w:tr>
      <w:tr w:rsidR="00835974" w:rsidRPr="003B3665" w14:paraId="1416BB44" w14:textId="77777777" w:rsidTr="00AE51CA">
        <w:trPr>
          <w:trHeight w:val="300"/>
        </w:trPr>
        <w:tc>
          <w:tcPr>
            <w:tcW w:w="1312" w:type="dxa"/>
            <w:tcBorders>
              <w:top w:val="single" w:sz="6" w:space="0" w:color="212133"/>
              <w:left w:val="single" w:sz="6" w:space="0" w:color="212133"/>
              <w:bottom w:val="single" w:sz="6" w:space="0" w:color="212133"/>
              <w:right w:val="single" w:sz="6" w:space="0" w:color="212133"/>
            </w:tcBorders>
            <w:vAlign w:val="center"/>
          </w:tcPr>
          <w:p w14:paraId="5DBD6FA1" w14:textId="1E4011FB" w:rsidR="00835974" w:rsidRPr="008208E4" w:rsidRDefault="00835974" w:rsidP="008208E4">
            <w:pPr>
              <w:rPr>
                <w:rFonts w:cs="Calibri"/>
              </w:rPr>
            </w:pPr>
            <w:r>
              <w:rPr>
                <w:rFonts w:cs="Calibri"/>
              </w:rPr>
              <w:t>1.3</w:t>
            </w:r>
          </w:p>
        </w:tc>
        <w:tc>
          <w:tcPr>
            <w:tcW w:w="1393" w:type="dxa"/>
            <w:tcBorders>
              <w:top w:val="single" w:sz="6" w:space="0" w:color="212133"/>
              <w:left w:val="single" w:sz="6" w:space="0" w:color="212133"/>
              <w:bottom w:val="single" w:sz="6" w:space="0" w:color="212133"/>
              <w:right w:val="single" w:sz="6" w:space="0" w:color="212133"/>
            </w:tcBorders>
            <w:vAlign w:val="center"/>
          </w:tcPr>
          <w:p w14:paraId="47705DD0" w14:textId="7A404DF5" w:rsidR="00835974" w:rsidRPr="008208E4" w:rsidRDefault="00835974" w:rsidP="008208E4">
            <w:pPr>
              <w:rPr>
                <w:rFonts w:cs="Calibri"/>
              </w:rPr>
            </w:pPr>
            <w:r>
              <w:rPr>
                <w:rFonts w:cs="Calibri"/>
              </w:rPr>
              <w:t>For Approval</w:t>
            </w:r>
          </w:p>
        </w:tc>
        <w:tc>
          <w:tcPr>
            <w:tcW w:w="1401" w:type="dxa"/>
            <w:tcBorders>
              <w:top w:val="single" w:sz="6" w:space="0" w:color="212133"/>
              <w:left w:val="single" w:sz="6" w:space="0" w:color="212133"/>
              <w:bottom w:val="single" w:sz="6" w:space="0" w:color="212133"/>
              <w:right w:val="single" w:sz="6" w:space="0" w:color="212133"/>
            </w:tcBorders>
            <w:vAlign w:val="center"/>
          </w:tcPr>
          <w:p w14:paraId="3CCBC4BC" w14:textId="173E1657" w:rsidR="00835974" w:rsidRPr="008208E4" w:rsidRDefault="00762B59" w:rsidP="008208E4">
            <w:pPr>
              <w:rPr>
                <w:rFonts w:cs="Calibri"/>
              </w:rPr>
            </w:pPr>
            <w:r>
              <w:rPr>
                <w:rFonts w:cs="Calibri"/>
              </w:rPr>
              <w:t>21</w:t>
            </w:r>
            <w:r w:rsidR="00873FF9">
              <w:rPr>
                <w:rFonts w:cs="Calibri"/>
              </w:rPr>
              <w:t>/07/2025</w:t>
            </w:r>
          </w:p>
        </w:tc>
        <w:tc>
          <w:tcPr>
            <w:tcW w:w="1484" w:type="dxa"/>
            <w:tcBorders>
              <w:top w:val="single" w:sz="6" w:space="0" w:color="212133"/>
              <w:left w:val="single" w:sz="6" w:space="0" w:color="212133"/>
              <w:bottom w:val="single" w:sz="6" w:space="0" w:color="212133"/>
              <w:right w:val="single" w:sz="6" w:space="0" w:color="212133"/>
            </w:tcBorders>
            <w:vAlign w:val="center"/>
          </w:tcPr>
          <w:p w14:paraId="704747C5" w14:textId="66A8200B" w:rsidR="00835974" w:rsidRPr="008208E4" w:rsidRDefault="00873FF9" w:rsidP="008208E4">
            <w:pPr>
              <w:rPr>
                <w:rFonts w:cs="Calibri"/>
              </w:rPr>
            </w:pPr>
            <w:r w:rsidRPr="008208E4">
              <w:rPr>
                <w:rFonts w:cs="Calibri"/>
              </w:rPr>
              <w:t>Kate Lancaster</w:t>
            </w:r>
          </w:p>
        </w:tc>
        <w:tc>
          <w:tcPr>
            <w:tcW w:w="1783" w:type="dxa"/>
            <w:tcBorders>
              <w:top w:val="single" w:sz="6" w:space="0" w:color="212133"/>
              <w:left w:val="single" w:sz="6" w:space="0" w:color="212133"/>
              <w:bottom w:val="single" w:sz="6" w:space="0" w:color="212133"/>
              <w:right w:val="single" w:sz="6" w:space="0" w:color="212133"/>
            </w:tcBorders>
            <w:vAlign w:val="center"/>
          </w:tcPr>
          <w:p w14:paraId="79994AD9" w14:textId="13B96A0B" w:rsidR="00835974" w:rsidRPr="008208E4" w:rsidRDefault="00873FF9" w:rsidP="008208E4">
            <w:pPr>
              <w:rPr>
                <w:rFonts w:cs="Calibri"/>
              </w:rPr>
            </w:pPr>
            <w:r>
              <w:rPr>
                <w:rFonts w:cs="Calibri"/>
              </w:rPr>
              <w:t>Updated branding</w:t>
            </w:r>
          </w:p>
        </w:tc>
        <w:tc>
          <w:tcPr>
            <w:tcW w:w="1637" w:type="dxa"/>
            <w:tcBorders>
              <w:top w:val="single" w:sz="6" w:space="0" w:color="212133"/>
              <w:left w:val="single" w:sz="6" w:space="0" w:color="212133"/>
              <w:bottom w:val="single" w:sz="6" w:space="0" w:color="212133"/>
              <w:right w:val="single" w:sz="6" w:space="0" w:color="212133"/>
            </w:tcBorders>
            <w:vAlign w:val="center"/>
          </w:tcPr>
          <w:p w14:paraId="08D95175" w14:textId="28115B4D" w:rsidR="00835974" w:rsidRDefault="00873FF9" w:rsidP="008208E4">
            <w:pPr>
              <w:rPr>
                <w:rFonts w:cs="Calibri"/>
              </w:rPr>
            </w:pPr>
            <w:r>
              <w:rPr>
                <w:rFonts w:cs="Calibri"/>
              </w:rPr>
              <w:t>To be approved by ChMC</w:t>
            </w:r>
          </w:p>
        </w:tc>
      </w:tr>
    </w:tbl>
    <w:p w14:paraId="2F6C6FD8" w14:textId="77777777" w:rsidR="00F977F4" w:rsidRPr="00A86D70" w:rsidRDefault="00F977F4" w:rsidP="00A86D70"/>
    <w:sectPr w:rsidR="00F977F4" w:rsidRPr="00A86D70" w:rsidSect="009221AF">
      <w:headerReference w:type="default" r:id="rId24"/>
      <w:footerReference w:type="default" r:id="rId25"/>
      <w:pgSz w:w="11906" w:h="16838"/>
      <w:pgMar w:top="1440" w:right="74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D2F2C" w14:textId="77777777" w:rsidR="00EB7B0A" w:rsidRDefault="00EB7B0A" w:rsidP="00681903">
      <w:r>
        <w:separator/>
      </w:r>
    </w:p>
  </w:endnote>
  <w:endnote w:type="continuationSeparator" w:id="0">
    <w:p w14:paraId="4D8C2D6F" w14:textId="77777777" w:rsidR="00EB7B0A" w:rsidRDefault="00EB7B0A" w:rsidP="00681903">
      <w:r>
        <w:continuationSeparator/>
      </w:r>
    </w:p>
  </w:endnote>
  <w:endnote w:type="continuationNotice" w:id="1">
    <w:p w14:paraId="48541F9C" w14:textId="77777777" w:rsidR="00EB7B0A" w:rsidRDefault="00EB7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7435" w14:textId="2EB54C17" w:rsidR="00EE22C0" w:rsidRPr="0090426D" w:rsidRDefault="000F2661">
    <w:pPr>
      <w:pStyle w:val="Footer"/>
      <w:rPr>
        <w:color w:val="FFFFFF"/>
        <w:sz w:val="22"/>
        <w:szCs w:val="22"/>
      </w:rPr>
    </w:pPr>
    <w:r w:rsidRPr="00690C9E">
      <w:rPr>
        <w:noProof/>
        <w:sz w:val="22"/>
        <w:szCs w:val="22"/>
      </w:rPr>
      <mc:AlternateContent>
        <mc:Choice Requires="wps">
          <w:drawing>
            <wp:anchor distT="45720" distB="45720" distL="114300" distR="114300" simplePos="0" relativeHeight="251658242" behindDoc="0" locked="0" layoutInCell="1" allowOverlap="1" wp14:anchorId="24F5BDCA" wp14:editId="0730408C">
              <wp:simplePos x="0" y="0"/>
              <wp:positionH relativeFrom="page">
                <wp:posOffset>485775</wp:posOffset>
              </wp:positionH>
              <wp:positionV relativeFrom="paragraph">
                <wp:posOffset>63500</wp:posOffset>
              </wp:positionV>
              <wp:extent cx="7073265"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265" cy="457200"/>
                      </a:xfrm>
                      <a:prstGeom prst="rect">
                        <a:avLst/>
                      </a:prstGeom>
                      <a:noFill/>
                      <a:ln w="9525">
                        <a:noFill/>
                        <a:miter lim="800000"/>
                        <a:headEnd/>
                        <a:tailEnd/>
                      </a:ln>
                    </wps:spPr>
                    <wps:txbx>
                      <w:txbxContent>
                        <w:p w14:paraId="71B09867" w14:textId="44C04D02" w:rsidR="00690C9E" w:rsidRPr="00AD1840" w:rsidRDefault="00AD1840">
                          <w:pPr>
                            <w:rPr>
                              <w:color w:val="FFFFFF"/>
                              <w:sz w:val="18"/>
                              <w:szCs w:val="18"/>
                            </w:rPr>
                          </w:pPr>
                          <w:r w:rsidRPr="00AD1840">
                            <w:rPr>
                              <w:color w:val="FFFFFF"/>
                              <w:sz w:val="18"/>
                              <w:szCs w:val="18"/>
                            </w:rPr>
                            <w:t>V1.3</w:t>
                          </w:r>
                        </w:p>
                        <w:p w14:paraId="24BCC5F6" w14:textId="5AF1B518" w:rsidR="00AD1840" w:rsidRPr="00AD1840" w:rsidRDefault="00AD1840">
                          <w:pPr>
                            <w:rPr>
                              <w:color w:val="FFFFFF"/>
                              <w:sz w:val="18"/>
                              <w:szCs w:val="18"/>
                            </w:rPr>
                          </w:pPr>
                          <w:r w:rsidRPr="00AD1840">
                            <w:rPr>
                              <w:color w:val="FFFFFF"/>
                              <w:sz w:val="18"/>
                              <w:szCs w:val="18"/>
                            </w:rPr>
                            <w:t>*Assumed impacted parties of the proposed change, all parties are encouraged to review</w:t>
                          </w:r>
                        </w:p>
                        <w:p w14:paraId="4934D16B" w14:textId="77777777" w:rsidR="00AD1840" w:rsidRPr="00AD1840" w:rsidRDefault="00AD1840">
                          <w:pPr>
                            <w:rPr>
                              <w:sz w:val="20"/>
                              <w:szCs w:val="20"/>
                            </w:rPr>
                          </w:pPr>
                        </w:p>
                        <w:p w14:paraId="345E7446" w14:textId="77777777" w:rsidR="00AD1840" w:rsidRDefault="00AD18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F5BDCA" id="_x0000_t202" coordsize="21600,21600" o:spt="202" path="m,l,21600r21600,l21600,xe">
              <v:stroke joinstyle="miter"/>
              <v:path gradientshapeok="t" o:connecttype="rect"/>
            </v:shapetype>
            <v:shape id="Text Box 2" o:spid="_x0000_s1026" type="#_x0000_t202" style="position:absolute;margin-left:38.25pt;margin-top:5pt;width:556.95pt;height:36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" filled="f" stroked="f">
              <v:textbox>
                <w:txbxContent>
                  <w:p w14:paraId="71B09867" w14:textId="44C04D02" w:rsidR="00690C9E" w:rsidRPr="00AD1840" w:rsidRDefault="00AD1840">
                    <w:pPr>
                      <w:rPr>
                        <w:color w:val="FFFFFF"/>
                        <w:sz w:val="18"/>
                        <w:szCs w:val="18"/>
                      </w:rPr>
                    </w:pPr>
                    <w:r w:rsidRPr="00AD1840">
                      <w:rPr>
                        <w:color w:val="FFFFFF"/>
                        <w:sz w:val="18"/>
                        <w:szCs w:val="18"/>
                      </w:rPr>
                      <w:t>V1.3</w:t>
                    </w:r>
                  </w:p>
                  <w:p w14:paraId="24BCC5F6" w14:textId="5AF1B518" w:rsidR="00AD1840" w:rsidRPr="00AD1840" w:rsidRDefault="00AD1840">
                    <w:pPr>
                      <w:rPr>
                        <w:color w:val="FFFFFF"/>
                        <w:sz w:val="18"/>
                        <w:szCs w:val="18"/>
                      </w:rPr>
                    </w:pPr>
                    <w:r w:rsidRPr="00AD1840">
                      <w:rPr>
                        <w:color w:val="FFFFFF"/>
                        <w:sz w:val="18"/>
                        <w:szCs w:val="18"/>
                      </w:rPr>
                      <w:t>*Assumed impacted parties of the proposed change, all parties are encouraged to review</w:t>
                    </w:r>
                  </w:p>
                  <w:p w14:paraId="4934D16B" w14:textId="77777777" w:rsidR="00AD1840" w:rsidRPr="00AD1840" w:rsidRDefault="00AD1840">
                    <w:pPr>
                      <w:rPr>
                        <w:sz w:val="20"/>
                        <w:szCs w:val="20"/>
                      </w:rPr>
                    </w:pPr>
                  </w:p>
                  <w:p w14:paraId="345E7446" w14:textId="77777777" w:rsidR="00AD1840" w:rsidRDefault="00AD1840"/>
                </w:txbxContent>
              </v:textbox>
              <w10:wrap anchorx="page"/>
            </v:shape>
          </w:pict>
        </mc:Fallback>
      </mc:AlternateContent>
    </w:r>
    <w:r w:rsidRPr="0090426D">
      <w:rPr>
        <w:noProof/>
        <w:color w:val="FFFFFF"/>
        <w:sz w:val="22"/>
        <w:szCs w:val="22"/>
      </w:rPr>
      <w:drawing>
        <wp:anchor distT="0" distB="0" distL="114300" distR="114300" simplePos="0" relativeHeight="251658241" behindDoc="1" locked="0" layoutInCell="1" allowOverlap="1" wp14:anchorId="27F41934" wp14:editId="22F34B52">
          <wp:simplePos x="0" y="0"/>
          <wp:positionH relativeFrom="page">
            <wp:align>left</wp:align>
          </wp:positionH>
          <wp:positionV relativeFrom="paragraph">
            <wp:posOffset>-114935</wp:posOffset>
          </wp:positionV>
          <wp:extent cx="7543800" cy="722119"/>
          <wp:effectExtent l="0" t="0" r="0" b="1905"/>
          <wp:wrapNone/>
          <wp:docPr id="311386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02543" name="Picture 955102543"/>
                  <pic:cNvPicPr/>
                </pic:nvPicPr>
                <pic:blipFill>
                  <a:blip r:embed="rId1">
                    <a:extLst>
                      <a:ext uri="{28A0092B-C50C-407E-A947-70E740481C1C}">
                        <a14:useLocalDpi xmlns:a14="http://schemas.microsoft.com/office/drawing/2010/main" val="0"/>
                      </a:ext>
                    </a:extLst>
                  </a:blip>
                  <a:stretch>
                    <a:fillRect/>
                  </a:stretch>
                </pic:blipFill>
                <pic:spPr>
                  <a:xfrm>
                    <a:off x="0" y="0"/>
                    <a:ext cx="7543800" cy="72211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86159" w14:textId="77777777" w:rsidR="00EB7B0A" w:rsidRDefault="00EB7B0A" w:rsidP="00681903">
      <w:r>
        <w:separator/>
      </w:r>
    </w:p>
  </w:footnote>
  <w:footnote w:type="continuationSeparator" w:id="0">
    <w:p w14:paraId="101D77AF" w14:textId="77777777" w:rsidR="00EB7B0A" w:rsidRDefault="00EB7B0A" w:rsidP="00681903">
      <w:r>
        <w:continuationSeparator/>
      </w:r>
    </w:p>
  </w:footnote>
  <w:footnote w:type="continuationNotice" w:id="1">
    <w:p w14:paraId="708C4A53" w14:textId="77777777" w:rsidR="00EB7B0A" w:rsidRDefault="00EB7B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D302" w14:textId="1C5D2E0B" w:rsidR="005E7187" w:rsidRDefault="00145A98" w:rsidP="00681903">
    <w:pPr>
      <w:pStyle w:val="Header"/>
    </w:pPr>
    <w:r>
      <w:rPr>
        <w:noProof/>
      </w:rPr>
      <w:drawing>
        <wp:anchor distT="0" distB="0" distL="114300" distR="114300" simplePos="0" relativeHeight="251658240" behindDoc="1" locked="0" layoutInCell="1" allowOverlap="1" wp14:anchorId="3DBC23A1" wp14:editId="46DCA1C2">
          <wp:simplePos x="0" y="0"/>
          <wp:positionH relativeFrom="column">
            <wp:posOffset>-127000</wp:posOffset>
          </wp:positionH>
          <wp:positionV relativeFrom="paragraph">
            <wp:posOffset>118582</wp:posOffset>
          </wp:positionV>
          <wp:extent cx="1756372" cy="292199"/>
          <wp:effectExtent l="0" t="0" r="0" b="0"/>
          <wp:wrapNone/>
          <wp:docPr id="889289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35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56372" cy="292199"/>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fxk2O7jugkJN1b" int2:id="4oQ3ycoO">
      <int2:state int2:value="Rejected" int2:type="spell"/>
    </int2:textHash>
    <int2:textHash int2:hashCode="275oFrQQZrD+vE" int2:id="ErIzY63V">
      <int2:state int2:value="Rejected" int2:type="spell"/>
    </int2:textHash>
    <int2:textHash int2:hashCode="AvYC096IQg+nnK" int2:id="I4hKHZhN">
      <int2:state int2:value="Rejected" int2:type="spell"/>
    </int2:textHash>
    <int2:textHash int2:hashCode="fClGexYHcGMJ8X" int2:id="IKNsIzUS">
      <int2:state int2:value="Rejected" int2:type="spell"/>
    </int2:textHash>
    <int2:textHash int2:hashCode="B6ngT0dyBcK4NM" int2:id="P6KzMBea">
      <int2:state int2:value="Rejected" int2:type="spell"/>
    </int2:textHash>
    <int2:textHash int2:hashCode="G0mPpvZjgkITJ1" int2:id="YwfvIrxV">
      <int2:state int2:value="Rejected" int2:type="spell"/>
    </int2:textHash>
    <int2:textHash int2:hashCode="ljyZRGsFDeFYwV" int2:id="ZGUso6B7">
      <int2:state int2:value="Rejected" int2:type="spell"/>
    </int2:textHash>
    <int2:textHash int2:hashCode="py8xSvCoZjLnL1" int2:id="b2OA7Pyu">
      <int2:state int2:value="Rejected" int2:type="spell"/>
    </int2:textHash>
    <int2:textHash int2:hashCode="lqElMt6nbOwmiQ" int2:id="c9Mxo65U">
      <int2:state int2:value="Rejected" int2:type="spell"/>
    </int2:textHash>
    <int2:textHash int2:hashCode="fpQ07TJZ5en7E+" int2:id="uT58Sxe4">
      <int2:state int2:value="Rejected" int2:type="spell"/>
    </int2:textHash>
    <int2:textHash int2:hashCode="f3wp0+7pLonOZr" int2:id="zxr3k73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647D"/>
    <w:multiLevelType w:val="hybridMultilevel"/>
    <w:tmpl w:val="C662211E"/>
    <w:lvl w:ilvl="0" w:tplc="C4E0427C">
      <w:start w:val="1"/>
      <w:numFmt w:val="bullet"/>
      <w:lvlText w:val=""/>
      <w:lvlJc w:val="left"/>
      <w:pPr>
        <w:ind w:left="720" w:hanging="360"/>
      </w:pPr>
      <w:rPr>
        <w:rFonts w:ascii="Symbol" w:hAnsi="Symbol" w:hint="default"/>
      </w:rPr>
    </w:lvl>
    <w:lvl w:ilvl="1" w:tplc="FF82A8FC">
      <w:start w:val="1"/>
      <w:numFmt w:val="bullet"/>
      <w:lvlText w:val="o"/>
      <w:lvlJc w:val="left"/>
      <w:pPr>
        <w:ind w:left="1440" w:hanging="360"/>
      </w:pPr>
      <w:rPr>
        <w:rFonts w:ascii="Courier New" w:hAnsi="Courier New" w:hint="default"/>
      </w:rPr>
    </w:lvl>
    <w:lvl w:ilvl="2" w:tplc="50289806">
      <w:start w:val="1"/>
      <w:numFmt w:val="bullet"/>
      <w:lvlText w:val=""/>
      <w:lvlJc w:val="left"/>
      <w:pPr>
        <w:ind w:left="2160" w:hanging="360"/>
      </w:pPr>
      <w:rPr>
        <w:rFonts w:ascii="Wingdings" w:hAnsi="Wingdings" w:hint="default"/>
      </w:rPr>
    </w:lvl>
    <w:lvl w:ilvl="3" w:tplc="B11AABBA">
      <w:start w:val="1"/>
      <w:numFmt w:val="bullet"/>
      <w:lvlText w:val=""/>
      <w:lvlJc w:val="left"/>
      <w:pPr>
        <w:ind w:left="2880" w:hanging="360"/>
      </w:pPr>
      <w:rPr>
        <w:rFonts w:ascii="Symbol" w:hAnsi="Symbol" w:hint="default"/>
      </w:rPr>
    </w:lvl>
    <w:lvl w:ilvl="4" w:tplc="987E9592">
      <w:start w:val="1"/>
      <w:numFmt w:val="bullet"/>
      <w:lvlText w:val="o"/>
      <w:lvlJc w:val="left"/>
      <w:pPr>
        <w:ind w:left="3600" w:hanging="360"/>
      </w:pPr>
      <w:rPr>
        <w:rFonts w:ascii="Courier New" w:hAnsi="Courier New" w:hint="default"/>
      </w:rPr>
    </w:lvl>
    <w:lvl w:ilvl="5" w:tplc="AB6CFA7E">
      <w:start w:val="1"/>
      <w:numFmt w:val="bullet"/>
      <w:lvlText w:val=""/>
      <w:lvlJc w:val="left"/>
      <w:pPr>
        <w:ind w:left="4320" w:hanging="360"/>
      </w:pPr>
      <w:rPr>
        <w:rFonts w:ascii="Wingdings" w:hAnsi="Wingdings" w:hint="default"/>
      </w:rPr>
    </w:lvl>
    <w:lvl w:ilvl="6" w:tplc="56A6A7DA">
      <w:start w:val="1"/>
      <w:numFmt w:val="bullet"/>
      <w:lvlText w:val=""/>
      <w:lvlJc w:val="left"/>
      <w:pPr>
        <w:ind w:left="5040" w:hanging="360"/>
      </w:pPr>
      <w:rPr>
        <w:rFonts w:ascii="Symbol" w:hAnsi="Symbol" w:hint="default"/>
      </w:rPr>
    </w:lvl>
    <w:lvl w:ilvl="7" w:tplc="C23C244E">
      <w:start w:val="1"/>
      <w:numFmt w:val="bullet"/>
      <w:lvlText w:val="o"/>
      <w:lvlJc w:val="left"/>
      <w:pPr>
        <w:ind w:left="5760" w:hanging="360"/>
      </w:pPr>
      <w:rPr>
        <w:rFonts w:ascii="Courier New" w:hAnsi="Courier New" w:hint="default"/>
      </w:rPr>
    </w:lvl>
    <w:lvl w:ilvl="8" w:tplc="3802F148">
      <w:start w:val="1"/>
      <w:numFmt w:val="bullet"/>
      <w:lvlText w:val=""/>
      <w:lvlJc w:val="left"/>
      <w:pPr>
        <w:ind w:left="6480" w:hanging="360"/>
      </w:pPr>
      <w:rPr>
        <w:rFonts w:ascii="Wingdings" w:hAnsi="Wingdings" w:hint="default"/>
      </w:rPr>
    </w:lvl>
  </w:abstractNum>
  <w:abstractNum w:abstractNumId="1" w15:restartNumberingAfterBreak="0">
    <w:nsid w:val="25D91160"/>
    <w:multiLevelType w:val="hybridMultilevel"/>
    <w:tmpl w:val="0824B51C"/>
    <w:lvl w:ilvl="0" w:tplc="8DC2C5F4">
      <w:start w:val="1"/>
      <w:numFmt w:val="bullet"/>
      <w:lvlText w:val=""/>
      <w:lvlJc w:val="left"/>
      <w:pPr>
        <w:ind w:left="720" w:hanging="360"/>
      </w:pPr>
      <w:rPr>
        <w:rFonts w:ascii="Symbol" w:hAnsi="Symbol" w:hint="default"/>
      </w:rPr>
    </w:lvl>
    <w:lvl w:ilvl="1" w:tplc="96DE64AA">
      <w:start w:val="1"/>
      <w:numFmt w:val="bullet"/>
      <w:lvlText w:val="o"/>
      <w:lvlJc w:val="left"/>
      <w:pPr>
        <w:ind w:left="1440" w:hanging="360"/>
      </w:pPr>
      <w:rPr>
        <w:rFonts w:ascii="Courier New" w:hAnsi="Courier New" w:hint="default"/>
      </w:rPr>
    </w:lvl>
    <w:lvl w:ilvl="2" w:tplc="6EBA5184">
      <w:start w:val="1"/>
      <w:numFmt w:val="bullet"/>
      <w:lvlText w:val=""/>
      <w:lvlJc w:val="left"/>
      <w:pPr>
        <w:ind w:left="2160" w:hanging="360"/>
      </w:pPr>
      <w:rPr>
        <w:rFonts w:ascii="Wingdings" w:hAnsi="Wingdings" w:hint="default"/>
      </w:rPr>
    </w:lvl>
    <w:lvl w:ilvl="3" w:tplc="C368E440">
      <w:start w:val="1"/>
      <w:numFmt w:val="bullet"/>
      <w:lvlText w:val=""/>
      <w:lvlJc w:val="left"/>
      <w:pPr>
        <w:ind w:left="2880" w:hanging="360"/>
      </w:pPr>
      <w:rPr>
        <w:rFonts w:ascii="Symbol" w:hAnsi="Symbol" w:hint="default"/>
      </w:rPr>
    </w:lvl>
    <w:lvl w:ilvl="4" w:tplc="1CF67D2C">
      <w:start w:val="1"/>
      <w:numFmt w:val="bullet"/>
      <w:lvlText w:val="o"/>
      <w:lvlJc w:val="left"/>
      <w:pPr>
        <w:ind w:left="3600" w:hanging="360"/>
      </w:pPr>
      <w:rPr>
        <w:rFonts w:ascii="Courier New" w:hAnsi="Courier New" w:hint="default"/>
      </w:rPr>
    </w:lvl>
    <w:lvl w:ilvl="5" w:tplc="85E2AC7C">
      <w:start w:val="1"/>
      <w:numFmt w:val="bullet"/>
      <w:lvlText w:val=""/>
      <w:lvlJc w:val="left"/>
      <w:pPr>
        <w:ind w:left="4320" w:hanging="360"/>
      </w:pPr>
      <w:rPr>
        <w:rFonts w:ascii="Wingdings" w:hAnsi="Wingdings" w:hint="default"/>
      </w:rPr>
    </w:lvl>
    <w:lvl w:ilvl="6" w:tplc="A6B28F4A">
      <w:start w:val="1"/>
      <w:numFmt w:val="bullet"/>
      <w:lvlText w:val=""/>
      <w:lvlJc w:val="left"/>
      <w:pPr>
        <w:ind w:left="5040" w:hanging="360"/>
      </w:pPr>
      <w:rPr>
        <w:rFonts w:ascii="Symbol" w:hAnsi="Symbol" w:hint="default"/>
      </w:rPr>
    </w:lvl>
    <w:lvl w:ilvl="7" w:tplc="8800D1EA">
      <w:start w:val="1"/>
      <w:numFmt w:val="bullet"/>
      <w:lvlText w:val="o"/>
      <w:lvlJc w:val="left"/>
      <w:pPr>
        <w:ind w:left="5760" w:hanging="360"/>
      </w:pPr>
      <w:rPr>
        <w:rFonts w:ascii="Courier New" w:hAnsi="Courier New" w:hint="default"/>
      </w:rPr>
    </w:lvl>
    <w:lvl w:ilvl="8" w:tplc="9B7A05EE">
      <w:start w:val="1"/>
      <w:numFmt w:val="bullet"/>
      <w:lvlText w:val=""/>
      <w:lvlJc w:val="left"/>
      <w:pPr>
        <w:ind w:left="6480" w:hanging="360"/>
      </w:pPr>
      <w:rPr>
        <w:rFonts w:ascii="Wingdings" w:hAnsi="Wingdings" w:hint="default"/>
      </w:rPr>
    </w:lvl>
  </w:abstractNum>
  <w:abstractNum w:abstractNumId="2" w15:restartNumberingAfterBreak="0">
    <w:nsid w:val="25F97DBA"/>
    <w:multiLevelType w:val="hybridMultilevel"/>
    <w:tmpl w:val="340CFF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41AEA7C"/>
    <w:multiLevelType w:val="hybridMultilevel"/>
    <w:tmpl w:val="0F5217E6"/>
    <w:lvl w:ilvl="0" w:tplc="4C1C254E">
      <w:start w:val="1"/>
      <w:numFmt w:val="bullet"/>
      <w:lvlText w:val=""/>
      <w:lvlJc w:val="left"/>
      <w:pPr>
        <w:ind w:left="720" w:hanging="360"/>
      </w:pPr>
      <w:rPr>
        <w:rFonts w:ascii="Symbol" w:hAnsi="Symbol" w:hint="default"/>
      </w:rPr>
    </w:lvl>
    <w:lvl w:ilvl="1" w:tplc="ADD436CA">
      <w:start w:val="1"/>
      <w:numFmt w:val="bullet"/>
      <w:lvlText w:val="o"/>
      <w:lvlJc w:val="left"/>
      <w:pPr>
        <w:ind w:left="1440" w:hanging="360"/>
      </w:pPr>
      <w:rPr>
        <w:rFonts w:ascii="Courier New" w:hAnsi="Courier New" w:hint="default"/>
      </w:rPr>
    </w:lvl>
    <w:lvl w:ilvl="2" w:tplc="468277DE">
      <w:start w:val="1"/>
      <w:numFmt w:val="bullet"/>
      <w:lvlText w:val=""/>
      <w:lvlJc w:val="left"/>
      <w:pPr>
        <w:ind w:left="2160" w:hanging="360"/>
      </w:pPr>
      <w:rPr>
        <w:rFonts w:ascii="Wingdings" w:hAnsi="Wingdings" w:hint="default"/>
      </w:rPr>
    </w:lvl>
    <w:lvl w:ilvl="3" w:tplc="EC38BAC0">
      <w:start w:val="1"/>
      <w:numFmt w:val="bullet"/>
      <w:lvlText w:val=""/>
      <w:lvlJc w:val="left"/>
      <w:pPr>
        <w:ind w:left="2880" w:hanging="360"/>
      </w:pPr>
      <w:rPr>
        <w:rFonts w:ascii="Symbol" w:hAnsi="Symbol" w:hint="default"/>
      </w:rPr>
    </w:lvl>
    <w:lvl w:ilvl="4" w:tplc="FE64E400">
      <w:start w:val="1"/>
      <w:numFmt w:val="bullet"/>
      <w:lvlText w:val="o"/>
      <w:lvlJc w:val="left"/>
      <w:pPr>
        <w:ind w:left="3600" w:hanging="360"/>
      </w:pPr>
      <w:rPr>
        <w:rFonts w:ascii="Courier New" w:hAnsi="Courier New" w:hint="default"/>
      </w:rPr>
    </w:lvl>
    <w:lvl w:ilvl="5" w:tplc="8ED89F62">
      <w:start w:val="1"/>
      <w:numFmt w:val="bullet"/>
      <w:lvlText w:val=""/>
      <w:lvlJc w:val="left"/>
      <w:pPr>
        <w:ind w:left="4320" w:hanging="360"/>
      </w:pPr>
      <w:rPr>
        <w:rFonts w:ascii="Wingdings" w:hAnsi="Wingdings" w:hint="default"/>
      </w:rPr>
    </w:lvl>
    <w:lvl w:ilvl="6" w:tplc="235E1814">
      <w:start w:val="1"/>
      <w:numFmt w:val="bullet"/>
      <w:lvlText w:val=""/>
      <w:lvlJc w:val="left"/>
      <w:pPr>
        <w:ind w:left="5040" w:hanging="360"/>
      </w:pPr>
      <w:rPr>
        <w:rFonts w:ascii="Symbol" w:hAnsi="Symbol" w:hint="default"/>
      </w:rPr>
    </w:lvl>
    <w:lvl w:ilvl="7" w:tplc="0D58502A">
      <w:start w:val="1"/>
      <w:numFmt w:val="bullet"/>
      <w:lvlText w:val="o"/>
      <w:lvlJc w:val="left"/>
      <w:pPr>
        <w:ind w:left="5760" w:hanging="360"/>
      </w:pPr>
      <w:rPr>
        <w:rFonts w:ascii="Courier New" w:hAnsi="Courier New" w:hint="default"/>
      </w:rPr>
    </w:lvl>
    <w:lvl w:ilvl="8" w:tplc="D53842EC">
      <w:start w:val="1"/>
      <w:numFmt w:val="bullet"/>
      <w:lvlText w:val=""/>
      <w:lvlJc w:val="left"/>
      <w:pPr>
        <w:ind w:left="6480" w:hanging="360"/>
      </w:pPr>
      <w:rPr>
        <w:rFonts w:ascii="Wingdings" w:hAnsi="Wingdings" w:hint="default"/>
      </w:rPr>
    </w:lvl>
  </w:abstractNum>
  <w:abstractNum w:abstractNumId="4" w15:restartNumberingAfterBreak="0">
    <w:nsid w:val="502E2823"/>
    <w:multiLevelType w:val="hybridMultilevel"/>
    <w:tmpl w:val="AB02087C"/>
    <w:lvl w:ilvl="0" w:tplc="377AB00C">
      <w:start w:val="1"/>
      <w:numFmt w:val="bullet"/>
      <w:lvlText w:val=""/>
      <w:lvlJc w:val="left"/>
      <w:pPr>
        <w:ind w:left="720" w:hanging="360"/>
      </w:pPr>
      <w:rPr>
        <w:rFonts w:ascii="Symbol" w:hAnsi="Symbol" w:hint="default"/>
        <w:color w:val="212133"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0302995">
    <w:abstractNumId w:val="3"/>
  </w:num>
  <w:num w:numId="2" w16cid:durableId="1784880119">
    <w:abstractNumId w:val="1"/>
  </w:num>
  <w:num w:numId="3" w16cid:durableId="1753309741">
    <w:abstractNumId w:val="0"/>
  </w:num>
  <w:num w:numId="4" w16cid:durableId="1775243987">
    <w:abstractNumId w:val="4"/>
  </w:num>
  <w:num w:numId="5" w16cid:durableId="53890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37"/>
    <w:rsid w:val="00005768"/>
    <w:rsid w:val="000069B1"/>
    <w:rsid w:val="00010B28"/>
    <w:rsid w:val="00012629"/>
    <w:rsid w:val="00033AFF"/>
    <w:rsid w:val="0003637A"/>
    <w:rsid w:val="00043C20"/>
    <w:rsid w:val="00044F47"/>
    <w:rsid w:val="0004680D"/>
    <w:rsid w:val="0005480C"/>
    <w:rsid w:val="000557D6"/>
    <w:rsid w:val="00055D40"/>
    <w:rsid w:val="00057903"/>
    <w:rsid w:val="00061766"/>
    <w:rsid w:val="000620E6"/>
    <w:rsid w:val="00063C9F"/>
    <w:rsid w:val="000661DF"/>
    <w:rsid w:val="00067EEA"/>
    <w:rsid w:val="00072F25"/>
    <w:rsid w:val="00077BA7"/>
    <w:rsid w:val="00080B43"/>
    <w:rsid w:val="000813EC"/>
    <w:rsid w:val="00081571"/>
    <w:rsid w:val="000879F6"/>
    <w:rsid w:val="00093E50"/>
    <w:rsid w:val="000A335B"/>
    <w:rsid w:val="000A54FB"/>
    <w:rsid w:val="000A55DA"/>
    <w:rsid w:val="000B77A7"/>
    <w:rsid w:val="000C57EA"/>
    <w:rsid w:val="000D0BF9"/>
    <w:rsid w:val="000D1CE3"/>
    <w:rsid w:val="000E2AE0"/>
    <w:rsid w:val="000E33A1"/>
    <w:rsid w:val="000E61B4"/>
    <w:rsid w:val="000F2661"/>
    <w:rsid w:val="00103F3F"/>
    <w:rsid w:val="00111FD7"/>
    <w:rsid w:val="0011248D"/>
    <w:rsid w:val="001136AE"/>
    <w:rsid w:val="0011769D"/>
    <w:rsid w:val="0012030A"/>
    <w:rsid w:val="00120785"/>
    <w:rsid w:val="001237B3"/>
    <w:rsid w:val="00130D70"/>
    <w:rsid w:val="00133F20"/>
    <w:rsid w:val="00136F9A"/>
    <w:rsid w:val="00141609"/>
    <w:rsid w:val="00145A98"/>
    <w:rsid w:val="0015020F"/>
    <w:rsid w:val="001671AE"/>
    <w:rsid w:val="001735C3"/>
    <w:rsid w:val="001743E0"/>
    <w:rsid w:val="00177A4C"/>
    <w:rsid w:val="001821CD"/>
    <w:rsid w:val="00183181"/>
    <w:rsid w:val="001850A3"/>
    <w:rsid w:val="00193205"/>
    <w:rsid w:val="001976A7"/>
    <w:rsid w:val="001A020C"/>
    <w:rsid w:val="001A1578"/>
    <w:rsid w:val="001A25AA"/>
    <w:rsid w:val="001A50DE"/>
    <w:rsid w:val="001C09A5"/>
    <w:rsid w:val="001C09D6"/>
    <w:rsid w:val="001C27CA"/>
    <w:rsid w:val="001C2D6D"/>
    <w:rsid w:val="001C7F9E"/>
    <w:rsid w:val="001D17A7"/>
    <w:rsid w:val="001D3201"/>
    <w:rsid w:val="001D73F6"/>
    <w:rsid w:val="001E72C8"/>
    <w:rsid w:val="001E7E31"/>
    <w:rsid w:val="001F6474"/>
    <w:rsid w:val="00201E81"/>
    <w:rsid w:val="0020515B"/>
    <w:rsid w:val="00210C38"/>
    <w:rsid w:val="00211440"/>
    <w:rsid w:val="00211654"/>
    <w:rsid w:val="002131C6"/>
    <w:rsid w:val="002172CA"/>
    <w:rsid w:val="0022185E"/>
    <w:rsid w:val="0022236C"/>
    <w:rsid w:val="00227CCA"/>
    <w:rsid w:val="00232328"/>
    <w:rsid w:val="00242CF6"/>
    <w:rsid w:val="00246426"/>
    <w:rsid w:val="00246DAC"/>
    <w:rsid w:val="002473AE"/>
    <w:rsid w:val="00250ED4"/>
    <w:rsid w:val="00252D3B"/>
    <w:rsid w:val="00254FF8"/>
    <w:rsid w:val="00257E1E"/>
    <w:rsid w:val="002604D7"/>
    <w:rsid w:val="002645C4"/>
    <w:rsid w:val="00264BD5"/>
    <w:rsid w:val="0026578B"/>
    <w:rsid w:val="00266665"/>
    <w:rsid w:val="00273318"/>
    <w:rsid w:val="0027381A"/>
    <w:rsid w:val="00275FAA"/>
    <w:rsid w:val="00282166"/>
    <w:rsid w:val="0028255A"/>
    <w:rsid w:val="002862F3"/>
    <w:rsid w:val="00287AC3"/>
    <w:rsid w:val="002912C3"/>
    <w:rsid w:val="0029177A"/>
    <w:rsid w:val="00297E78"/>
    <w:rsid w:val="002A237F"/>
    <w:rsid w:val="002A3AE1"/>
    <w:rsid w:val="002A3EF8"/>
    <w:rsid w:val="002A6CAE"/>
    <w:rsid w:val="002A7F85"/>
    <w:rsid w:val="002B6EC3"/>
    <w:rsid w:val="002C1AB6"/>
    <w:rsid w:val="002C3F8B"/>
    <w:rsid w:val="002D2483"/>
    <w:rsid w:val="002E34C0"/>
    <w:rsid w:val="002E5B0D"/>
    <w:rsid w:val="002E73B9"/>
    <w:rsid w:val="002E7519"/>
    <w:rsid w:val="002F1A1A"/>
    <w:rsid w:val="002F7147"/>
    <w:rsid w:val="00301164"/>
    <w:rsid w:val="003031FB"/>
    <w:rsid w:val="00303263"/>
    <w:rsid w:val="003062BE"/>
    <w:rsid w:val="00310C8A"/>
    <w:rsid w:val="00321534"/>
    <w:rsid w:val="00324069"/>
    <w:rsid w:val="00327FAD"/>
    <w:rsid w:val="00333AB6"/>
    <w:rsid w:val="00336E88"/>
    <w:rsid w:val="003419A6"/>
    <w:rsid w:val="00343909"/>
    <w:rsid w:val="00346567"/>
    <w:rsid w:val="003474DA"/>
    <w:rsid w:val="00354D10"/>
    <w:rsid w:val="00355B1D"/>
    <w:rsid w:val="00362F66"/>
    <w:rsid w:val="003724E2"/>
    <w:rsid w:val="003764EB"/>
    <w:rsid w:val="00380424"/>
    <w:rsid w:val="00382D74"/>
    <w:rsid w:val="003862AA"/>
    <w:rsid w:val="00392C41"/>
    <w:rsid w:val="00397A0C"/>
    <w:rsid w:val="003A6D23"/>
    <w:rsid w:val="003A7403"/>
    <w:rsid w:val="003B705E"/>
    <w:rsid w:val="003B70C5"/>
    <w:rsid w:val="003B75AE"/>
    <w:rsid w:val="003C2CDE"/>
    <w:rsid w:val="003C38AA"/>
    <w:rsid w:val="003C3A1B"/>
    <w:rsid w:val="003D11FB"/>
    <w:rsid w:val="003E1426"/>
    <w:rsid w:val="003E651D"/>
    <w:rsid w:val="003F034B"/>
    <w:rsid w:val="003F1398"/>
    <w:rsid w:val="003F23C7"/>
    <w:rsid w:val="00410EA3"/>
    <w:rsid w:val="00420768"/>
    <w:rsid w:val="00422E4E"/>
    <w:rsid w:val="00423588"/>
    <w:rsid w:val="004248FD"/>
    <w:rsid w:val="00436E6C"/>
    <w:rsid w:val="00442160"/>
    <w:rsid w:val="00444011"/>
    <w:rsid w:val="00453A86"/>
    <w:rsid w:val="004576BB"/>
    <w:rsid w:val="00460DBE"/>
    <w:rsid w:val="004709C9"/>
    <w:rsid w:val="0047523D"/>
    <w:rsid w:val="00477AB9"/>
    <w:rsid w:val="004805CD"/>
    <w:rsid w:val="00483EA6"/>
    <w:rsid w:val="00487071"/>
    <w:rsid w:val="00490A4A"/>
    <w:rsid w:val="00492EFE"/>
    <w:rsid w:val="00495AD5"/>
    <w:rsid w:val="004A0AA0"/>
    <w:rsid w:val="004A2034"/>
    <w:rsid w:val="004A2620"/>
    <w:rsid w:val="004A316A"/>
    <w:rsid w:val="004A342D"/>
    <w:rsid w:val="004B1BE6"/>
    <w:rsid w:val="004B53F2"/>
    <w:rsid w:val="004B5C0A"/>
    <w:rsid w:val="004C0089"/>
    <w:rsid w:val="004C382C"/>
    <w:rsid w:val="004D08D3"/>
    <w:rsid w:val="004D4F56"/>
    <w:rsid w:val="004D7634"/>
    <w:rsid w:val="004E03E2"/>
    <w:rsid w:val="004E050D"/>
    <w:rsid w:val="004E71BC"/>
    <w:rsid w:val="004F06B4"/>
    <w:rsid w:val="004F7F78"/>
    <w:rsid w:val="00500A3F"/>
    <w:rsid w:val="0050127F"/>
    <w:rsid w:val="005029AC"/>
    <w:rsid w:val="00504CC5"/>
    <w:rsid w:val="005114A6"/>
    <w:rsid w:val="005129FF"/>
    <w:rsid w:val="00513A9A"/>
    <w:rsid w:val="00517CE0"/>
    <w:rsid w:val="00520014"/>
    <w:rsid w:val="00520A6C"/>
    <w:rsid w:val="00520ABC"/>
    <w:rsid w:val="0053155A"/>
    <w:rsid w:val="00532919"/>
    <w:rsid w:val="00533722"/>
    <w:rsid w:val="0053374D"/>
    <w:rsid w:val="00535A6A"/>
    <w:rsid w:val="005402D5"/>
    <w:rsid w:val="00540C53"/>
    <w:rsid w:val="00544376"/>
    <w:rsid w:val="00560083"/>
    <w:rsid w:val="005607DD"/>
    <w:rsid w:val="005612D5"/>
    <w:rsid w:val="00563818"/>
    <w:rsid w:val="0056697E"/>
    <w:rsid w:val="00566ADD"/>
    <w:rsid w:val="00575904"/>
    <w:rsid w:val="005908F2"/>
    <w:rsid w:val="00591698"/>
    <w:rsid w:val="005A38BA"/>
    <w:rsid w:val="005A3AB9"/>
    <w:rsid w:val="005A64D3"/>
    <w:rsid w:val="005A70B3"/>
    <w:rsid w:val="005B0386"/>
    <w:rsid w:val="005B294E"/>
    <w:rsid w:val="005B323E"/>
    <w:rsid w:val="005B4E6E"/>
    <w:rsid w:val="005C37D4"/>
    <w:rsid w:val="005D0107"/>
    <w:rsid w:val="005D1F8A"/>
    <w:rsid w:val="005D48C5"/>
    <w:rsid w:val="005E624B"/>
    <w:rsid w:val="005E6F77"/>
    <w:rsid w:val="005E7187"/>
    <w:rsid w:val="005F269D"/>
    <w:rsid w:val="006029A8"/>
    <w:rsid w:val="00603E15"/>
    <w:rsid w:val="00611F68"/>
    <w:rsid w:val="006217C3"/>
    <w:rsid w:val="00631E08"/>
    <w:rsid w:val="00636FB1"/>
    <w:rsid w:val="00640F43"/>
    <w:rsid w:val="0064653F"/>
    <w:rsid w:val="00646C4B"/>
    <w:rsid w:val="00657299"/>
    <w:rsid w:val="00664717"/>
    <w:rsid w:val="00672CC7"/>
    <w:rsid w:val="00680BE1"/>
    <w:rsid w:val="00681903"/>
    <w:rsid w:val="006829C2"/>
    <w:rsid w:val="00684E04"/>
    <w:rsid w:val="0068603D"/>
    <w:rsid w:val="00690C9E"/>
    <w:rsid w:val="00693EAC"/>
    <w:rsid w:val="00694250"/>
    <w:rsid w:val="006977D2"/>
    <w:rsid w:val="006B09D0"/>
    <w:rsid w:val="006B26D0"/>
    <w:rsid w:val="006B27E0"/>
    <w:rsid w:val="006C02AA"/>
    <w:rsid w:val="006C21C4"/>
    <w:rsid w:val="006D0C6E"/>
    <w:rsid w:val="006E603E"/>
    <w:rsid w:val="006E664D"/>
    <w:rsid w:val="006E76FD"/>
    <w:rsid w:val="006F307B"/>
    <w:rsid w:val="006F38C6"/>
    <w:rsid w:val="006F6423"/>
    <w:rsid w:val="00701EE3"/>
    <w:rsid w:val="00706D0C"/>
    <w:rsid w:val="007103E8"/>
    <w:rsid w:val="007173D0"/>
    <w:rsid w:val="00725D7A"/>
    <w:rsid w:val="007309BF"/>
    <w:rsid w:val="007338A7"/>
    <w:rsid w:val="00734E98"/>
    <w:rsid w:val="00736C26"/>
    <w:rsid w:val="007407AE"/>
    <w:rsid w:val="00745E70"/>
    <w:rsid w:val="00755DE6"/>
    <w:rsid w:val="00756587"/>
    <w:rsid w:val="00761DC4"/>
    <w:rsid w:val="00761E8B"/>
    <w:rsid w:val="00762B59"/>
    <w:rsid w:val="0077022E"/>
    <w:rsid w:val="00772EB0"/>
    <w:rsid w:val="00781786"/>
    <w:rsid w:val="007867E3"/>
    <w:rsid w:val="00787779"/>
    <w:rsid w:val="0079004D"/>
    <w:rsid w:val="00791F45"/>
    <w:rsid w:val="00792CBE"/>
    <w:rsid w:val="00793A80"/>
    <w:rsid w:val="00794D3B"/>
    <w:rsid w:val="007A04B0"/>
    <w:rsid w:val="007A1F9F"/>
    <w:rsid w:val="007A60DE"/>
    <w:rsid w:val="007B562C"/>
    <w:rsid w:val="007D192D"/>
    <w:rsid w:val="007D3704"/>
    <w:rsid w:val="007D396A"/>
    <w:rsid w:val="007E1F8B"/>
    <w:rsid w:val="007E2D9A"/>
    <w:rsid w:val="007E3E11"/>
    <w:rsid w:val="007E7B5C"/>
    <w:rsid w:val="007F0066"/>
    <w:rsid w:val="007F0F15"/>
    <w:rsid w:val="008021EB"/>
    <w:rsid w:val="0080785A"/>
    <w:rsid w:val="00807D7C"/>
    <w:rsid w:val="00812395"/>
    <w:rsid w:val="0081355C"/>
    <w:rsid w:val="008136B9"/>
    <w:rsid w:val="00814D07"/>
    <w:rsid w:val="008154F9"/>
    <w:rsid w:val="00815C30"/>
    <w:rsid w:val="00815F7C"/>
    <w:rsid w:val="0081870C"/>
    <w:rsid w:val="008206E6"/>
    <w:rsid w:val="008208E4"/>
    <w:rsid w:val="00820C04"/>
    <w:rsid w:val="00820EE4"/>
    <w:rsid w:val="008234CE"/>
    <w:rsid w:val="00823E18"/>
    <w:rsid w:val="008258DC"/>
    <w:rsid w:val="008300C0"/>
    <w:rsid w:val="00835974"/>
    <w:rsid w:val="00845DA6"/>
    <w:rsid w:val="008477AA"/>
    <w:rsid w:val="00847A9A"/>
    <w:rsid w:val="0086667D"/>
    <w:rsid w:val="00866B5D"/>
    <w:rsid w:val="008671B8"/>
    <w:rsid w:val="008706A1"/>
    <w:rsid w:val="00873FF9"/>
    <w:rsid w:val="00874A1E"/>
    <w:rsid w:val="00880C8B"/>
    <w:rsid w:val="0088220F"/>
    <w:rsid w:val="00891E5A"/>
    <w:rsid w:val="008A1BE3"/>
    <w:rsid w:val="008A1CC5"/>
    <w:rsid w:val="008C6FDF"/>
    <w:rsid w:val="008D404F"/>
    <w:rsid w:val="008E0E6E"/>
    <w:rsid w:val="008E56F3"/>
    <w:rsid w:val="008F77BE"/>
    <w:rsid w:val="0090426D"/>
    <w:rsid w:val="0090507D"/>
    <w:rsid w:val="0091167C"/>
    <w:rsid w:val="0091377F"/>
    <w:rsid w:val="00922194"/>
    <w:rsid w:val="009221AF"/>
    <w:rsid w:val="00925015"/>
    <w:rsid w:val="0093143A"/>
    <w:rsid w:val="00933760"/>
    <w:rsid w:val="0093461F"/>
    <w:rsid w:val="00935A95"/>
    <w:rsid w:val="00937560"/>
    <w:rsid w:val="0094017F"/>
    <w:rsid w:val="00941D8E"/>
    <w:rsid w:val="00953A60"/>
    <w:rsid w:val="009563AF"/>
    <w:rsid w:val="0096148B"/>
    <w:rsid w:val="00962FE6"/>
    <w:rsid w:val="009716DE"/>
    <w:rsid w:val="0097401B"/>
    <w:rsid w:val="009766A6"/>
    <w:rsid w:val="0098021D"/>
    <w:rsid w:val="00982ACD"/>
    <w:rsid w:val="00991A68"/>
    <w:rsid w:val="00993B81"/>
    <w:rsid w:val="009A217C"/>
    <w:rsid w:val="009A2556"/>
    <w:rsid w:val="009A4011"/>
    <w:rsid w:val="009A534F"/>
    <w:rsid w:val="009A5FDC"/>
    <w:rsid w:val="009B063A"/>
    <w:rsid w:val="009C41D6"/>
    <w:rsid w:val="009C43DF"/>
    <w:rsid w:val="009D4975"/>
    <w:rsid w:val="009D5A44"/>
    <w:rsid w:val="009E0537"/>
    <w:rsid w:val="009E50A5"/>
    <w:rsid w:val="009E6F4C"/>
    <w:rsid w:val="009F0211"/>
    <w:rsid w:val="009F0A61"/>
    <w:rsid w:val="009F1035"/>
    <w:rsid w:val="00A01EA8"/>
    <w:rsid w:val="00A05790"/>
    <w:rsid w:val="00A0592E"/>
    <w:rsid w:val="00A0682A"/>
    <w:rsid w:val="00A10C61"/>
    <w:rsid w:val="00A11A64"/>
    <w:rsid w:val="00A160A1"/>
    <w:rsid w:val="00A16C87"/>
    <w:rsid w:val="00A17DBF"/>
    <w:rsid w:val="00A23B16"/>
    <w:rsid w:val="00A358D8"/>
    <w:rsid w:val="00A36380"/>
    <w:rsid w:val="00A41899"/>
    <w:rsid w:val="00A42251"/>
    <w:rsid w:val="00A5016C"/>
    <w:rsid w:val="00A52F40"/>
    <w:rsid w:val="00A541FF"/>
    <w:rsid w:val="00A56161"/>
    <w:rsid w:val="00A611ED"/>
    <w:rsid w:val="00A7179D"/>
    <w:rsid w:val="00A7264D"/>
    <w:rsid w:val="00A8160E"/>
    <w:rsid w:val="00A86D70"/>
    <w:rsid w:val="00A872E4"/>
    <w:rsid w:val="00A9475D"/>
    <w:rsid w:val="00A951DB"/>
    <w:rsid w:val="00AAD5FE"/>
    <w:rsid w:val="00AB0C9C"/>
    <w:rsid w:val="00AB1168"/>
    <w:rsid w:val="00AB116A"/>
    <w:rsid w:val="00AC0437"/>
    <w:rsid w:val="00AC0E02"/>
    <w:rsid w:val="00AC3CBB"/>
    <w:rsid w:val="00AC5C9C"/>
    <w:rsid w:val="00AD05E7"/>
    <w:rsid w:val="00AD1840"/>
    <w:rsid w:val="00AD76C2"/>
    <w:rsid w:val="00AE51CA"/>
    <w:rsid w:val="00AF4A9B"/>
    <w:rsid w:val="00B01168"/>
    <w:rsid w:val="00B01B58"/>
    <w:rsid w:val="00B01CC9"/>
    <w:rsid w:val="00B07E54"/>
    <w:rsid w:val="00B22B41"/>
    <w:rsid w:val="00B24C39"/>
    <w:rsid w:val="00B263DD"/>
    <w:rsid w:val="00B30513"/>
    <w:rsid w:val="00B307DC"/>
    <w:rsid w:val="00B3720D"/>
    <w:rsid w:val="00B405BF"/>
    <w:rsid w:val="00B44B0C"/>
    <w:rsid w:val="00B47F6D"/>
    <w:rsid w:val="00B50A48"/>
    <w:rsid w:val="00B511BD"/>
    <w:rsid w:val="00B56227"/>
    <w:rsid w:val="00B56AEB"/>
    <w:rsid w:val="00B61245"/>
    <w:rsid w:val="00B63488"/>
    <w:rsid w:val="00B66386"/>
    <w:rsid w:val="00B67878"/>
    <w:rsid w:val="00B721BE"/>
    <w:rsid w:val="00B73D1B"/>
    <w:rsid w:val="00B74028"/>
    <w:rsid w:val="00B8576F"/>
    <w:rsid w:val="00B86788"/>
    <w:rsid w:val="00B936A4"/>
    <w:rsid w:val="00BA3B3D"/>
    <w:rsid w:val="00BA5769"/>
    <w:rsid w:val="00BA6114"/>
    <w:rsid w:val="00BB05F4"/>
    <w:rsid w:val="00BC0083"/>
    <w:rsid w:val="00BC0B2B"/>
    <w:rsid w:val="00BC4EAE"/>
    <w:rsid w:val="00BD42B9"/>
    <w:rsid w:val="00BD443B"/>
    <w:rsid w:val="00BD5312"/>
    <w:rsid w:val="00BE13A1"/>
    <w:rsid w:val="00BE2FD5"/>
    <w:rsid w:val="00BE303D"/>
    <w:rsid w:val="00BF1478"/>
    <w:rsid w:val="00BF1B3E"/>
    <w:rsid w:val="00BF2515"/>
    <w:rsid w:val="00C0B9A7"/>
    <w:rsid w:val="00C16A0E"/>
    <w:rsid w:val="00C1737D"/>
    <w:rsid w:val="00C21254"/>
    <w:rsid w:val="00C275FA"/>
    <w:rsid w:val="00C27DA0"/>
    <w:rsid w:val="00C30CF7"/>
    <w:rsid w:val="00C3294A"/>
    <w:rsid w:val="00C37FA6"/>
    <w:rsid w:val="00C43E83"/>
    <w:rsid w:val="00C50347"/>
    <w:rsid w:val="00C62E0C"/>
    <w:rsid w:val="00C65E86"/>
    <w:rsid w:val="00C72488"/>
    <w:rsid w:val="00C75016"/>
    <w:rsid w:val="00C8169F"/>
    <w:rsid w:val="00C83A59"/>
    <w:rsid w:val="00C8447A"/>
    <w:rsid w:val="00C86027"/>
    <w:rsid w:val="00C91176"/>
    <w:rsid w:val="00C9514D"/>
    <w:rsid w:val="00C974BF"/>
    <w:rsid w:val="00C97B7E"/>
    <w:rsid w:val="00CB6AEB"/>
    <w:rsid w:val="00CC58BF"/>
    <w:rsid w:val="00CC6641"/>
    <w:rsid w:val="00CC719B"/>
    <w:rsid w:val="00CC7376"/>
    <w:rsid w:val="00CD2ABD"/>
    <w:rsid w:val="00CD399B"/>
    <w:rsid w:val="00CD5B61"/>
    <w:rsid w:val="00CD60A8"/>
    <w:rsid w:val="00CD657A"/>
    <w:rsid w:val="00CD7584"/>
    <w:rsid w:val="00CE732A"/>
    <w:rsid w:val="00CF4191"/>
    <w:rsid w:val="00CF7CAF"/>
    <w:rsid w:val="00CF7EBA"/>
    <w:rsid w:val="00D051CA"/>
    <w:rsid w:val="00D12FCC"/>
    <w:rsid w:val="00D16007"/>
    <w:rsid w:val="00D1743E"/>
    <w:rsid w:val="00D26C74"/>
    <w:rsid w:val="00D27E6C"/>
    <w:rsid w:val="00D30E12"/>
    <w:rsid w:val="00D32A39"/>
    <w:rsid w:val="00D36690"/>
    <w:rsid w:val="00D614C3"/>
    <w:rsid w:val="00D620D9"/>
    <w:rsid w:val="00D660FA"/>
    <w:rsid w:val="00D66EB5"/>
    <w:rsid w:val="00D7036D"/>
    <w:rsid w:val="00D76EE9"/>
    <w:rsid w:val="00D80446"/>
    <w:rsid w:val="00D81BE5"/>
    <w:rsid w:val="00D82D2B"/>
    <w:rsid w:val="00D82E04"/>
    <w:rsid w:val="00DB088A"/>
    <w:rsid w:val="00DB0EFE"/>
    <w:rsid w:val="00DB461F"/>
    <w:rsid w:val="00DC7F58"/>
    <w:rsid w:val="00DD0369"/>
    <w:rsid w:val="00DD0DEA"/>
    <w:rsid w:val="00DE4418"/>
    <w:rsid w:val="00DE6F80"/>
    <w:rsid w:val="00E00663"/>
    <w:rsid w:val="00E00F42"/>
    <w:rsid w:val="00E0266B"/>
    <w:rsid w:val="00E10DBE"/>
    <w:rsid w:val="00E1459C"/>
    <w:rsid w:val="00E16B9C"/>
    <w:rsid w:val="00E213CF"/>
    <w:rsid w:val="00E213E6"/>
    <w:rsid w:val="00E25229"/>
    <w:rsid w:val="00E3028C"/>
    <w:rsid w:val="00E361E0"/>
    <w:rsid w:val="00E61570"/>
    <w:rsid w:val="00E63C86"/>
    <w:rsid w:val="00E65BBF"/>
    <w:rsid w:val="00E65C46"/>
    <w:rsid w:val="00E74941"/>
    <w:rsid w:val="00E749A7"/>
    <w:rsid w:val="00E82A6D"/>
    <w:rsid w:val="00E83E71"/>
    <w:rsid w:val="00E85559"/>
    <w:rsid w:val="00E87586"/>
    <w:rsid w:val="00E909DA"/>
    <w:rsid w:val="00E946BD"/>
    <w:rsid w:val="00EA3BA1"/>
    <w:rsid w:val="00EA4C1F"/>
    <w:rsid w:val="00EA5A7C"/>
    <w:rsid w:val="00EB05BC"/>
    <w:rsid w:val="00EB0ECC"/>
    <w:rsid w:val="00EB1487"/>
    <w:rsid w:val="00EB420B"/>
    <w:rsid w:val="00EB7B0A"/>
    <w:rsid w:val="00EC0923"/>
    <w:rsid w:val="00EC0A4C"/>
    <w:rsid w:val="00ED24FC"/>
    <w:rsid w:val="00ED31FE"/>
    <w:rsid w:val="00ED5DB1"/>
    <w:rsid w:val="00EE22C0"/>
    <w:rsid w:val="00EE6E01"/>
    <w:rsid w:val="00EF01EF"/>
    <w:rsid w:val="00EF083D"/>
    <w:rsid w:val="00EF2F84"/>
    <w:rsid w:val="00EF4F2A"/>
    <w:rsid w:val="00F02A97"/>
    <w:rsid w:val="00F0324F"/>
    <w:rsid w:val="00F036DF"/>
    <w:rsid w:val="00F15234"/>
    <w:rsid w:val="00F1534C"/>
    <w:rsid w:val="00F23833"/>
    <w:rsid w:val="00F404D0"/>
    <w:rsid w:val="00F43239"/>
    <w:rsid w:val="00F5110A"/>
    <w:rsid w:val="00F53708"/>
    <w:rsid w:val="00F5517B"/>
    <w:rsid w:val="00F5565F"/>
    <w:rsid w:val="00F55E2E"/>
    <w:rsid w:val="00F566E4"/>
    <w:rsid w:val="00F609E4"/>
    <w:rsid w:val="00F6176C"/>
    <w:rsid w:val="00F64632"/>
    <w:rsid w:val="00F7104E"/>
    <w:rsid w:val="00F76827"/>
    <w:rsid w:val="00F828F5"/>
    <w:rsid w:val="00F87F0D"/>
    <w:rsid w:val="00F93C31"/>
    <w:rsid w:val="00F9437A"/>
    <w:rsid w:val="00F9576B"/>
    <w:rsid w:val="00F977F4"/>
    <w:rsid w:val="00FA3A23"/>
    <w:rsid w:val="00FB3922"/>
    <w:rsid w:val="00FB685B"/>
    <w:rsid w:val="00FC0003"/>
    <w:rsid w:val="00FD4A69"/>
    <w:rsid w:val="00FD522E"/>
    <w:rsid w:val="00FD69F1"/>
    <w:rsid w:val="00FE00CD"/>
    <w:rsid w:val="00FE0B69"/>
    <w:rsid w:val="00FE126E"/>
    <w:rsid w:val="00FF01B1"/>
    <w:rsid w:val="00FF11E7"/>
    <w:rsid w:val="00FF2AB1"/>
    <w:rsid w:val="0110890C"/>
    <w:rsid w:val="0181D321"/>
    <w:rsid w:val="01CFE95B"/>
    <w:rsid w:val="022B39A4"/>
    <w:rsid w:val="0263ACD0"/>
    <w:rsid w:val="02A0497E"/>
    <w:rsid w:val="02E3D2C4"/>
    <w:rsid w:val="0301817F"/>
    <w:rsid w:val="03051B2C"/>
    <w:rsid w:val="032B9B58"/>
    <w:rsid w:val="0343D9BC"/>
    <w:rsid w:val="039C049D"/>
    <w:rsid w:val="03ED1B39"/>
    <w:rsid w:val="04CD040E"/>
    <w:rsid w:val="04D2615A"/>
    <w:rsid w:val="04EEB2ED"/>
    <w:rsid w:val="04EED690"/>
    <w:rsid w:val="04F032FC"/>
    <w:rsid w:val="04F61DD0"/>
    <w:rsid w:val="050673A5"/>
    <w:rsid w:val="051C6AE2"/>
    <w:rsid w:val="05445A62"/>
    <w:rsid w:val="05626E78"/>
    <w:rsid w:val="0568AD97"/>
    <w:rsid w:val="057137BE"/>
    <w:rsid w:val="057DE545"/>
    <w:rsid w:val="0609789A"/>
    <w:rsid w:val="06261C5E"/>
    <w:rsid w:val="0637A902"/>
    <w:rsid w:val="067EDA46"/>
    <w:rsid w:val="073E1E0C"/>
    <w:rsid w:val="074B3D74"/>
    <w:rsid w:val="07668953"/>
    <w:rsid w:val="07B11ADC"/>
    <w:rsid w:val="07B69696"/>
    <w:rsid w:val="07CEFA0D"/>
    <w:rsid w:val="07F3595F"/>
    <w:rsid w:val="08181B04"/>
    <w:rsid w:val="083A701F"/>
    <w:rsid w:val="086E3FB0"/>
    <w:rsid w:val="0879A4A4"/>
    <w:rsid w:val="08E7BF26"/>
    <w:rsid w:val="090C2517"/>
    <w:rsid w:val="0A31FF21"/>
    <w:rsid w:val="0AADA728"/>
    <w:rsid w:val="0B0D65B5"/>
    <w:rsid w:val="0B1CD4A6"/>
    <w:rsid w:val="0B662C5C"/>
    <w:rsid w:val="0B9AC8C7"/>
    <w:rsid w:val="0BD1EDF7"/>
    <w:rsid w:val="0C3F1978"/>
    <w:rsid w:val="0C5BEF10"/>
    <w:rsid w:val="0C5BFFD1"/>
    <w:rsid w:val="0C602B06"/>
    <w:rsid w:val="0CDC0B2F"/>
    <w:rsid w:val="0D10F779"/>
    <w:rsid w:val="0D29E39C"/>
    <w:rsid w:val="0D41CB3D"/>
    <w:rsid w:val="0D938006"/>
    <w:rsid w:val="0DE027F9"/>
    <w:rsid w:val="0DEFDA0F"/>
    <w:rsid w:val="0DFD05D7"/>
    <w:rsid w:val="0DFD9B1A"/>
    <w:rsid w:val="0E0BF7EB"/>
    <w:rsid w:val="0E1D3883"/>
    <w:rsid w:val="0E6D3E36"/>
    <w:rsid w:val="0E82B243"/>
    <w:rsid w:val="0F878285"/>
    <w:rsid w:val="0FB9C734"/>
    <w:rsid w:val="0FDE689B"/>
    <w:rsid w:val="0FFC0494"/>
    <w:rsid w:val="107E85B9"/>
    <w:rsid w:val="10AE8178"/>
    <w:rsid w:val="1110FAF9"/>
    <w:rsid w:val="11ECADBE"/>
    <w:rsid w:val="126CEA23"/>
    <w:rsid w:val="128DBC29"/>
    <w:rsid w:val="12A92975"/>
    <w:rsid w:val="12C38742"/>
    <w:rsid w:val="12C706E7"/>
    <w:rsid w:val="12D9D246"/>
    <w:rsid w:val="12DE2323"/>
    <w:rsid w:val="12E35574"/>
    <w:rsid w:val="13027CDD"/>
    <w:rsid w:val="13427EA1"/>
    <w:rsid w:val="134467AF"/>
    <w:rsid w:val="1399340A"/>
    <w:rsid w:val="13F48974"/>
    <w:rsid w:val="1418A52E"/>
    <w:rsid w:val="14200CD3"/>
    <w:rsid w:val="143A93DC"/>
    <w:rsid w:val="14840889"/>
    <w:rsid w:val="1484BFD4"/>
    <w:rsid w:val="14A13022"/>
    <w:rsid w:val="15619A33"/>
    <w:rsid w:val="15EF0B97"/>
    <w:rsid w:val="1605E9D5"/>
    <w:rsid w:val="16669B2B"/>
    <w:rsid w:val="169A5DF8"/>
    <w:rsid w:val="16ECA2ED"/>
    <w:rsid w:val="172A4A6F"/>
    <w:rsid w:val="172C40D3"/>
    <w:rsid w:val="17881369"/>
    <w:rsid w:val="17A65801"/>
    <w:rsid w:val="17D36F97"/>
    <w:rsid w:val="180CBFEE"/>
    <w:rsid w:val="18110612"/>
    <w:rsid w:val="18AC8687"/>
    <w:rsid w:val="18C01178"/>
    <w:rsid w:val="19026700"/>
    <w:rsid w:val="19191785"/>
    <w:rsid w:val="194383A6"/>
    <w:rsid w:val="19FA004A"/>
    <w:rsid w:val="19FEC538"/>
    <w:rsid w:val="1A109CCA"/>
    <w:rsid w:val="1A1DBFBF"/>
    <w:rsid w:val="1A3CF4AB"/>
    <w:rsid w:val="1AF3F0FF"/>
    <w:rsid w:val="1B020F2B"/>
    <w:rsid w:val="1BB6A35B"/>
    <w:rsid w:val="1BD22A88"/>
    <w:rsid w:val="1BE56DF4"/>
    <w:rsid w:val="1C1549A1"/>
    <w:rsid w:val="1C22C5A9"/>
    <w:rsid w:val="1C240C14"/>
    <w:rsid w:val="1C898ECB"/>
    <w:rsid w:val="1C92AF61"/>
    <w:rsid w:val="1C9AEF88"/>
    <w:rsid w:val="1CD453FF"/>
    <w:rsid w:val="1D070BE1"/>
    <w:rsid w:val="1D0C4126"/>
    <w:rsid w:val="1D0F1FC9"/>
    <w:rsid w:val="1D102BEE"/>
    <w:rsid w:val="1D4E0E23"/>
    <w:rsid w:val="1D5C42C8"/>
    <w:rsid w:val="1DAC5FFF"/>
    <w:rsid w:val="1DB93265"/>
    <w:rsid w:val="1DD3F035"/>
    <w:rsid w:val="1E402B36"/>
    <w:rsid w:val="1E65477D"/>
    <w:rsid w:val="1E93B011"/>
    <w:rsid w:val="1EB8985C"/>
    <w:rsid w:val="1EBBBBF4"/>
    <w:rsid w:val="206B5191"/>
    <w:rsid w:val="208850F8"/>
    <w:rsid w:val="2151BAC2"/>
    <w:rsid w:val="2238370D"/>
    <w:rsid w:val="226618F7"/>
    <w:rsid w:val="22834FD2"/>
    <w:rsid w:val="2299271A"/>
    <w:rsid w:val="22ADFE11"/>
    <w:rsid w:val="22C3BEEF"/>
    <w:rsid w:val="22C7075E"/>
    <w:rsid w:val="22ECE927"/>
    <w:rsid w:val="231EED27"/>
    <w:rsid w:val="233DC3E0"/>
    <w:rsid w:val="234C71FE"/>
    <w:rsid w:val="24613DBE"/>
    <w:rsid w:val="252FCD25"/>
    <w:rsid w:val="2555BD02"/>
    <w:rsid w:val="2565944F"/>
    <w:rsid w:val="2587EC77"/>
    <w:rsid w:val="26274C48"/>
    <w:rsid w:val="266DDD90"/>
    <w:rsid w:val="2723A329"/>
    <w:rsid w:val="273C4E31"/>
    <w:rsid w:val="27712D68"/>
    <w:rsid w:val="27BAB586"/>
    <w:rsid w:val="27E466BB"/>
    <w:rsid w:val="28740406"/>
    <w:rsid w:val="287BFC53"/>
    <w:rsid w:val="2936D1D4"/>
    <w:rsid w:val="2945FE78"/>
    <w:rsid w:val="298F3569"/>
    <w:rsid w:val="2997D786"/>
    <w:rsid w:val="29B9C3C2"/>
    <w:rsid w:val="29FB397E"/>
    <w:rsid w:val="2A10C00F"/>
    <w:rsid w:val="2A36FB34"/>
    <w:rsid w:val="2A3F11D8"/>
    <w:rsid w:val="2A5D0A21"/>
    <w:rsid w:val="2A5DED67"/>
    <w:rsid w:val="2A6FBDFC"/>
    <w:rsid w:val="2B3C14D9"/>
    <w:rsid w:val="2B4E59AF"/>
    <w:rsid w:val="2BBB45AA"/>
    <w:rsid w:val="2BF29EA0"/>
    <w:rsid w:val="2C1CE50A"/>
    <w:rsid w:val="2C2564E7"/>
    <w:rsid w:val="2C722AC9"/>
    <w:rsid w:val="2D3DB110"/>
    <w:rsid w:val="2D67FFBD"/>
    <w:rsid w:val="2D866A18"/>
    <w:rsid w:val="2DCCD48D"/>
    <w:rsid w:val="2E7B07BC"/>
    <w:rsid w:val="2E8CF7C1"/>
    <w:rsid w:val="2EA1BB59"/>
    <w:rsid w:val="2EE7244C"/>
    <w:rsid w:val="2EE841C2"/>
    <w:rsid w:val="2F08BBA1"/>
    <w:rsid w:val="2F6737CA"/>
    <w:rsid w:val="2F81BA16"/>
    <w:rsid w:val="2F8B6701"/>
    <w:rsid w:val="2F9B0D44"/>
    <w:rsid w:val="2FA28302"/>
    <w:rsid w:val="2FB45068"/>
    <w:rsid w:val="2FB7F8A6"/>
    <w:rsid w:val="2FCED95C"/>
    <w:rsid w:val="2FDC48B4"/>
    <w:rsid w:val="2FDC57B7"/>
    <w:rsid w:val="2FE414D5"/>
    <w:rsid w:val="2FE57B39"/>
    <w:rsid w:val="2FFD1B87"/>
    <w:rsid w:val="3003EBE5"/>
    <w:rsid w:val="304F97BB"/>
    <w:rsid w:val="309DA0A0"/>
    <w:rsid w:val="30A125AF"/>
    <w:rsid w:val="30A86DA6"/>
    <w:rsid w:val="31297679"/>
    <w:rsid w:val="312DDBF3"/>
    <w:rsid w:val="312F9CBC"/>
    <w:rsid w:val="313C3B67"/>
    <w:rsid w:val="316C14B5"/>
    <w:rsid w:val="31CE7C61"/>
    <w:rsid w:val="3239428F"/>
    <w:rsid w:val="326A76AE"/>
    <w:rsid w:val="326CBA3A"/>
    <w:rsid w:val="32802DF5"/>
    <w:rsid w:val="32B5A2C4"/>
    <w:rsid w:val="32D701C4"/>
    <w:rsid w:val="32E46860"/>
    <w:rsid w:val="32E8C4DA"/>
    <w:rsid w:val="334D5800"/>
    <w:rsid w:val="3364AA6C"/>
    <w:rsid w:val="33D66005"/>
    <w:rsid w:val="34398057"/>
    <w:rsid w:val="34AEAADF"/>
    <w:rsid w:val="34F4D6C4"/>
    <w:rsid w:val="34FFD080"/>
    <w:rsid w:val="3519A945"/>
    <w:rsid w:val="353ED293"/>
    <w:rsid w:val="359E1EC6"/>
    <w:rsid w:val="35EA8583"/>
    <w:rsid w:val="362D857D"/>
    <w:rsid w:val="367F665D"/>
    <w:rsid w:val="36A5FED7"/>
    <w:rsid w:val="36AFECFA"/>
    <w:rsid w:val="36D60817"/>
    <w:rsid w:val="36F6CD36"/>
    <w:rsid w:val="3715ABAB"/>
    <w:rsid w:val="37495E7D"/>
    <w:rsid w:val="377F5545"/>
    <w:rsid w:val="37D49FC8"/>
    <w:rsid w:val="380D0361"/>
    <w:rsid w:val="380F5222"/>
    <w:rsid w:val="3820D065"/>
    <w:rsid w:val="384B14F4"/>
    <w:rsid w:val="385F89CD"/>
    <w:rsid w:val="387494DD"/>
    <w:rsid w:val="38984D6B"/>
    <w:rsid w:val="38B3F4E3"/>
    <w:rsid w:val="38BE0401"/>
    <w:rsid w:val="39386617"/>
    <w:rsid w:val="3959E19D"/>
    <w:rsid w:val="39F1DEFF"/>
    <w:rsid w:val="3A65D7BF"/>
    <w:rsid w:val="3A82CFFE"/>
    <w:rsid w:val="3AA38F3F"/>
    <w:rsid w:val="3ABF7F84"/>
    <w:rsid w:val="3B0F3B78"/>
    <w:rsid w:val="3B1C33C1"/>
    <w:rsid w:val="3B2F1AAD"/>
    <w:rsid w:val="3B713794"/>
    <w:rsid w:val="3B7D8027"/>
    <w:rsid w:val="3BA458AC"/>
    <w:rsid w:val="3BBF91B5"/>
    <w:rsid w:val="3C22FABD"/>
    <w:rsid w:val="3C23CD7D"/>
    <w:rsid w:val="3C5E127F"/>
    <w:rsid w:val="3CA7FC70"/>
    <w:rsid w:val="3D136B63"/>
    <w:rsid w:val="3DDEA8C9"/>
    <w:rsid w:val="3EBAFA04"/>
    <w:rsid w:val="3ED5F6FC"/>
    <w:rsid w:val="3EDA98E6"/>
    <w:rsid w:val="3EF58F87"/>
    <w:rsid w:val="3F82DF4A"/>
    <w:rsid w:val="3FB11138"/>
    <w:rsid w:val="3FC931FA"/>
    <w:rsid w:val="3FE56C6A"/>
    <w:rsid w:val="402FE1F0"/>
    <w:rsid w:val="403D4F76"/>
    <w:rsid w:val="40A75707"/>
    <w:rsid w:val="40E166F9"/>
    <w:rsid w:val="4152A5BF"/>
    <w:rsid w:val="4191B794"/>
    <w:rsid w:val="4199C1C1"/>
    <w:rsid w:val="41A79721"/>
    <w:rsid w:val="41F73F4D"/>
    <w:rsid w:val="41FB552D"/>
    <w:rsid w:val="424E406F"/>
    <w:rsid w:val="425E6908"/>
    <w:rsid w:val="42A6D85B"/>
    <w:rsid w:val="43329046"/>
    <w:rsid w:val="434D7FC1"/>
    <w:rsid w:val="43DEF843"/>
    <w:rsid w:val="442D28B2"/>
    <w:rsid w:val="446C17AD"/>
    <w:rsid w:val="44BDFBFC"/>
    <w:rsid w:val="44DB4620"/>
    <w:rsid w:val="453A7421"/>
    <w:rsid w:val="454E5947"/>
    <w:rsid w:val="45D6BB12"/>
    <w:rsid w:val="45E4A55F"/>
    <w:rsid w:val="45F4BE0A"/>
    <w:rsid w:val="461CCDE2"/>
    <w:rsid w:val="462F7A84"/>
    <w:rsid w:val="4651E691"/>
    <w:rsid w:val="4663D52A"/>
    <w:rsid w:val="46D4EEF3"/>
    <w:rsid w:val="46D9644F"/>
    <w:rsid w:val="46DBC077"/>
    <w:rsid w:val="46F36774"/>
    <w:rsid w:val="47131B7F"/>
    <w:rsid w:val="471DFE80"/>
    <w:rsid w:val="47314544"/>
    <w:rsid w:val="47488C47"/>
    <w:rsid w:val="47490D4C"/>
    <w:rsid w:val="4768CFA0"/>
    <w:rsid w:val="4794E51D"/>
    <w:rsid w:val="48001027"/>
    <w:rsid w:val="482D233D"/>
    <w:rsid w:val="48892BBA"/>
    <w:rsid w:val="48A4C8F7"/>
    <w:rsid w:val="48EAD79B"/>
    <w:rsid w:val="492235D8"/>
    <w:rsid w:val="495AAFEF"/>
    <w:rsid w:val="49AE5825"/>
    <w:rsid w:val="49C84200"/>
    <w:rsid w:val="49FCB83C"/>
    <w:rsid w:val="4A118262"/>
    <w:rsid w:val="4A69AD6F"/>
    <w:rsid w:val="4AA0C4E8"/>
    <w:rsid w:val="4AC0C9B2"/>
    <w:rsid w:val="4ACA8A54"/>
    <w:rsid w:val="4B08B127"/>
    <w:rsid w:val="4BB161B6"/>
    <w:rsid w:val="4BF20F27"/>
    <w:rsid w:val="4C076022"/>
    <w:rsid w:val="4C447DAD"/>
    <w:rsid w:val="4C5D405F"/>
    <w:rsid w:val="4C6E4489"/>
    <w:rsid w:val="4CB4DB8E"/>
    <w:rsid w:val="4CE00CA1"/>
    <w:rsid w:val="4D3FA22C"/>
    <w:rsid w:val="4E141DC6"/>
    <w:rsid w:val="4E3A865C"/>
    <w:rsid w:val="4EA7F440"/>
    <w:rsid w:val="4EADEC41"/>
    <w:rsid w:val="4EC8E24F"/>
    <w:rsid w:val="4F1F7503"/>
    <w:rsid w:val="4F20A6CF"/>
    <w:rsid w:val="4F3FD8A0"/>
    <w:rsid w:val="4F65B968"/>
    <w:rsid w:val="4F822AFB"/>
    <w:rsid w:val="4FED4CC1"/>
    <w:rsid w:val="502E7641"/>
    <w:rsid w:val="50444696"/>
    <w:rsid w:val="50E5D26C"/>
    <w:rsid w:val="51178DC0"/>
    <w:rsid w:val="51982320"/>
    <w:rsid w:val="522E33B7"/>
    <w:rsid w:val="530BA76F"/>
    <w:rsid w:val="531B01D1"/>
    <w:rsid w:val="534D4BBB"/>
    <w:rsid w:val="5388E015"/>
    <w:rsid w:val="53AF670E"/>
    <w:rsid w:val="53CED085"/>
    <w:rsid w:val="53D3288C"/>
    <w:rsid w:val="53E241A7"/>
    <w:rsid w:val="54C5D0D2"/>
    <w:rsid w:val="5553C890"/>
    <w:rsid w:val="557832EA"/>
    <w:rsid w:val="557D5F23"/>
    <w:rsid w:val="55C572A4"/>
    <w:rsid w:val="55F70B83"/>
    <w:rsid w:val="55FE1634"/>
    <w:rsid w:val="56342B53"/>
    <w:rsid w:val="5687C194"/>
    <w:rsid w:val="56DC2538"/>
    <w:rsid w:val="57FD53C7"/>
    <w:rsid w:val="581B6AC9"/>
    <w:rsid w:val="5822C748"/>
    <w:rsid w:val="583BF588"/>
    <w:rsid w:val="583E8947"/>
    <w:rsid w:val="587D2284"/>
    <w:rsid w:val="58917DF2"/>
    <w:rsid w:val="58AF46D9"/>
    <w:rsid w:val="593AF324"/>
    <w:rsid w:val="5A019A6A"/>
    <w:rsid w:val="5A05CB41"/>
    <w:rsid w:val="5A2A5F60"/>
    <w:rsid w:val="5A5830F9"/>
    <w:rsid w:val="5A8B9351"/>
    <w:rsid w:val="5AB6722E"/>
    <w:rsid w:val="5AE45924"/>
    <w:rsid w:val="5AE4A05D"/>
    <w:rsid w:val="5AFBDDCF"/>
    <w:rsid w:val="5B465531"/>
    <w:rsid w:val="5B8A4102"/>
    <w:rsid w:val="5C1CF11C"/>
    <w:rsid w:val="5C42FD2E"/>
    <w:rsid w:val="5C5D4D54"/>
    <w:rsid w:val="5C67C91F"/>
    <w:rsid w:val="5C927F40"/>
    <w:rsid w:val="5C97B1FD"/>
    <w:rsid w:val="5CCA08E1"/>
    <w:rsid w:val="5CFBAB73"/>
    <w:rsid w:val="5D22952F"/>
    <w:rsid w:val="5D397F26"/>
    <w:rsid w:val="5D52C8A5"/>
    <w:rsid w:val="5D85FA26"/>
    <w:rsid w:val="5D91F639"/>
    <w:rsid w:val="5D93E2C9"/>
    <w:rsid w:val="5D9FAF7E"/>
    <w:rsid w:val="5DDAA8CF"/>
    <w:rsid w:val="5E0074E0"/>
    <w:rsid w:val="5E2C0B08"/>
    <w:rsid w:val="5E5CB421"/>
    <w:rsid w:val="5E7D18F1"/>
    <w:rsid w:val="5EDFC0E6"/>
    <w:rsid w:val="5EE013F4"/>
    <w:rsid w:val="5F7A756E"/>
    <w:rsid w:val="5FD45033"/>
    <w:rsid w:val="600D8BF7"/>
    <w:rsid w:val="603572D6"/>
    <w:rsid w:val="60823D03"/>
    <w:rsid w:val="610091CD"/>
    <w:rsid w:val="613F153D"/>
    <w:rsid w:val="61777C22"/>
    <w:rsid w:val="617DC05B"/>
    <w:rsid w:val="61F41234"/>
    <w:rsid w:val="620603F2"/>
    <w:rsid w:val="620BF861"/>
    <w:rsid w:val="623D3E27"/>
    <w:rsid w:val="623E2FE1"/>
    <w:rsid w:val="6253BB82"/>
    <w:rsid w:val="627FF9A7"/>
    <w:rsid w:val="636BE914"/>
    <w:rsid w:val="63729B75"/>
    <w:rsid w:val="638894CD"/>
    <w:rsid w:val="63EADAA8"/>
    <w:rsid w:val="6403B082"/>
    <w:rsid w:val="640436D3"/>
    <w:rsid w:val="640503BF"/>
    <w:rsid w:val="6421BCC5"/>
    <w:rsid w:val="6423EFF2"/>
    <w:rsid w:val="649774FA"/>
    <w:rsid w:val="65094A01"/>
    <w:rsid w:val="65371DF7"/>
    <w:rsid w:val="65502E3E"/>
    <w:rsid w:val="65521BA6"/>
    <w:rsid w:val="65E891FC"/>
    <w:rsid w:val="661B6781"/>
    <w:rsid w:val="6622CBD8"/>
    <w:rsid w:val="6642C500"/>
    <w:rsid w:val="6669F130"/>
    <w:rsid w:val="667A392D"/>
    <w:rsid w:val="668E9BBA"/>
    <w:rsid w:val="66BF779E"/>
    <w:rsid w:val="66CB4E79"/>
    <w:rsid w:val="66DD3D72"/>
    <w:rsid w:val="674740AD"/>
    <w:rsid w:val="676389BE"/>
    <w:rsid w:val="676CDFB3"/>
    <w:rsid w:val="6770ABAE"/>
    <w:rsid w:val="67A1EC5F"/>
    <w:rsid w:val="67F60028"/>
    <w:rsid w:val="68075D61"/>
    <w:rsid w:val="6836341E"/>
    <w:rsid w:val="68685E41"/>
    <w:rsid w:val="68919E9F"/>
    <w:rsid w:val="68AA27E6"/>
    <w:rsid w:val="68DE9710"/>
    <w:rsid w:val="6940B847"/>
    <w:rsid w:val="69D380A7"/>
    <w:rsid w:val="69E6CB73"/>
    <w:rsid w:val="69EF4C6B"/>
    <w:rsid w:val="69F1E4FF"/>
    <w:rsid w:val="69F787DA"/>
    <w:rsid w:val="6A38872B"/>
    <w:rsid w:val="6A4EEF74"/>
    <w:rsid w:val="6A609335"/>
    <w:rsid w:val="6A7E2954"/>
    <w:rsid w:val="6B2CA8DA"/>
    <w:rsid w:val="6B462997"/>
    <w:rsid w:val="6BA64314"/>
    <w:rsid w:val="6BD552EE"/>
    <w:rsid w:val="6C0836DF"/>
    <w:rsid w:val="6C248183"/>
    <w:rsid w:val="6C871002"/>
    <w:rsid w:val="6CA41FE2"/>
    <w:rsid w:val="6CB49EEA"/>
    <w:rsid w:val="6CC3EB75"/>
    <w:rsid w:val="6CDA5025"/>
    <w:rsid w:val="6D5E8C31"/>
    <w:rsid w:val="6D8CF62A"/>
    <w:rsid w:val="6DA0976B"/>
    <w:rsid w:val="6DB4C426"/>
    <w:rsid w:val="6DDA3A4A"/>
    <w:rsid w:val="6E0BE940"/>
    <w:rsid w:val="6E13ACFC"/>
    <w:rsid w:val="6E8A2A11"/>
    <w:rsid w:val="6E957114"/>
    <w:rsid w:val="6EB8308B"/>
    <w:rsid w:val="6EC22358"/>
    <w:rsid w:val="6EC30042"/>
    <w:rsid w:val="6EEDCE6A"/>
    <w:rsid w:val="6F3290D7"/>
    <w:rsid w:val="6F65E492"/>
    <w:rsid w:val="6F7537A3"/>
    <w:rsid w:val="6F8704BE"/>
    <w:rsid w:val="702B66CB"/>
    <w:rsid w:val="702E2295"/>
    <w:rsid w:val="704E91D4"/>
    <w:rsid w:val="710998DC"/>
    <w:rsid w:val="710DAA91"/>
    <w:rsid w:val="716ED7E9"/>
    <w:rsid w:val="71B4F2D6"/>
    <w:rsid w:val="721F5290"/>
    <w:rsid w:val="723A1EA3"/>
    <w:rsid w:val="72A965DC"/>
    <w:rsid w:val="73CB0B85"/>
    <w:rsid w:val="73F48E28"/>
    <w:rsid w:val="7420AB3A"/>
    <w:rsid w:val="746993D7"/>
    <w:rsid w:val="746D5E75"/>
    <w:rsid w:val="75860CDA"/>
    <w:rsid w:val="75A17361"/>
    <w:rsid w:val="75AC886A"/>
    <w:rsid w:val="7659825B"/>
    <w:rsid w:val="765FA3F7"/>
    <w:rsid w:val="767FD497"/>
    <w:rsid w:val="770F0DB1"/>
    <w:rsid w:val="774AF37D"/>
    <w:rsid w:val="776B4F46"/>
    <w:rsid w:val="77D7DDF0"/>
    <w:rsid w:val="77DC0E99"/>
    <w:rsid w:val="77DE7F5F"/>
    <w:rsid w:val="77E677A9"/>
    <w:rsid w:val="77EE52A8"/>
    <w:rsid w:val="77FC9B28"/>
    <w:rsid w:val="78A527E1"/>
    <w:rsid w:val="78D3AE17"/>
    <w:rsid w:val="79241C6F"/>
    <w:rsid w:val="797405CA"/>
    <w:rsid w:val="79813C2C"/>
    <w:rsid w:val="7983DD5A"/>
    <w:rsid w:val="79B92B5A"/>
    <w:rsid w:val="79C28A04"/>
    <w:rsid w:val="79E3EC47"/>
    <w:rsid w:val="7A23CE6B"/>
    <w:rsid w:val="7A78A19E"/>
    <w:rsid w:val="7A8F22D9"/>
    <w:rsid w:val="7A93B8F4"/>
    <w:rsid w:val="7ABB2997"/>
    <w:rsid w:val="7B10D57B"/>
    <w:rsid w:val="7BA40088"/>
    <w:rsid w:val="7BAAF4A3"/>
    <w:rsid w:val="7BB536A6"/>
    <w:rsid w:val="7BC72A77"/>
    <w:rsid w:val="7BCADAC7"/>
    <w:rsid w:val="7BFBDD4E"/>
    <w:rsid w:val="7C6C1C38"/>
    <w:rsid w:val="7C737592"/>
    <w:rsid w:val="7C7F5313"/>
    <w:rsid w:val="7C9DAB47"/>
    <w:rsid w:val="7CE25140"/>
    <w:rsid w:val="7D06CFF2"/>
    <w:rsid w:val="7D310D87"/>
    <w:rsid w:val="7D435864"/>
    <w:rsid w:val="7D6F0EC3"/>
    <w:rsid w:val="7D8392DF"/>
    <w:rsid w:val="7DCADB1A"/>
    <w:rsid w:val="7DCBA1C1"/>
    <w:rsid w:val="7DDF90D1"/>
    <w:rsid w:val="7E44A6D1"/>
    <w:rsid w:val="7EA01CA9"/>
    <w:rsid w:val="7EA55C80"/>
    <w:rsid w:val="7EA7ACD3"/>
    <w:rsid w:val="7EB5A6FB"/>
    <w:rsid w:val="7F2D2FB7"/>
    <w:rsid w:val="7F77CF09"/>
    <w:rsid w:val="7F98C19A"/>
    <w:rsid w:val="7FBCB3F7"/>
    <w:rsid w:val="7FE42DEF"/>
    <w:rsid w:val="7FEC2F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007EB"/>
  <w15:chartTrackingRefBased/>
  <w15:docId w15:val="{498DBF83-6C83-47B7-B196-8D2AD7E8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Xo Body Copy"/>
    <w:qFormat/>
    <w:rsid w:val="00EF2F84"/>
    <w:rPr>
      <w:rFonts w:ascii="Century Gothic" w:hAnsi="Century Gothic"/>
      <w:color w:val="222233"/>
    </w:rPr>
  </w:style>
  <w:style w:type="paragraph" w:styleId="Heading1">
    <w:name w:val="heading 1"/>
    <w:aliases w:val="Xo Heading 1"/>
    <w:basedOn w:val="Normal"/>
    <w:next w:val="Normal"/>
    <w:link w:val="Heading1Char"/>
    <w:uiPriority w:val="9"/>
    <w:qFormat/>
    <w:rsid w:val="00EA5A7C"/>
    <w:pPr>
      <w:keepNext/>
      <w:keepLines/>
      <w:spacing w:before="360" w:after="80"/>
      <w:outlineLvl w:val="0"/>
    </w:pPr>
    <w:rPr>
      <w:rFonts w:eastAsiaTheme="majorEastAsia" w:cstheme="majorBidi"/>
      <w:color w:val="6680FF" w:themeColor="accent2"/>
      <w:sz w:val="40"/>
      <w:szCs w:val="40"/>
    </w:rPr>
  </w:style>
  <w:style w:type="paragraph" w:styleId="Heading2">
    <w:name w:val="heading 2"/>
    <w:aliases w:val="Xo Heading 2"/>
    <w:basedOn w:val="Normal"/>
    <w:next w:val="Normal"/>
    <w:link w:val="Heading2Char"/>
    <w:uiPriority w:val="9"/>
    <w:unhideWhenUsed/>
    <w:qFormat/>
    <w:rsid w:val="00EA5A7C"/>
    <w:pPr>
      <w:keepNext/>
      <w:keepLines/>
      <w:spacing w:before="160" w:after="80"/>
      <w:outlineLvl w:val="1"/>
    </w:pPr>
    <w:rPr>
      <w:rFonts w:eastAsiaTheme="majorEastAsia" w:cstheme="majorBidi"/>
      <w:color w:val="57BAE5" w:themeColor="accent3"/>
      <w:sz w:val="32"/>
      <w:szCs w:val="32"/>
    </w:rPr>
  </w:style>
  <w:style w:type="paragraph" w:styleId="Heading3">
    <w:name w:val="heading 3"/>
    <w:aliases w:val="Xo Heading 3"/>
    <w:basedOn w:val="Normal"/>
    <w:next w:val="Normal"/>
    <w:link w:val="Heading3Char"/>
    <w:uiPriority w:val="9"/>
    <w:unhideWhenUsed/>
    <w:qFormat/>
    <w:rsid w:val="00EA5A7C"/>
    <w:pPr>
      <w:keepNext/>
      <w:keepLines/>
      <w:spacing w:before="160" w:after="80"/>
      <w:outlineLvl w:val="2"/>
    </w:pPr>
    <w:rPr>
      <w:rFonts w:eastAsiaTheme="majorEastAsia" w:cstheme="majorBidi"/>
      <w:color w:val="6680FF" w:themeColor="accent2"/>
      <w:sz w:val="28"/>
      <w:szCs w:val="28"/>
    </w:rPr>
  </w:style>
  <w:style w:type="paragraph" w:styleId="Heading4">
    <w:name w:val="heading 4"/>
    <w:basedOn w:val="Normal"/>
    <w:next w:val="Normal"/>
    <w:link w:val="Heading4Char"/>
    <w:uiPriority w:val="9"/>
    <w:semiHidden/>
    <w:unhideWhenUsed/>
    <w:rsid w:val="00C37FA6"/>
    <w:pPr>
      <w:keepNext/>
      <w:keepLines/>
      <w:spacing w:before="80" w:after="40"/>
      <w:outlineLvl w:val="3"/>
    </w:pPr>
    <w:rPr>
      <w:rFonts w:eastAsiaTheme="majorEastAsia" w:cstheme="majorBidi"/>
      <w:i/>
      <w:iCs/>
      <w:color w:val="1A04ED" w:themeColor="accent1" w:themeShade="BF"/>
    </w:rPr>
  </w:style>
  <w:style w:type="paragraph" w:styleId="Heading5">
    <w:name w:val="heading 5"/>
    <w:basedOn w:val="Normal"/>
    <w:next w:val="Normal"/>
    <w:link w:val="Heading5Char"/>
    <w:uiPriority w:val="9"/>
    <w:semiHidden/>
    <w:unhideWhenUsed/>
    <w:qFormat/>
    <w:rsid w:val="00C37FA6"/>
    <w:pPr>
      <w:keepNext/>
      <w:keepLines/>
      <w:spacing w:before="80" w:after="40"/>
      <w:outlineLvl w:val="4"/>
    </w:pPr>
    <w:rPr>
      <w:rFonts w:eastAsiaTheme="majorEastAsia" w:cstheme="majorBidi"/>
      <w:color w:val="1A04ED" w:themeColor="accent1" w:themeShade="BF"/>
    </w:rPr>
  </w:style>
  <w:style w:type="paragraph" w:styleId="Heading6">
    <w:name w:val="heading 6"/>
    <w:basedOn w:val="Normal"/>
    <w:next w:val="Normal"/>
    <w:link w:val="Heading6Char"/>
    <w:uiPriority w:val="9"/>
    <w:semiHidden/>
    <w:unhideWhenUsed/>
    <w:qFormat/>
    <w:rsid w:val="00C37FA6"/>
    <w:pPr>
      <w:keepNext/>
      <w:keepLines/>
      <w:spacing w:before="40"/>
      <w:outlineLvl w:val="5"/>
    </w:pPr>
    <w:rPr>
      <w:rFonts w:eastAsiaTheme="majorEastAsia" w:cstheme="majorBidi"/>
      <w:i/>
      <w:iCs/>
      <w:color w:val="5B5B8D" w:themeColor="text1" w:themeTint="A6"/>
    </w:rPr>
  </w:style>
  <w:style w:type="paragraph" w:styleId="Heading7">
    <w:name w:val="heading 7"/>
    <w:basedOn w:val="Normal"/>
    <w:next w:val="Normal"/>
    <w:link w:val="Heading7Char"/>
    <w:uiPriority w:val="9"/>
    <w:semiHidden/>
    <w:unhideWhenUsed/>
    <w:qFormat/>
    <w:rsid w:val="00C37FA6"/>
    <w:pPr>
      <w:keepNext/>
      <w:keepLines/>
      <w:spacing w:before="40"/>
      <w:outlineLvl w:val="6"/>
    </w:pPr>
    <w:rPr>
      <w:rFonts w:eastAsiaTheme="majorEastAsia" w:cstheme="majorBidi"/>
      <w:color w:val="5B5B8D" w:themeColor="text1" w:themeTint="A6"/>
    </w:rPr>
  </w:style>
  <w:style w:type="paragraph" w:styleId="Heading8">
    <w:name w:val="heading 8"/>
    <w:basedOn w:val="Normal"/>
    <w:next w:val="Normal"/>
    <w:link w:val="Heading8Char"/>
    <w:uiPriority w:val="9"/>
    <w:semiHidden/>
    <w:unhideWhenUsed/>
    <w:qFormat/>
    <w:rsid w:val="00C37FA6"/>
    <w:pPr>
      <w:keepNext/>
      <w:keepLines/>
      <w:outlineLvl w:val="7"/>
    </w:pPr>
    <w:rPr>
      <w:rFonts w:eastAsiaTheme="majorEastAsia" w:cstheme="majorBidi"/>
      <w:i/>
      <w:iCs/>
      <w:color w:val="3A3A5A" w:themeColor="text1" w:themeTint="D8"/>
    </w:rPr>
  </w:style>
  <w:style w:type="paragraph" w:styleId="Heading9">
    <w:name w:val="heading 9"/>
    <w:basedOn w:val="Normal"/>
    <w:next w:val="Normal"/>
    <w:link w:val="Heading9Char"/>
    <w:uiPriority w:val="9"/>
    <w:semiHidden/>
    <w:unhideWhenUsed/>
    <w:qFormat/>
    <w:rsid w:val="00C37FA6"/>
    <w:pPr>
      <w:keepNext/>
      <w:keepLines/>
      <w:outlineLvl w:val="8"/>
    </w:pPr>
    <w:rPr>
      <w:rFonts w:eastAsiaTheme="majorEastAsia" w:cstheme="majorBidi"/>
      <w:color w:val="3A3A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o Heading 1 Char"/>
    <w:basedOn w:val="DefaultParagraphFont"/>
    <w:link w:val="Heading1"/>
    <w:uiPriority w:val="9"/>
    <w:rsid w:val="00EA5A7C"/>
    <w:rPr>
      <w:rFonts w:ascii="Century Gothic" w:eastAsiaTheme="majorEastAsia" w:hAnsi="Century Gothic" w:cstheme="majorBidi"/>
      <w:color w:val="6680FF" w:themeColor="accent2"/>
      <w:sz w:val="40"/>
      <w:szCs w:val="40"/>
    </w:rPr>
  </w:style>
  <w:style w:type="character" w:customStyle="1" w:styleId="Heading2Char">
    <w:name w:val="Heading 2 Char"/>
    <w:aliases w:val="Xo Heading 2 Char"/>
    <w:basedOn w:val="DefaultParagraphFont"/>
    <w:link w:val="Heading2"/>
    <w:uiPriority w:val="9"/>
    <w:rsid w:val="00EA5A7C"/>
    <w:rPr>
      <w:rFonts w:ascii="Century Gothic" w:eastAsiaTheme="majorEastAsia" w:hAnsi="Century Gothic" w:cstheme="majorBidi"/>
      <w:color w:val="57BAE5" w:themeColor="accent3"/>
      <w:sz w:val="32"/>
      <w:szCs w:val="32"/>
    </w:rPr>
  </w:style>
  <w:style w:type="character" w:customStyle="1" w:styleId="Heading3Char">
    <w:name w:val="Heading 3 Char"/>
    <w:aliases w:val="Xo Heading 3 Char"/>
    <w:basedOn w:val="DefaultParagraphFont"/>
    <w:link w:val="Heading3"/>
    <w:uiPriority w:val="9"/>
    <w:rsid w:val="00EA5A7C"/>
    <w:rPr>
      <w:rFonts w:ascii="Century Gothic" w:eastAsiaTheme="majorEastAsia" w:hAnsi="Century Gothic" w:cstheme="majorBidi"/>
      <w:color w:val="6680FF" w:themeColor="accent2"/>
      <w:sz w:val="28"/>
      <w:szCs w:val="28"/>
    </w:rPr>
  </w:style>
  <w:style w:type="character" w:customStyle="1" w:styleId="Heading4Char">
    <w:name w:val="Heading 4 Char"/>
    <w:basedOn w:val="DefaultParagraphFont"/>
    <w:link w:val="Heading4"/>
    <w:uiPriority w:val="9"/>
    <w:semiHidden/>
    <w:rsid w:val="00C37FA6"/>
    <w:rPr>
      <w:rFonts w:eastAsiaTheme="majorEastAsia" w:cstheme="majorBidi"/>
      <w:i/>
      <w:iCs/>
      <w:color w:val="1A04ED" w:themeColor="accent1" w:themeShade="BF"/>
    </w:rPr>
  </w:style>
  <w:style w:type="character" w:customStyle="1" w:styleId="Heading5Char">
    <w:name w:val="Heading 5 Char"/>
    <w:basedOn w:val="DefaultParagraphFont"/>
    <w:link w:val="Heading5"/>
    <w:uiPriority w:val="9"/>
    <w:semiHidden/>
    <w:rsid w:val="00C37FA6"/>
    <w:rPr>
      <w:rFonts w:eastAsiaTheme="majorEastAsia" w:cstheme="majorBidi"/>
      <w:color w:val="1A04ED" w:themeColor="accent1" w:themeShade="BF"/>
    </w:rPr>
  </w:style>
  <w:style w:type="character" w:customStyle="1" w:styleId="Heading6Char">
    <w:name w:val="Heading 6 Char"/>
    <w:basedOn w:val="DefaultParagraphFont"/>
    <w:link w:val="Heading6"/>
    <w:uiPriority w:val="9"/>
    <w:semiHidden/>
    <w:rsid w:val="00C37FA6"/>
    <w:rPr>
      <w:rFonts w:eastAsiaTheme="majorEastAsia" w:cstheme="majorBidi"/>
      <w:i/>
      <w:iCs/>
      <w:color w:val="5B5B8D" w:themeColor="text1" w:themeTint="A6"/>
    </w:rPr>
  </w:style>
  <w:style w:type="character" w:customStyle="1" w:styleId="Heading7Char">
    <w:name w:val="Heading 7 Char"/>
    <w:basedOn w:val="DefaultParagraphFont"/>
    <w:link w:val="Heading7"/>
    <w:uiPriority w:val="9"/>
    <w:semiHidden/>
    <w:rsid w:val="00C37FA6"/>
    <w:rPr>
      <w:rFonts w:eastAsiaTheme="majorEastAsia" w:cstheme="majorBidi"/>
      <w:color w:val="5B5B8D" w:themeColor="text1" w:themeTint="A6"/>
    </w:rPr>
  </w:style>
  <w:style w:type="character" w:customStyle="1" w:styleId="Heading8Char">
    <w:name w:val="Heading 8 Char"/>
    <w:basedOn w:val="DefaultParagraphFont"/>
    <w:link w:val="Heading8"/>
    <w:uiPriority w:val="9"/>
    <w:semiHidden/>
    <w:rsid w:val="00C37FA6"/>
    <w:rPr>
      <w:rFonts w:eastAsiaTheme="majorEastAsia" w:cstheme="majorBidi"/>
      <w:i/>
      <w:iCs/>
      <w:color w:val="3A3A5A" w:themeColor="text1" w:themeTint="D8"/>
    </w:rPr>
  </w:style>
  <w:style w:type="character" w:customStyle="1" w:styleId="Heading9Char">
    <w:name w:val="Heading 9 Char"/>
    <w:basedOn w:val="DefaultParagraphFont"/>
    <w:link w:val="Heading9"/>
    <w:uiPriority w:val="9"/>
    <w:semiHidden/>
    <w:rsid w:val="00C37FA6"/>
    <w:rPr>
      <w:rFonts w:eastAsiaTheme="majorEastAsia" w:cstheme="majorBidi"/>
      <w:color w:val="3A3A5A" w:themeColor="text1" w:themeTint="D8"/>
    </w:rPr>
  </w:style>
  <w:style w:type="paragraph" w:styleId="Title">
    <w:name w:val="Title"/>
    <w:aliases w:val="Xo Title"/>
    <w:basedOn w:val="Normal"/>
    <w:next w:val="Normal"/>
    <w:link w:val="TitleChar"/>
    <w:uiPriority w:val="10"/>
    <w:qFormat/>
    <w:rsid w:val="00C37F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Xo Title Char"/>
    <w:basedOn w:val="DefaultParagraphFont"/>
    <w:link w:val="Title"/>
    <w:uiPriority w:val="10"/>
    <w:rsid w:val="00C37FA6"/>
    <w:rPr>
      <w:rFonts w:asciiTheme="majorHAnsi" w:eastAsiaTheme="majorEastAsia" w:hAnsiTheme="majorHAnsi" w:cstheme="majorBidi"/>
      <w:spacing w:val="-10"/>
      <w:kern w:val="28"/>
      <w:sz w:val="56"/>
      <w:szCs w:val="56"/>
    </w:rPr>
  </w:style>
  <w:style w:type="paragraph" w:styleId="Subtitle">
    <w:name w:val="Subtitle"/>
    <w:aliases w:val="Xo Subtitle"/>
    <w:basedOn w:val="Normal"/>
    <w:next w:val="Normal"/>
    <w:link w:val="SubtitleChar"/>
    <w:uiPriority w:val="11"/>
    <w:qFormat/>
    <w:rsid w:val="00EA5A7C"/>
    <w:pPr>
      <w:numPr>
        <w:ilvl w:val="1"/>
      </w:numPr>
      <w:spacing w:after="160"/>
    </w:pPr>
    <w:rPr>
      <w:rFonts w:eastAsiaTheme="majorEastAsia" w:cstheme="majorBidi"/>
      <w:color w:val="ED45AB" w:themeColor="accent5"/>
      <w:spacing w:val="15"/>
      <w:sz w:val="28"/>
      <w:szCs w:val="28"/>
    </w:rPr>
  </w:style>
  <w:style w:type="character" w:customStyle="1" w:styleId="SubtitleChar">
    <w:name w:val="Subtitle Char"/>
    <w:aliases w:val="Xo Subtitle Char"/>
    <w:basedOn w:val="DefaultParagraphFont"/>
    <w:link w:val="Subtitle"/>
    <w:uiPriority w:val="11"/>
    <w:rsid w:val="00EA5A7C"/>
    <w:rPr>
      <w:rFonts w:ascii="Century Gothic" w:eastAsiaTheme="majorEastAsia" w:hAnsi="Century Gothic" w:cstheme="majorBidi"/>
      <w:color w:val="ED45AB" w:themeColor="accent5"/>
      <w:spacing w:val="15"/>
      <w:sz w:val="28"/>
      <w:szCs w:val="28"/>
    </w:rPr>
  </w:style>
  <w:style w:type="paragraph" w:styleId="Quote">
    <w:name w:val="Quote"/>
    <w:basedOn w:val="Normal"/>
    <w:next w:val="Normal"/>
    <w:link w:val="QuoteChar"/>
    <w:uiPriority w:val="29"/>
    <w:rsid w:val="00C37FA6"/>
    <w:pPr>
      <w:spacing w:before="160" w:after="160"/>
      <w:jc w:val="center"/>
    </w:pPr>
    <w:rPr>
      <w:i/>
      <w:iCs/>
      <w:color w:val="4B4B73" w:themeColor="text1" w:themeTint="BF"/>
    </w:rPr>
  </w:style>
  <w:style w:type="character" w:customStyle="1" w:styleId="QuoteChar">
    <w:name w:val="Quote Char"/>
    <w:basedOn w:val="DefaultParagraphFont"/>
    <w:link w:val="Quote"/>
    <w:uiPriority w:val="29"/>
    <w:rsid w:val="00C37FA6"/>
    <w:rPr>
      <w:i/>
      <w:iCs/>
      <w:color w:val="4B4B73" w:themeColor="text1" w:themeTint="BF"/>
    </w:rPr>
  </w:style>
  <w:style w:type="paragraph" w:styleId="ListParagraph">
    <w:name w:val="List Paragraph"/>
    <w:basedOn w:val="Normal"/>
    <w:uiPriority w:val="34"/>
    <w:rsid w:val="00C37FA6"/>
    <w:pPr>
      <w:ind w:left="720"/>
      <w:contextualSpacing/>
    </w:pPr>
  </w:style>
  <w:style w:type="character" w:styleId="IntenseEmphasis">
    <w:name w:val="Intense Emphasis"/>
    <w:basedOn w:val="DefaultParagraphFont"/>
    <w:uiPriority w:val="21"/>
    <w:rsid w:val="00C37FA6"/>
    <w:rPr>
      <w:i/>
      <w:iCs/>
      <w:color w:val="1A04ED" w:themeColor="accent1" w:themeShade="BF"/>
    </w:rPr>
  </w:style>
  <w:style w:type="paragraph" w:styleId="IntenseQuote">
    <w:name w:val="Intense Quote"/>
    <w:basedOn w:val="Normal"/>
    <w:next w:val="Normal"/>
    <w:link w:val="IntenseQuoteChar"/>
    <w:uiPriority w:val="30"/>
    <w:rsid w:val="00C37FA6"/>
    <w:pPr>
      <w:pBdr>
        <w:top w:val="single" w:sz="4" w:space="10" w:color="1A04ED" w:themeColor="accent1" w:themeShade="BF"/>
        <w:bottom w:val="single" w:sz="4" w:space="10" w:color="1A04ED" w:themeColor="accent1" w:themeShade="BF"/>
      </w:pBdr>
      <w:spacing w:before="360" w:after="360"/>
      <w:ind w:left="864" w:right="864"/>
      <w:jc w:val="center"/>
    </w:pPr>
    <w:rPr>
      <w:i/>
      <w:iCs/>
      <w:color w:val="1A04ED" w:themeColor="accent1" w:themeShade="BF"/>
    </w:rPr>
  </w:style>
  <w:style w:type="character" w:customStyle="1" w:styleId="IntenseQuoteChar">
    <w:name w:val="Intense Quote Char"/>
    <w:basedOn w:val="DefaultParagraphFont"/>
    <w:link w:val="IntenseQuote"/>
    <w:uiPriority w:val="30"/>
    <w:rsid w:val="00C37FA6"/>
    <w:rPr>
      <w:i/>
      <w:iCs/>
      <w:color w:val="1A04ED" w:themeColor="accent1" w:themeShade="BF"/>
    </w:rPr>
  </w:style>
  <w:style w:type="character" w:styleId="IntenseReference">
    <w:name w:val="Intense Reference"/>
    <w:basedOn w:val="DefaultParagraphFont"/>
    <w:uiPriority w:val="32"/>
    <w:rsid w:val="00C37FA6"/>
    <w:rPr>
      <w:b/>
      <w:bCs/>
      <w:smallCaps/>
      <w:color w:val="1A04ED" w:themeColor="accent1" w:themeShade="BF"/>
      <w:spacing w:val="5"/>
    </w:rPr>
  </w:style>
  <w:style w:type="paragraph" w:styleId="Header">
    <w:name w:val="header"/>
    <w:basedOn w:val="Normal"/>
    <w:link w:val="HeaderChar"/>
    <w:uiPriority w:val="99"/>
    <w:unhideWhenUsed/>
    <w:rsid w:val="00C37FA6"/>
    <w:pPr>
      <w:tabs>
        <w:tab w:val="center" w:pos="4513"/>
        <w:tab w:val="right" w:pos="9026"/>
      </w:tabs>
    </w:pPr>
  </w:style>
  <w:style w:type="character" w:customStyle="1" w:styleId="HeaderChar">
    <w:name w:val="Header Char"/>
    <w:basedOn w:val="DefaultParagraphFont"/>
    <w:link w:val="Header"/>
    <w:uiPriority w:val="99"/>
    <w:rsid w:val="00C37FA6"/>
  </w:style>
  <w:style w:type="paragraph" w:styleId="Footer">
    <w:name w:val="footer"/>
    <w:basedOn w:val="Normal"/>
    <w:link w:val="FooterChar"/>
    <w:uiPriority w:val="99"/>
    <w:unhideWhenUsed/>
    <w:rsid w:val="00C37FA6"/>
    <w:pPr>
      <w:tabs>
        <w:tab w:val="center" w:pos="4513"/>
        <w:tab w:val="right" w:pos="9026"/>
      </w:tabs>
    </w:pPr>
  </w:style>
  <w:style w:type="character" w:customStyle="1" w:styleId="FooterChar">
    <w:name w:val="Footer Char"/>
    <w:basedOn w:val="DefaultParagraphFont"/>
    <w:link w:val="Footer"/>
    <w:uiPriority w:val="99"/>
    <w:rsid w:val="00C37FA6"/>
  </w:style>
  <w:style w:type="character" w:styleId="Hyperlink">
    <w:name w:val="Hyperlink"/>
    <w:basedOn w:val="DefaultParagraphFont"/>
    <w:uiPriority w:val="99"/>
    <w:unhideWhenUsed/>
    <w:rsid w:val="00DE4418"/>
    <w:rPr>
      <w:color w:val="5947FC" w:themeColor="hyperlink"/>
      <w:u w:val="single"/>
    </w:rPr>
  </w:style>
  <w:style w:type="paragraph" w:styleId="NoSpacing">
    <w:name w:val="No Spacing"/>
    <w:aliases w:val="Xo Bold Body Copy"/>
    <w:uiPriority w:val="1"/>
    <w:qFormat/>
    <w:rsid w:val="00681903"/>
    <w:rPr>
      <w:rFonts w:ascii="Century Gothic" w:hAnsi="Century Gothic"/>
      <w:b/>
      <w:bCs/>
      <w:color w:val="222233"/>
    </w:rPr>
  </w:style>
  <w:style w:type="table" w:styleId="TableGrid">
    <w:name w:val="Table Grid"/>
    <w:basedOn w:val="TableNormal"/>
    <w:uiPriority w:val="39"/>
    <w:rsid w:val="00681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CE732A"/>
    <w:tblPr>
      <w:tblStyleRowBandSize w:val="1"/>
      <w:tblStyleColBandSize w:val="1"/>
      <w:tblBorders>
        <w:top w:val="single" w:sz="4" w:space="0" w:color="212133" w:themeColor="text1"/>
        <w:left w:val="single" w:sz="4" w:space="0" w:color="212133" w:themeColor="text1"/>
        <w:bottom w:val="single" w:sz="4" w:space="0" w:color="212133" w:themeColor="text1"/>
        <w:right w:val="single" w:sz="4" w:space="0" w:color="212133" w:themeColor="text1"/>
      </w:tblBorders>
    </w:tblPr>
    <w:tblStylePr w:type="firstRow">
      <w:rPr>
        <w:b/>
        <w:bCs/>
        <w:color w:val="F5F7FF" w:themeColor="background1"/>
      </w:rPr>
      <w:tblPr/>
      <w:tcPr>
        <w:shd w:val="clear" w:color="auto" w:fill="212133" w:themeFill="text1"/>
      </w:tcPr>
    </w:tblStylePr>
    <w:tblStylePr w:type="lastRow">
      <w:rPr>
        <w:b/>
        <w:bCs/>
      </w:rPr>
      <w:tblPr/>
      <w:tcPr>
        <w:tcBorders>
          <w:top w:val="double" w:sz="4" w:space="0" w:color="212133" w:themeColor="text1"/>
        </w:tcBorders>
        <w:shd w:val="clear" w:color="auto" w:fill="F5F7FF" w:themeFill="background1"/>
      </w:tcPr>
    </w:tblStylePr>
    <w:tblStylePr w:type="firstCol">
      <w:rPr>
        <w:b/>
        <w:bCs/>
      </w:rPr>
      <w:tblPr/>
      <w:tcPr>
        <w:tcBorders>
          <w:right w:val="nil"/>
        </w:tcBorders>
        <w:shd w:val="clear" w:color="auto" w:fill="F5F7FF" w:themeFill="background1"/>
      </w:tcPr>
    </w:tblStylePr>
    <w:tblStylePr w:type="lastCol">
      <w:rPr>
        <w:b/>
        <w:bCs/>
      </w:rPr>
      <w:tblPr/>
      <w:tcPr>
        <w:tcBorders>
          <w:left w:val="nil"/>
        </w:tcBorders>
        <w:shd w:val="clear" w:color="auto" w:fill="F5F7FF" w:themeFill="background1"/>
      </w:tcPr>
    </w:tblStylePr>
    <w:tblStylePr w:type="band1Vert">
      <w:tblPr/>
      <w:tcPr>
        <w:tcBorders>
          <w:left w:val="single" w:sz="4" w:space="0" w:color="212133" w:themeColor="text1"/>
          <w:right w:val="single" w:sz="4" w:space="0" w:color="212133" w:themeColor="text1"/>
        </w:tcBorders>
      </w:tcPr>
    </w:tblStylePr>
    <w:tblStylePr w:type="band1Horz">
      <w:tblPr/>
      <w:tcPr>
        <w:tcBorders>
          <w:top w:val="single" w:sz="4" w:space="0" w:color="212133" w:themeColor="text1"/>
          <w:bottom w:val="single" w:sz="4" w:space="0" w:color="21213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2133" w:themeColor="text1"/>
          <w:left w:val="nil"/>
        </w:tcBorders>
      </w:tcPr>
    </w:tblStylePr>
    <w:tblStylePr w:type="swCell">
      <w:tblPr/>
      <w:tcPr>
        <w:tcBorders>
          <w:top w:val="double" w:sz="4" w:space="0" w:color="212133" w:themeColor="text1"/>
          <w:right w:val="nil"/>
        </w:tcBorders>
      </w:tcPr>
    </w:tblStylePr>
  </w:style>
  <w:style w:type="character" w:customStyle="1" w:styleId="normaltextrun">
    <w:name w:val="normaltextrun"/>
    <w:basedOn w:val="DefaultParagraphFont"/>
    <w:rsid w:val="00A872E4"/>
  </w:style>
  <w:style w:type="character" w:customStyle="1" w:styleId="eop">
    <w:name w:val="eop"/>
    <w:basedOn w:val="DefaultParagraphFont"/>
    <w:rsid w:val="00A872E4"/>
  </w:style>
  <w:style w:type="character" w:styleId="PlaceholderText">
    <w:name w:val="Placeholder Text"/>
    <w:basedOn w:val="DefaultParagraphFont"/>
    <w:uiPriority w:val="99"/>
    <w:semiHidden/>
    <w:rsid w:val="00631E08"/>
    <w:rPr>
      <w:color w:val="808080"/>
    </w:rPr>
  </w:style>
  <w:style w:type="table" w:styleId="GridTable3">
    <w:name w:val="Grid Table 3"/>
    <w:basedOn w:val="TableNormal"/>
    <w:uiPriority w:val="48"/>
    <w:tblPr>
      <w:tblStyleRowBandSize w:val="1"/>
      <w:tblStyleColBandSize w:val="1"/>
      <w:tblBorders>
        <w:top w:val="single" w:sz="4" w:space="0" w:color="64649A" w:themeColor="text1" w:themeTint="99"/>
        <w:left w:val="single" w:sz="4" w:space="0" w:color="64649A" w:themeColor="text1" w:themeTint="99"/>
        <w:bottom w:val="single" w:sz="4" w:space="0" w:color="64649A" w:themeColor="text1" w:themeTint="99"/>
        <w:right w:val="single" w:sz="4" w:space="0" w:color="64649A" w:themeColor="text1" w:themeTint="99"/>
        <w:insideH w:val="single" w:sz="4" w:space="0" w:color="64649A" w:themeColor="text1" w:themeTint="99"/>
        <w:insideV w:val="single" w:sz="4" w:space="0" w:color="64649A" w:themeColor="text1" w:themeTint="99"/>
      </w:tblBorders>
    </w:tblPr>
    <w:tblStylePr w:type="firstRow">
      <w:rPr>
        <w:b/>
        <w:bCs/>
      </w:rPr>
      <w:tblPr/>
      <w:tcPr>
        <w:tcBorders>
          <w:top w:val="nil"/>
          <w:left w:val="nil"/>
          <w:right w:val="nil"/>
          <w:insideH w:val="nil"/>
          <w:insideV w:val="nil"/>
        </w:tcBorders>
        <w:shd w:val="clear" w:color="auto" w:fill="F5F7FF" w:themeFill="background1"/>
      </w:tcPr>
    </w:tblStylePr>
    <w:tblStylePr w:type="lastRow">
      <w:rPr>
        <w:b/>
        <w:bCs/>
      </w:rPr>
      <w:tblPr/>
      <w:tcPr>
        <w:tcBorders>
          <w:left w:val="nil"/>
          <w:bottom w:val="nil"/>
          <w:right w:val="nil"/>
          <w:insideH w:val="nil"/>
          <w:insideV w:val="nil"/>
        </w:tcBorders>
        <w:shd w:val="clear" w:color="auto" w:fill="F5F7FF" w:themeFill="background1"/>
      </w:tcPr>
    </w:tblStylePr>
    <w:tblStylePr w:type="firstCol">
      <w:pPr>
        <w:jc w:val="right"/>
      </w:pPr>
      <w:rPr>
        <w:i/>
        <w:iCs/>
      </w:rPr>
      <w:tblPr/>
      <w:tcPr>
        <w:tcBorders>
          <w:top w:val="nil"/>
          <w:left w:val="nil"/>
          <w:bottom w:val="nil"/>
          <w:insideH w:val="nil"/>
          <w:insideV w:val="nil"/>
        </w:tcBorders>
        <w:shd w:val="clear" w:color="auto" w:fill="F5F7FF" w:themeFill="background1"/>
      </w:tcPr>
    </w:tblStylePr>
    <w:tblStylePr w:type="lastCol">
      <w:rPr>
        <w:i/>
        <w:iCs/>
      </w:rPr>
      <w:tblPr/>
      <w:tcPr>
        <w:tcBorders>
          <w:top w:val="nil"/>
          <w:bottom w:val="nil"/>
          <w:right w:val="nil"/>
          <w:insideH w:val="nil"/>
          <w:insideV w:val="nil"/>
        </w:tcBorders>
        <w:shd w:val="clear" w:color="auto" w:fill="F5F7FF" w:themeFill="background1"/>
      </w:tcPr>
    </w:tblStylePr>
    <w:tblStylePr w:type="band1Vert">
      <w:tblPr/>
      <w:tcPr>
        <w:shd w:val="clear" w:color="auto" w:fill="CBCBDD" w:themeFill="text1" w:themeFillTint="33"/>
      </w:tcPr>
    </w:tblStylePr>
    <w:tblStylePr w:type="band1Horz">
      <w:tblPr/>
      <w:tcPr>
        <w:shd w:val="clear" w:color="auto" w:fill="CBCBDD" w:themeFill="text1" w:themeFillTint="33"/>
      </w:tcPr>
    </w:tblStylePr>
    <w:tblStylePr w:type="neCell">
      <w:tblPr/>
      <w:tcPr>
        <w:tcBorders>
          <w:bottom w:val="single" w:sz="4" w:space="0" w:color="64649A" w:themeColor="text1" w:themeTint="99"/>
        </w:tcBorders>
      </w:tcPr>
    </w:tblStylePr>
    <w:tblStylePr w:type="nwCell">
      <w:tblPr/>
      <w:tcPr>
        <w:tcBorders>
          <w:bottom w:val="single" w:sz="4" w:space="0" w:color="64649A" w:themeColor="text1" w:themeTint="99"/>
        </w:tcBorders>
      </w:tcPr>
    </w:tblStylePr>
    <w:tblStylePr w:type="seCell">
      <w:tblPr/>
      <w:tcPr>
        <w:tcBorders>
          <w:top w:val="single" w:sz="4" w:space="0" w:color="64649A" w:themeColor="text1" w:themeTint="99"/>
        </w:tcBorders>
      </w:tcPr>
    </w:tblStylePr>
    <w:tblStylePr w:type="swCell">
      <w:tblPr/>
      <w:tcPr>
        <w:tcBorders>
          <w:top w:val="single" w:sz="4" w:space="0" w:color="64649A" w:themeColor="text1" w:themeTint="99"/>
        </w:tcBorders>
      </w:tcPr>
    </w:tblStyle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entury Gothic" w:hAnsi="Century Gothic"/>
      <w:color w:val="222233"/>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16C87"/>
    <w:rPr>
      <w:b/>
      <w:bCs/>
    </w:rPr>
  </w:style>
  <w:style w:type="character" w:customStyle="1" w:styleId="CommentSubjectChar">
    <w:name w:val="Comment Subject Char"/>
    <w:basedOn w:val="CommentTextChar"/>
    <w:link w:val="CommentSubject"/>
    <w:uiPriority w:val="99"/>
    <w:semiHidden/>
    <w:rsid w:val="00A16C87"/>
    <w:rPr>
      <w:rFonts w:ascii="Century Gothic" w:hAnsi="Century Gothic"/>
      <w:b/>
      <w:bCs/>
      <w:color w:val="2222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64217">
      <w:bodyDiv w:val="1"/>
      <w:marLeft w:val="0"/>
      <w:marRight w:val="0"/>
      <w:marTop w:val="0"/>
      <w:marBottom w:val="0"/>
      <w:divBdr>
        <w:top w:val="none" w:sz="0" w:space="0" w:color="auto"/>
        <w:left w:val="none" w:sz="0" w:space="0" w:color="auto"/>
        <w:bottom w:val="none" w:sz="0" w:space="0" w:color="auto"/>
        <w:right w:val="none" w:sz="0" w:space="0" w:color="auto"/>
      </w:divBdr>
      <w:divsChild>
        <w:div w:id="1046641862">
          <w:marLeft w:val="0"/>
          <w:marRight w:val="0"/>
          <w:marTop w:val="0"/>
          <w:marBottom w:val="0"/>
          <w:divBdr>
            <w:top w:val="none" w:sz="0" w:space="0" w:color="auto"/>
            <w:left w:val="none" w:sz="0" w:space="0" w:color="auto"/>
            <w:bottom w:val="none" w:sz="0" w:space="0" w:color="auto"/>
            <w:right w:val="none" w:sz="0" w:space="0" w:color="auto"/>
          </w:divBdr>
          <w:divsChild>
            <w:div w:id="270943946">
              <w:marLeft w:val="-75"/>
              <w:marRight w:val="0"/>
              <w:marTop w:val="30"/>
              <w:marBottom w:val="30"/>
              <w:divBdr>
                <w:top w:val="none" w:sz="0" w:space="0" w:color="auto"/>
                <w:left w:val="none" w:sz="0" w:space="0" w:color="auto"/>
                <w:bottom w:val="none" w:sz="0" w:space="0" w:color="auto"/>
                <w:right w:val="none" w:sz="0" w:space="0" w:color="auto"/>
              </w:divBdr>
              <w:divsChild>
                <w:div w:id="3942161">
                  <w:marLeft w:val="0"/>
                  <w:marRight w:val="0"/>
                  <w:marTop w:val="0"/>
                  <w:marBottom w:val="0"/>
                  <w:divBdr>
                    <w:top w:val="none" w:sz="0" w:space="0" w:color="auto"/>
                    <w:left w:val="none" w:sz="0" w:space="0" w:color="auto"/>
                    <w:bottom w:val="none" w:sz="0" w:space="0" w:color="auto"/>
                    <w:right w:val="none" w:sz="0" w:space="0" w:color="auto"/>
                  </w:divBdr>
                  <w:divsChild>
                    <w:div w:id="572200598">
                      <w:marLeft w:val="0"/>
                      <w:marRight w:val="0"/>
                      <w:marTop w:val="0"/>
                      <w:marBottom w:val="0"/>
                      <w:divBdr>
                        <w:top w:val="none" w:sz="0" w:space="0" w:color="auto"/>
                        <w:left w:val="none" w:sz="0" w:space="0" w:color="auto"/>
                        <w:bottom w:val="none" w:sz="0" w:space="0" w:color="auto"/>
                        <w:right w:val="none" w:sz="0" w:space="0" w:color="auto"/>
                      </w:divBdr>
                    </w:div>
                  </w:divsChild>
                </w:div>
                <w:div w:id="1532256858">
                  <w:marLeft w:val="0"/>
                  <w:marRight w:val="0"/>
                  <w:marTop w:val="0"/>
                  <w:marBottom w:val="0"/>
                  <w:divBdr>
                    <w:top w:val="none" w:sz="0" w:space="0" w:color="auto"/>
                    <w:left w:val="none" w:sz="0" w:space="0" w:color="auto"/>
                    <w:bottom w:val="none" w:sz="0" w:space="0" w:color="auto"/>
                    <w:right w:val="none" w:sz="0" w:space="0" w:color="auto"/>
                  </w:divBdr>
                  <w:divsChild>
                    <w:div w:id="11014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17265">
          <w:marLeft w:val="0"/>
          <w:marRight w:val="0"/>
          <w:marTop w:val="0"/>
          <w:marBottom w:val="0"/>
          <w:divBdr>
            <w:top w:val="none" w:sz="0" w:space="0" w:color="auto"/>
            <w:left w:val="none" w:sz="0" w:space="0" w:color="auto"/>
            <w:bottom w:val="none" w:sz="0" w:space="0" w:color="auto"/>
            <w:right w:val="none" w:sz="0" w:space="0" w:color="auto"/>
          </w:divBdr>
        </w:div>
        <w:div w:id="1497570729">
          <w:marLeft w:val="0"/>
          <w:marRight w:val="0"/>
          <w:marTop w:val="0"/>
          <w:marBottom w:val="0"/>
          <w:divBdr>
            <w:top w:val="none" w:sz="0" w:space="0" w:color="auto"/>
            <w:left w:val="none" w:sz="0" w:space="0" w:color="auto"/>
            <w:bottom w:val="none" w:sz="0" w:space="0" w:color="auto"/>
            <w:right w:val="none" w:sz="0" w:space="0" w:color="auto"/>
          </w:divBdr>
        </w:div>
        <w:div w:id="1548255059">
          <w:marLeft w:val="0"/>
          <w:marRight w:val="0"/>
          <w:marTop w:val="0"/>
          <w:marBottom w:val="0"/>
          <w:divBdr>
            <w:top w:val="none" w:sz="0" w:space="0" w:color="auto"/>
            <w:left w:val="none" w:sz="0" w:space="0" w:color="auto"/>
            <w:bottom w:val="none" w:sz="0" w:space="0" w:color="auto"/>
            <w:right w:val="none" w:sz="0" w:space="0" w:color="auto"/>
          </w:divBdr>
        </w:div>
        <w:div w:id="1701514413">
          <w:marLeft w:val="0"/>
          <w:marRight w:val="0"/>
          <w:marTop w:val="0"/>
          <w:marBottom w:val="0"/>
          <w:divBdr>
            <w:top w:val="none" w:sz="0" w:space="0" w:color="auto"/>
            <w:left w:val="none" w:sz="0" w:space="0" w:color="auto"/>
            <w:bottom w:val="none" w:sz="0" w:space="0" w:color="auto"/>
            <w:right w:val="none" w:sz="0" w:space="0" w:color="auto"/>
          </w:divBdr>
          <w:divsChild>
            <w:div w:id="1865900311">
              <w:marLeft w:val="-75"/>
              <w:marRight w:val="0"/>
              <w:marTop w:val="30"/>
              <w:marBottom w:val="30"/>
              <w:divBdr>
                <w:top w:val="none" w:sz="0" w:space="0" w:color="auto"/>
                <w:left w:val="none" w:sz="0" w:space="0" w:color="auto"/>
                <w:bottom w:val="none" w:sz="0" w:space="0" w:color="auto"/>
                <w:right w:val="none" w:sz="0" w:space="0" w:color="auto"/>
              </w:divBdr>
              <w:divsChild>
                <w:div w:id="208420305">
                  <w:marLeft w:val="0"/>
                  <w:marRight w:val="0"/>
                  <w:marTop w:val="0"/>
                  <w:marBottom w:val="0"/>
                  <w:divBdr>
                    <w:top w:val="none" w:sz="0" w:space="0" w:color="auto"/>
                    <w:left w:val="none" w:sz="0" w:space="0" w:color="auto"/>
                    <w:bottom w:val="none" w:sz="0" w:space="0" w:color="auto"/>
                    <w:right w:val="none" w:sz="0" w:space="0" w:color="auto"/>
                  </w:divBdr>
                  <w:divsChild>
                    <w:div w:id="44646128">
                      <w:marLeft w:val="0"/>
                      <w:marRight w:val="0"/>
                      <w:marTop w:val="0"/>
                      <w:marBottom w:val="0"/>
                      <w:divBdr>
                        <w:top w:val="none" w:sz="0" w:space="0" w:color="auto"/>
                        <w:left w:val="none" w:sz="0" w:space="0" w:color="auto"/>
                        <w:bottom w:val="none" w:sz="0" w:space="0" w:color="auto"/>
                        <w:right w:val="none" w:sz="0" w:space="0" w:color="auto"/>
                      </w:divBdr>
                    </w:div>
                  </w:divsChild>
                </w:div>
                <w:div w:id="313725747">
                  <w:marLeft w:val="0"/>
                  <w:marRight w:val="0"/>
                  <w:marTop w:val="0"/>
                  <w:marBottom w:val="0"/>
                  <w:divBdr>
                    <w:top w:val="none" w:sz="0" w:space="0" w:color="auto"/>
                    <w:left w:val="none" w:sz="0" w:space="0" w:color="auto"/>
                    <w:bottom w:val="none" w:sz="0" w:space="0" w:color="auto"/>
                    <w:right w:val="none" w:sz="0" w:space="0" w:color="auto"/>
                  </w:divBdr>
                  <w:divsChild>
                    <w:div w:id="1391264485">
                      <w:marLeft w:val="0"/>
                      <w:marRight w:val="0"/>
                      <w:marTop w:val="0"/>
                      <w:marBottom w:val="0"/>
                      <w:divBdr>
                        <w:top w:val="none" w:sz="0" w:space="0" w:color="auto"/>
                        <w:left w:val="none" w:sz="0" w:space="0" w:color="auto"/>
                        <w:bottom w:val="none" w:sz="0" w:space="0" w:color="auto"/>
                        <w:right w:val="none" w:sz="0" w:space="0" w:color="auto"/>
                      </w:divBdr>
                    </w:div>
                  </w:divsChild>
                </w:div>
                <w:div w:id="368068904">
                  <w:marLeft w:val="0"/>
                  <w:marRight w:val="0"/>
                  <w:marTop w:val="0"/>
                  <w:marBottom w:val="0"/>
                  <w:divBdr>
                    <w:top w:val="none" w:sz="0" w:space="0" w:color="auto"/>
                    <w:left w:val="none" w:sz="0" w:space="0" w:color="auto"/>
                    <w:bottom w:val="none" w:sz="0" w:space="0" w:color="auto"/>
                    <w:right w:val="none" w:sz="0" w:space="0" w:color="auto"/>
                  </w:divBdr>
                  <w:divsChild>
                    <w:div w:id="1504859349">
                      <w:marLeft w:val="0"/>
                      <w:marRight w:val="0"/>
                      <w:marTop w:val="0"/>
                      <w:marBottom w:val="0"/>
                      <w:divBdr>
                        <w:top w:val="none" w:sz="0" w:space="0" w:color="auto"/>
                        <w:left w:val="none" w:sz="0" w:space="0" w:color="auto"/>
                        <w:bottom w:val="none" w:sz="0" w:space="0" w:color="auto"/>
                        <w:right w:val="none" w:sz="0" w:space="0" w:color="auto"/>
                      </w:divBdr>
                    </w:div>
                  </w:divsChild>
                </w:div>
                <w:div w:id="521168048">
                  <w:marLeft w:val="0"/>
                  <w:marRight w:val="0"/>
                  <w:marTop w:val="0"/>
                  <w:marBottom w:val="0"/>
                  <w:divBdr>
                    <w:top w:val="none" w:sz="0" w:space="0" w:color="auto"/>
                    <w:left w:val="none" w:sz="0" w:space="0" w:color="auto"/>
                    <w:bottom w:val="none" w:sz="0" w:space="0" w:color="auto"/>
                    <w:right w:val="none" w:sz="0" w:space="0" w:color="auto"/>
                  </w:divBdr>
                  <w:divsChild>
                    <w:div w:id="597254302">
                      <w:marLeft w:val="0"/>
                      <w:marRight w:val="0"/>
                      <w:marTop w:val="0"/>
                      <w:marBottom w:val="0"/>
                      <w:divBdr>
                        <w:top w:val="none" w:sz="0" w:space="0" w:color="auto"/>
                        <w:left w:val="none" w:sz="0" w:space="0" w:color="auto"/>
                        <w:bottom w:val="none" w:sz="0" w:space="0" w:color="auto"/>
                        <w:right w:val="none" w:sz="0" w:space="0" w:color="auto"/>
                      </w:divBdr>
                    </w:div>
                  </w:divsChild>
                </w:div>
                <w:div w:id="674110970">
                  <w:marLeft w:val="0"/>
                  <w:marRight w:val="0"/>
                  <w:marTop w:val="0"/>
                  <w:marBottom w:val="0"/>
                  <w:divBdr>
                    <w:top w:val="none" w:sz="0" w:space="0" w:color="auto"/>
                    <w:left w:val="none" w:sz="0" w:space="0" w:color="auto"/>
                    <w:bottom w:val="none" w:sz="0" w:space="0" w:color="auto"/>
                    <w:right w:val="none" w:sz="0" w:space="0" w:color="auto"/>
                  </w:divBdr>
                  <w:divsChild>
                    <w:div w:id="573899687">
                      <w:marLeft w:val="0"/>
                      <w:marRight w:val="0"/>
                      <w:marTop w:val="0"/>
                      <w:marBottom w:val="0"/>
                      <w:divBdr>
                        <w:top w:val="none" w:sz="0" w:space="0" w:color="auto"/>
                        <w:left w:val="none" w:sz="0" w:space="0" w:color="auto"/>
                        <w:bottom w:val="none" w:sz="0" w:space="0" w:color="auto"/>
                        <w:right w:val="none" w:sz="0" w:space="0" w:color="auto"/>
                      </w:divBdr>
                    </w:div>
                  </w:divsChild>
                </w:div>
                <w:div w:id="798570712">
                  <w:marLeft w:val="0"/>
                  <w:marRight w:val="0"/>
                  <w:marTop w:val="0"/>
                  <w:marBottom w:val="0"/>
                  <w:divBdr>
                    <w:top w:val="none" w:sz="0" w:space="0" w:color="auto"/>
                    <w:left w:val="none" w:sz="0" w:space="0" w:color="auto"/>
                    <w:bottom w:val="none" w:sz="0" w:space="0" w:color="auto"/>
                    <w:right w:val="none" w:sz="0" w:space="0" w:color="auto"/>
                  </w:divBdr>
                  <w:divsChild>
                    <w:div w:id="99104533">
                      <w:marLeft w:val="0"/>
                      <w:marRight w:val="0"/>
                      <w:marTop w:val="0"/>
                      <w:marBottom w:val="0"/>
                      <w:divBdr>
                        <w:top w:val="none" w:sz="0" w:space="0" w:color="auto"/>
                        <w:left w:val="none" w:sz="0" w:space="0" w:color="auto"/>
                        <w:bottom w:val="none" w:sz="0" w:space="0" w:color="auto"/>
                        <w:right w:val="none" w:sz="0" w:space="0" w:color="auto"/>
                      </w:divBdr>
                    </w:div>
                  </w:divsChild>
                </w:div>
                <w:div w:id="812059761">
                  <w:marLeft w:val="0"/>
                  <w:marRight w:val="0"/>
                  <w:marTop w:val="0"/>
                  <w:marBottom w:val="0"/>
                  <w:divBdr>
                    <w:top w:val="none" w:sz="0" w:space="0" w:color="auto"/>
                    <w:left w:val="none" w:sz="0" w:space="0" w:color="auto"/>
                    <w:bottom w:val="none" w:sz="0" w:space="0" w:color="auto"/>
                    <w:right w:val="none" w:sz="0" w:space="0" w:color="auto"/>
                  </w:divBdr>
                  <w:divsChild>
                    <w:div w:id="1161459925">
                      <w:marLeft w:val="0"/>
                      <w:marRight w:val="0"/>
                      <w:marTop w:val="0"/>
                      <w:marBottom w:val="0"/>
                      <w:divBdr>
                        <w:top w:val="none" w:sz="0" w:space="0" w:color="auto"/>
                        <w:left w:val="none" w:sz="0" w:space="0" w:color="auto"/>
                        <w:bottom w:val="none" w:sz="0" w:space="0" w:color="auto"/>
                        <w:right w:val="none" w:sz="0" w:space="0" w:color="auto"/>
                      </w:divBdr>
                    </w:div>
                  </w:divsChild>
                </w:div>
                <w:div w:id="814251410">
                  <w:marLeft w:val="0"/>
                  <w:marRight w:val="0"/>
                  <w:marTop w:val="0"/>
                  <w:marBottom w:val="0"/>
                  <w:divBdr>
                    <w:top w:val="none" w:sz="0" w:space="0" w:color="auto"/>
                    <w:left w:val="none" w:sz="0" w:space="0" w:color="auto"/>
                    <w:bottom w:val="none" w:sz="0" w:space="0" w:color="auto"/>
                    <w:right w:val="none" w:sz="0" w:space="0" w:color="auto"/>
                  </w:divBdr>
                  <w:divsChild>
                    <w:div w:id="1141776594">
                      <w:marLeft w:val="0"/>
                      <w:marRight w:val="0"/>
                      <w:marTop w:val="0"/>
                      <w:marBottom w:val="0"/>
                      <w:divBdr>
                        <w:top w:val="none" w:sz="0" w:space="0" w:color="auto"/>
                        <w:left w:val="none" w:sz="0" w:space="0" w:color="auto"/>
                        <w:bottom w:val="none" w:sz="0" w:space="0" w:color="auto"/>
                        <w:right w:val="none" w:sz="0" w:space="0" w:color="auto"/>
                      </w:divBdr>
                    </w:div>
                  </w:divsChild>
                </w:div>
                <w:div w:id="1237205991">
                  <w:marLeft w:val="0"/>
                  <w:marRight w:val="0"/>
                  <w:marTop w:val="0"/>
                  <w:marBottom w:val="0"/>
                  <w:divBdr>
                    <w:top w:val="none" w:sz="0" w:space="0" w:color="auto"/>
                    <w:left w:val="none" w:sz="0" w:space="0" w:color="auto"/>
                    <w:bottom w:val="none" w:sz="0" w:space="0" w:color="auto"/>
                    <w:right w:val="none" w:sz="0" w:space="0" w:color="auto"/>
                  </w:divBdr>
                  <w:divsChild>
                    <w:div w:id="9379670">
                      <w:marLeft w:val="0"/>
                      <w:marRight w:val="0"/>
                      <w:marTop w:val="0"/>
                      <w:marBottom w:val="0"/>
                      <w:divBdr>
                        <w:top w:val="none" w:sz="0" w:space="0" w:color="auto"/>
                        <w:left w:val="none" w:sz="0" w:space="0" w:color="auto"/>
                        <w:bottom w:val="none" w:sz="0" w:space="0" w:color="auto"/>
                        <w:right w:val="none" w:sz="0" w:space="0" w:color="auto"/>
                      </w:divBdr>
                    </w:div>
                  </w:divsChild>
                </w:div>
                <w:div w:id="1491822416">
                  <w:marLeft w:val="0"/>
                  <w:marRight w:val="0"/>
                  <w:marTop w:val="0"/>
                  <w:marBottom w:val="0"/>
                  <w:divBdr>
                    <w:top w:val="none" w:sz="0" w:space="0" w:color="auto"/>
                    <w:left w:val="none" w:sz="0" w:space="0" w:color="auto"/>
                    <w:bottom w:val="none" w:sz="0" w:space="0" w:color="auto"/>
                    <w:right w:val="none" w:sz="0" w:space="0" w:color="auto"/>
                  </w:divBdr>
                  <w:divsChild>
                    <w:div w:id="468329547">
                      <w:marLeft w:val="0"/>
                      <w:marRight w:val="0"/>
                      <w:marTop w:val="0"/>
                      <w:marBottom w:val="0"/>
                      <w:divBdr>
                        <w:top w:val="none" w:sz="0" w:space="0" w:color="auto"/>
                        <w:left w:val="none" w:sz="0" w:space="0" w:color="auto"/>
                        <w:bottom w:val="none" w:sz="0" w:space="0" w:color="auto"/>
                        <w:right w:val="none" w:sz="0" w:space="0" w:color="auto"/>
                      </w:divBdr>
                    </w:div>
                  </w:divsChild>
                </w:div>
                <w:div w:id="1581596600">
                  <w:marLeft w:val="0"/>
                  <w:marRight w:val="0"/>
                  <w:marTop w:val="0"/>
                  <w:marBottom w:val="0"/>
                  <w:divBdr>
                    <w:top w:val="none" w:sz="0" w:space="0" w:color="auto"/>
                    <w:left w:val="none" w:sz="0" w:space="0" w:color="auto"/>
                    <w:bottom w:val="none" w:sz="0" w:space="0" w:color="auto"/>
                    <w:right w:val="none" w:sz="0" w:space="0" w:color="auto"/>
                  </w:divBdr>
                  <w:divsChild>
                    <w:div w:id="738209427">
                      <w:marLeft w:val="0"/>
                      <w:marRight w:val="0"/>
                      <w:marTop w:val="0"/>
                      <w:marBottom w:val="0"/>
                      <w:divBdr>
                        <w:top w:val="none" w:sz="0" w:space="0" w:color="auto"/>
                        <w:left w:val="none" w:sz="0" w:space="0" w:color="auto"/>
                        <w:bottom w:val="none" w:sz="0" w:space="0" w:color="auto"/>
                        <w:right w:val="none" w:sz="0" w:space="0" w:color="auto"/>
                      </w:divBdr>
                    </w:div>
                  </w:divsChild>
                </w:div>
                <w:div w:id="1819957599">
                  <w:marLeft w:val="0"/>
                  <w:marRight w:val="0"/>
                  <w:marTop w:val="0"/>
                  <w:marBottom w:val="0"/>
                  <w:divBdr>
                    <w:top w:val="none" w:sz="0" w:space="0" w:color="auto"/>
                    <w:left w:val="none" w:sz="0" w:space="0" w:color="auto"/>
                    <w:bottom w:val="none" w:sz="0" w:space="0" w:color="auto"/>
                    <w:right w:val="none" w:sz="0" w:space="0" w:color="auto"/>
                  </w:divBdr>
                  <w:divsChild>
                    <w:div w:id="275413070">
                      <w:marLeft w:val="0"/>
                      <w:marRight w:val="0"/>
                      <w:marTop w:val="0"/>
                      <w:marBottom w:val="0"/>
                      <w:divBdr>
                        <w:top w:val="none" w:sz="0" w:space="0" w:color="auto"/>
                        <w:left w:val="none" w:sz="0" w:space="0" w:color="auto"/>
                        <w:bottom w:val="none" w:sz="0" w:space="0" w:color="auto"/>
                        <w:right w:val="none" w:sz="0" w:space="0" w:color="auto"/>
                      </w:divBdr>
                    </w:div>
                  </w:divsChild>
                </w:div>
                <w:div w:id="1952127665">
                  <w:marLeft w:val="0"/>
                  <w:marRight w:val="0"/>
                  <w:marTop w:val="0"/>
                  <w:marBottom w:val="0"/>
                  <w:divBdr>
                    <w:top w:val="none" w:sz="0" w:space="0" w:color="auto"/>
                    <w:left w:val="none" w:sz="0" w:space="0" w:color="auto"/>
                    <w:bottom w:val="none" w:sz="0" w:space="0" w:color="auto"/>
                    <w:right w:val="none" w:sz="0" w:space="0" w:color="auto"/>
                  </w:divBdr>
                  <w:divsChild>
                    <w:div w:id="2071493420">
                      <w:marLeft w:val="0"/>
                      <w:marRight w:val="0"/>
                      <w:marTop w:val="0"/>
                      <w:marBottom w:val="0"/>
                      <w:divBdr>
                        <w:top w:val="none" w:sz="0" w:space="0" w:color="auto"/>
                        <w:left w:val="none" w:sz="0" w:space="0" w:color="auto"/>
                        <w:bottom w:val="none" w:sz="0" w:space="0" w:color="auto"/>
                        <w:right w:val="none" w:sz="0" w:space="0" w:color="auto"/>
                      </w:divBdr>
                    </w:div>
                  </w:divsChild>
                </w:div>
                <w:div w:id="1985696154">
                  <w:marLeft w:val="0"/>
                  <w:marRight w:val="0"/>
                  <w:marTop w:val="0"/>
                  <w:marBottom w:val="0"/>
                  <w:divBdr>
                    <w:top w:val="none" w:sz="0" w:space="0" w:color="auto"/>
                    <w:left w:val="none" w:sz="0" w:space="0" w:color="auto"/>
                    <w:bottom w:val="none" w:sz="0" w:space="0" w:color="auto"/>
                    <w:right w:val="none" w:sz="0" w:space="0" w:color="auto"/>
                  </w:divBdr>
                  <w:divsChild>
                    <w:div w:id="1673296951">
                      <w:marLeft w:val="0"/>
                      <w:marRight w:val="0"/>
                      <w:marTop w:val="0"/>
                      <w:marBottom w:val="0"/>
                      <w:divBdr>
                        <w:top w:val="none" w:sz="0" w:space="0" w:color="auto"/>
                        <w:left w:val="none" w:sz="0" w:space="0" w:color="auto"/>
                        <w:bottom w:val="none" w:sz="0" w:space="0" w:color="auto"/>
                        <w:right w:val="none" w:sz="0" w:space="0" w:color="auto"/>
                      </w:divBdr>
                    </w:div>
                  </w:divsChild>
                </w:div>
                <w:div w:id="2073113659">
                  <w:marLeft w:val="0"/>
                  <w:marRight w:val="0"/>
                  <w:marTop w:val="0"/>
                  <w:marBottom w:val="0"/>
                  <w:divBdr>
                    <w:top w:val="none" w:sz="0" w:space="0" w:color="auto"/>
                    <w:left w:val="none" w:sz="0" w:space="0" w:color="auto"/>
                    <w:bottom w:val="none" w:sz="0" w:space="0" w:color="auto"/>
                    <w:right w:val="none" w:sz="0" w:space="0" w:color="auto"/>
                  </w:divBdr>
                  <w:divsChild>
                    <w:div w:id="1294825967">
                      <w:marLeft w:val="0"/>
                      <w:marRight w:val="0"/>
                      <w:marTop w:val="0"/>
                      <w:marBottom w:val="0"/>
                      <w:divBdr>
                        <w:top w:val="none" w:sz="0" w:space="0" w:color="auto"/>
                        <w:left w:val="none" w:sz="0" w:space="0" w:color="auto"/>
                        <w:bottom w:val="none" w:sz="0" w:space="0" w:color="auto"/>
                        <w:right w:val="none" w:sz="0" w:space="0" w:color="auto"/>
                      </w:divBdr>
                    </w:div>
                  </w:divsChild>
                </w:div>
                <w:div w:id="2079205380">
                  <w:marLeft w:val="0"/>
                  <w:marRight w:val="0"/>
                  <w:marTop w:val="0"/>
                  <w:marBottom w:val="0"/>
                  <w:divBdr>
                    <w:top w:val="none" w:sz="0" w:space="0" w:color="auto"/>
                    <w:left w:val="none" w:sz="0" w:space="0" w:color="auto"/>
                    <w:bottom w:val="none" w:sz="0" w:space="0" w:color="auto"/>
                    <w:right w:val="none" w:sz="0" w:space="0" w:color="auto"/>
                  </w:divBdr>
                  <w:divsChild>
                    <w:div w:id="36667267">
                      <w:marLeft w:val="0"/>
                      <w:marRight w:val="0"/>
                      <w:marTop w:val="0"/>
                      <w:marBottom w:val="0"/>
                      <w:divBdr>
                        <w:top w:val="none" w:sz="0" w:space="0" w:color="auto"/>
                        <w:left w:val="none" w:sz="0" w:space="0" w:color="auto"/>
                        <w:bottom w:val="none" w:sz="0" w:space="0" w:color="auto"/>
                        <w:right w:val="none" w:sz="0" w:space="0" w:color="auto"/>
                      </w:divBdr>
                    </w:div>
                  </w:divsChild>
                </w:div>
                <w:div w:id="2104642661">
                  <w:marLeft w:val="0"/>
                  <w:marRight w:val="0"/>
                  <w:marTop w:val="0"/>
                  <w:marBottom w:val="0"/>
                  <w:divBdr>
                    <w:top w:val="none" w:sz="0" w:space="0" w:color="auto"/>
                    <w:left w:val="none" w:sz="0" w:space="0" w:color="auto"/>
                    <w:bottom w:val="none" w:sz="0" w:space="0" w:color="auto"/>
                    <w:right w:val="none" w:sz="0" w:space="0" w:color="auto"/>
                  </w:divBdr>
                  <w:divsChild>
                    <w:div w:id="14011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88218">
          <w:marLeft w:val="0"/>
          <w:marRight w:val="0"/>
          <w:marTop w:val="0"/>
          <w:marBottom w:val="0"/>
          <w:divBdr>
            <w:top w:val="none" w:sz="0" w:space="0" w:color="auto"/>
            <w:left w:val="none" w:sz="0" w:space="0" w:color="auto"/>
            <w:bottom w:val="none" w:sz="0" w:space="0" w:color="auto"/>
            <w:right w:val="none" w:sz="0" w:space="0" w:color="auto"/>
          </w:divBdr>
        </w:div>
        <w:div w:id="2104910627">
          <w:marLeft w:val="0"/>
          <w:marRight w:val="0"/>
          <w:marTop w:val="0"/>
          <w:marBottom w:val="0"/>
          <w:divBdr>
            <w:top w:val="none" w:sz="0" w:space="0" w:color="auto"/>
            <w:left w:val="none" w:sz="0" w:space="0" w:color="auto"/>
            <w:bottom w:val="none" w:sz="0" w:space="0" w:color="auto"/>
            <w:right w:val="none" w:sz="0" w:space="0" w:color="auto"/>
          </w:divBdr>
        </w:div>
      </w:divsChild>
    </w:div>
    <w:div w:id="942419275">
      <w:bodyDiv w:val="1"/>
      <w:marLeft w:val="0"/>
      <w:marRight w:val="0"/>
      <w:marTop w:val="0"/>
      <w:marBottom w:val="0"/>
      <w:divBdr>
        <w:top w:val="none" w:sz="0" w:space="0" w:color="auto"/>
        <w:left w:val="none" w:sz="0" w:space="0" w:color="auto"/>
        <w:bottom w:val="none" w:sz="0" w:space="0" w:color="auto"/>
        <w:right w:val="none" w:sz="0" w:space="0" w:color="auto"/>
      </w:divBdr>
    </w:div>
    <w:div w:id="1176069177">
      <w:bodyDiv w:val="1"/>
      <w:marLeft w:val="0"/>
      <w:marRight w:val="0"/>
      <w:marTop w:val="0"/>
      <w:marBottom w:val="0"/>
      <w:divBdr>
        <w:top w:val="none" w:sz="0" w:space="0" w:color="auto"/>
        <w:left w:val="none" w:sz="0" w:space="0" w:color="auto"/>
        <w:bottom w:val="none" w:sz="0" w:space="0" w:color="auto"/>
        <w:right w:val="none" w:sz="0" w:space="0" w:color="auto"/>
      </w:divBdr>
    </w:div>
    <w:div w:id="1781409555">
      <w:bodyDiv w:val="1"/>
      <w:marLeft w:val="0"/>
      <w:marRight w:val="0"/>
      <w:marTop w:val="0"/>
      <w:marBottom w:val="0"/>
      <w:divBdr>
        <w:top w:val="none" w:sz="0" w:space="0" w:color="auto"/>
        <w:left w:val="none" w:sz="0" w:space="0" w:color="auto"/>
        <w:bottom w:val="none" w:sz="0" w:space="0" w:color="auto"/>
        <w:right w:val="none" w:sz="0" w:space="0" w:color="auto"/>
      </w:divBdr>
      <w:divsChild>
        <w:div w:id="128671285">
          <w:marLeft w:val="0"/>
          <w:marRight w:val="0"/>
          <w:marTop w:val="0"/>
          <w:marBottom w:val="0"/>
          <w:divBdr>
            <w:top w:val="none" w:sz="0" w:space="0" w:color="auto"/>
            <w:left w:val="none" w:sz="0" w:space="0" w:color="auto"/>
            <w:bottom w:val="none" w:sz="0" w:space="0" w:color="auto"/>
            <w:right w:val="none" w:sz="0" w:space="0" w:color="auto"/>
          </w:divBdr>
        </w:div>
        <w:div w:id="1188522618">
          <w:marLeft w:val="0"/>
          <w:marRight w:val="0"/>
          <w:marTop w:val="0"/>
          <w:marBottom w:val="0"/>
          <w:divBdr>
            <w:top w:val="none" w:sz="0" w:space="0" w:color="auto"/>
            <w:left w:val="none" w:sz="0" w:space="0" w:color="auto"/>
            <w:bottom w:val="none" w:sz="0" w:space="0" w:color="auto"/>
            <w:right w:val="none" w:sz="0" w:space="0" w:color="auto"/>
          </w:divBdr>
        </w:div>
        <w:div w:id="2028287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package" Target="embeddings/Microsoft_Word_Document1.doc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hyperlink" Target="https://rise.articulate.com/share/dgQzl3ax38sN6oVrNCenQW1RKMFHStYO" TargetMode="External"/><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klinkdelivery@xoserve.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uklink@xoserve.com"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rise.articulate.com/share/dgQzl3ax38sN6oVrNCenQW1RKMFHStY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package" Target="embeddings/Microsoft_Excel_Worksheet.xlsx"/><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Custom 1">
      <a:dk1>
        <a:srgbClr val="212133"/>
      </a:dk1>
      <a:lt1>
        <a:srgbClr val="F5F7FF"/>
      </a:lt1>
      <a:dk2>
        <a:srgbClr val="212133"/>
      </a:dk2>
      <a:lt2>
        <a:srgbClr val="F5F7FF"/>
      </a:lt2>
      <a:accent1>
        <a:srgbClr val="5947FC"/>
      </a:accent1>
      <a:accent2>
        <a:srgbClr val="6680FF"/>
      </a:accent2>
      <a:accent3>
        <a:srgbClr val="57BAE5"/>
      </a:accent3>
      <a:accent4>
        <a:srgbClr val="0F9ED5"/>
      </a:accent4>
      <a:accent5>
        <a:srgbClr val="ED45AB"/>
      </a:accent5>
      <a:accent6>
        <a:srgbClr val="00BF75"/>
      </a:accent6>
      <a:hlink>
        <a:srgbClr val="5947FC"/>
      </a:hlink>
      <a:folHlink>
        <a:srgbClr val="ED45A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2497C3D8F507488A9CDD43D440A310" ma:contentTypeVersion="9" ma:contentTypeDescription="Create a new document." ma:contentTypeScope="" ma:versionID="f0b7d57ef7209a77ee40aff37bb95d76">
  <xsd:schema xmlns:xsd="http://www.w3.org/2001/XMLSchema" xmlns:xs="http://www.w3.org/2001/XMLSchema" xmlns:p="http://schemas.microsoft.com/office/2006/metadata/properties" xmlns:ns2="13af0b2b-8185-4f6e-b1da-6ba5995e69fd" xmlns:ns3="103fba77-31dd-4780-83f9-c54f26c3a260" targetNamespace="http://schemas.microsoft.com/office/2006/metadata/properties" ma:root="true" ma:fieldsID="18f129e198fdc70392cb2045533f5cc8" ns2:_="" ns3:_="">
    <xsd:import namespace="13af0b2b-8185-4f6e-b1da-6ba5995e69fd"/>
    <xsd:import namespace="103fba77-31dd-4780-83f9-c54f26c3a2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f0b2b-8185-4f6e-b1da-6ba5995e6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3fba77-31dd-4780-83f9-c54f26c3a2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71B7E-5720-4C0A-998D-BE5A79D2FED2}">
  <ds:schemaRefs>
    <ds:schemaRef ds:uri="http://schemas.microsoft.com/sharepoint/v3/contenttype/forms"/>
  </ds:schemaRefs>
</ds:datastoreItem>
</file>

<file path=customXml/itemProps2.xml><?xml version="1.0" encoding="utf-8"?>
<ds:datastoreItem xmlns:ds="http://schemas.openxmlformats.org/officeDocument/2006/customXml" ds:itemID="{A65EEC2D-33CB-45F7-88AE-8776C1F7563A}">
  <ds:schemaRefs>
    <ds:schemaRef ds:uri="http://schemas.openxmlformats.org/officeDocument/2006/bibliography"/>
  </ds:schemaRefs>
</ds:datastoreItem>
</file>

<file path=customXml/itemProps3.xml><?xml version="1.0" encoding="utf-8"?>
<ds:datastoreItem xmlns:ds="http://schemas.openxmlformats.org/officeDocument/2006/customXml" ds:itemID="{17A53034-942F-4FD5-8ED7-B72BFCB1B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f0b2b-8185-4f6e-b1da-6ba5995e69fd"/>
    <ds:schemaRef ds:uri="103fba77-31dd-4780-83f9-c54f26c3a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648F0-D876-4245-AAE9-371B600B8F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2622</Words>
  <Characters>14949</Characters>
  <Application>Microsoft Office Word</Application>
  <DocSecurity>0</DocSecurity>
  <Lines>124</Lines>
  <Paragraphs>35</Paragraphs>
  <ScaleCrop>false</ScaleCrop>
  <Company/>
  <LinksUpToDate>false</LinksUpToDate>
  <CharactersWithSpaces>17536</CharactersWithSpaces>
  <SharedDoc>false</SharedDoc>
  <HLinks>
    <vt:vector size="24" baseType="variant">
      <vt:variant>
        <vt:i4>6815836</vt:i4>
      </vt:variant>
      <vt:variant>
        <vt:i4>48</vt:i4>
      </vt:variant>
      <vt:variant>
        <vt:i4>0</vt:i4>
      </vt:variant>
      <vt:variant>
        <vt:i4>5</vt:i4>
      </vt:variant>
      <vt:variant>
        <vt:lpwstr>mailto:uklink@xoserve.com</vt:lpwstr>
      </vt:variant>
      <vt:variant>
        <vt:lpwstr/>
      </vt:variant>
      <vt:variant>
        <vt:i4>6815835</vt:i4>
      </vt:variant>
      <vt:variant>
        <vt:i4>12</vt:i4>
      </vt:variant>
      <vt:variant>
        <vt:i4>0</vt:i4>
      </vt:variant>
      <vt:variant>
        <vt:i4>5</vt:i4>
      </vt:variant>
      <vt:variant>
        <vt:lpwstr>https://rise.articulate.com/share/dgQzl3ax38sN6oVrNCenQW1RKMFHStYO</vt:lpwstr>
      </vt:variant>
      <vt:variant>
        <vt:lpwstr>/lessons/ANPklmQSFdOHFyikhXtkjfh3AZr7BBPg]</vt:lpwstr>
      </vt:variant>
      <vt:variant>
        <vt:i4>2424938</vt:i4>
      </vt:variant>
      <vt:variant>
        <vt:i4>3</vt:i4>
      </vt:variant>
      <vt:variant>
        <vt:i4>0</vt:i4>
      </vt:variant>
      <vt:variant>
        <vt:i4>5</vt:i4>
      </vt:variant>
      <vt:variant>
        <vt:lpwstr>https://rise.articulate.com/share/dgQzl3ax38sN6oVrNCenQW1RKMFHStYO</vt:lpwstr>
      </vt:variant>
      <vt:variant>
        <vt:lpwstr>/lessons/2EA00eDE45usMUr1dmXZt3M7IBQT4hu6</vt:lpwstr>
      </vt:variant>
      <vt:variant>
        <vt:i4>6553676</vt:i4>
      </vt:variant>
      <vt:variant>
        <vt:i4>0</vt:i4>
      </vt:variant>
      <vt:variant>
        <vt:i4>0</vt:i4>
      </vt:variant>
      <vt:variant>
        <vt:i4>5</vt:i4>
      </vt:variant>
      <vt:variant>
        <vt:lpwstr>mailto:uklinkdelivery@xoserve.com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Clark</dc:creator>
  <cp:keywords/>
  <dc:description/>
  <cp:lastModifiedBy>Vikki Orsler</cp:lastModifiedBy>
  <cp:revision>56</cp:revision>
  <dcterms:created xsi:type="dcterms:W3CDTF">2025-10-10T09:25:00Z</dcterms:created>
  <dcterms:modified xsi:type="dcterms:W3CDTF">2025-10-13T09:07:00Z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0x010100302497C3D8F507488A9CDD43D440A310</vt:lpwstr>
  </property>
  <property fmtid="{D5CDD505-2E9C-101B-9397-08002B2CF9AE}" pid="3" name="MediaServiceImageTags">
    <vt:lpwstr/>
  </property>
</Properties>
</file>