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46184171d4edf" /><Relationship Type="http://schemas.openxmlformats.org/package/2006/relationships/metadata/core-properties" Target="/docProps/core.xml" Id="R50567af897814a9d" /><Relationship Type="http://schemas.openxmlformats.org/officeDocument/2006/relationships/extended-properties" Target="/docProps/app.xml" Id="R924c1a0025bb41d5" /><Relationship Type="http://schemas.openxmlformats.org/officeDocument/2006/relationships/custom-properties" Target="/docProps/custom.xml" Id="R127d4c5cc9dc4cb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/>
        </w:rPr>
        <w:pStyle w:val="Title"/>
      </w:pPr>
      <w:r>
        <w:rPr>
          <w:rFonts w:ascii="Calibri" w:hAnsi="Calibri" w:cs="Calibri"/>
        </w:rPr>
        <w:t>High Level Solution Options</w:t>
      </w:r>
      <w:r>
        <w:rPr>
          <w:rFonts w:ascii="Calibri" w:hAnsi="Calibri" w:cs="Calibri"/>
        </w:rPr>
        <w:t xml:space="preserve"> Change Pack</w:t>
      </w:r>
    </w:p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>Communication Detail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567"/>
        <w:gridCol w:w="7927"/>
      </w:tblGrid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Comm Reference: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3373.4 – KL - PO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Comm Title: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XRN5924 - Physical Information Exchange (PIX) Ongoing Support Options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Comm Date:</w:t>
            </w:r>
          </w:p>
        </w:tc>
        <w:tc>
          <w:tcPr>
            <w:tcW w:type="pct" w:w="3777"/>
            <w:vAlign w:val="center"/>
          </w:tcPr>
          <w:sdt>
            <w:sdtPr>
              <w:rPr>
                <w:rFonts w:ascii="Calibri" w:hAnsi="Calibri" w:cs="Calibri"/>
              </w:rPr>
              <w:id w:val="-1238475608"/>
              <w:date w:fullDate="2025-05-12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>
                <w:pPr/>
                <w:r>
                  <w:rPr>
                    <w:rFonts w:ascii="Calibri" w:hAnsi="Calibri" w:cs="Calibri"/>
                  </w:rPr>
                  <w:t>12/05/2025</w:t>
                </w:r>
              </w:p>
            </w:sdtContent>
          </w:sdt>
        </w:tc>
      </w:tr>
    </w:tbl>
    <w:p>
      <w:pPr>
        <w:rPr>
          <w:rFonts w:ascii="Calibri" w:hAnsi="Calibri" w:cs="Calibri"/>
        </w:rPr>
      </w:pPr>
    </w:p>
    <w:p>
      <w:pPr>
        <w:rPr>
          <w:b w:val="1"/>
          <w:bCs w:val="1"/>
          <w:color w:val="3E5AA8"/>
          <w:rFonts w:ascii="Calibri" w:hAnsi="Calibri" w:cs="Calibri"/>
          <w:sz w:val="28"/>
          <w:szCs w:val="28"/>
        </w:rPr>
        <w:spacing w:after="0"/>
      </w:pPr>
      <w:r>
        <w:rPr>
          <w:b w:val="1"/>
          <w:bCs w:val="1"/>
          <w:color w:val="3E5AA8"/>
          <w:rFonts w:ascii="Calibri" w:hAnsi="Calibri" w:cs="Calibri"/>
          <w:sz w:val="28"/>
          <w:szCs w:val="28"/>
        </w:rPr>
        <w:t>Change Representation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567"/>
        <w:gridCol w:w="7927"/>
      </w:tblGrid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Action Required: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Representation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Close Out Date:</w:t>
            </w:r>
          </w:p>
        </w:tc>
        <w:tc>
          <w:tcPr>
            <w:tcW w:type="pct" w:w="3777"/>
            <w:vAlign w:val="center"/>
          </w:tcPr>
          <w:sdt>
            <w:sdtPr>
              <w:rPr>
                <w:rFonts w:ascii="Calibri" w:hAnsi="Calibri" w:cs="Calibri"/>
              </w:rPr>
              <w:id w:val="2100211890"/>
              <w:date w:fullDate="2025-05-27T00:00:00Z">
                <w:dateFormat w:val="dd/MM/yyyy"/>
                <w:lid w:val="en-GB"/>
                <w:storeMappedDataAs w:val="dateTime"/>
                <w:calendar w:val="gregorian"/>
              </w:date>
            </w:sdtPr>
            <w:sdtContent>
              <w:p>
                <w:pPr/>
                <w:r>
                  <w:rPr>
                    <w:rFonts w:ascii="Calibri" w:hAnsi="Calibri" w:cs="Calibri"/>
                  </w:rPr>
                  <w:t>27/05/2025</w:t>
                </w:r>
              </w:p>
            </w:sdtContent>
          </w:sdt>
        </w:tc>
      </w:tr>
    </w:tbl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>Change Detail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567"/>
        <w:gridCol w:w="7927"/>
      </w:tblGrid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 xml:space="preserve">Xoserve Reference Number: 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XRN5924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ChMC Constituency Impacted: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All DSC </w:t>
            </w:r>
            <w:r>
              <w:rPr>
                <w:rFonts w:ascii="Calibri" w:hAnsi="Calibri" w:cs="Calibri"/>
              </w:rPr>
              <w:t>Customer Constituencies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 xml:space="preserve">Change Owner: 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hyperlink r:id="Rda07c0a616d942c9">
              <w:r>
                <w:rPr>
                  <w:rStyle w:val="Hyperlink"/>
                  <w:rFonts w:ascii="Calibri" w:hAnsi="Calibri" w:cs="Calibri"/>
                </w:rPr>
                <w:t>uklink@xoserve.com</w:t>
              </w:r>
            </w:hyperlink>
            <w:r>
              <w:rPr>
                <w:rFonts w:ascii="Calibri" w:hAnsi="Calibri" w:cs="Calibri"/>
                <w:highlight w:val="yellow"/>
              </w:rPr>
              <w:t xml:space="preserve"> 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Background and Context: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As agreed at Contract Management Committee (CoMC) on the 16 April 2025, Change Proposal (XRN5924) has been raised and </w:t>
            </w:r>
            <w:r>
              <w:rPr>
                <w:rFonts w:ascii="Calibri" w:hAnsi="Calibri" w:cs="Calibri"/>
              </w:rPr>
              <w:t xml:space="preserve">Solution Option </w:t>
            </w:r>
            <w:r>
              <w:rPr>
                <w:rFonts w:ascii="Calibri" w:hAnsi="Calibri" w:cs="Calibri"/>
              </w:rPr>
              <w:t xml:space="preserve">Change Pack issued to gather feedback from </w:t>
            </w:r>
            <w:r>
              <w:rPr>
                <w:rFonts w:ascii="Calibri" w:hAnsi="Calibri" w:cs="Calibri"/>
                <w:i w:val="1"/>
                <w:iCs w:val="1"/>
              </w:rPr>
              <w:t>a)</w:t>
            </w:r>
            <w:r>
              <w:rPr>
                <w:rFonts w:ascii="Calibri" w:hAnsi="Calibri" w:cs="Calibri"/>
              </w:rPr>
              <w:t xml:space="preserve"> DSC Customers on the CDSPs proposal in relation to</w:t>
            </w:r>
            <w:r>
              <w:rPr>
                <w:rFonts w:ascii="Calibri" w:hAnsi="Calibri" w:cs="Calibri"/>
              </w:rPr>
              <w:t xml:space="preserve"> the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legacy </w:t>
            </w:r>
            <w:r>
              <w:rPr>
                <w:rFonts w:ascii="Calibri" w:hAnsi="Calibri" w:cs="Calibri"/>
              </w:rPr>
              <w:t xml:space="preserve">Physical </w:t>
            </w:r>
            <w:r>
              <w:rPr>
                <w:rFonts w:ascii="Calibri" w:hAnsi="Calibri" w:cs="Calibri"/>
              </w:rPr>
              <w:t>Information Exchange (</w:t>
            </w:r>
            <w:r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IX)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service</w:t>
            </w:r>
            <w:r>
              <w:rPr>
                <w:rFonts w:ascii="Calibri" w:hAnsi="Calibri" w:cs="Calibri"/>
              </w:rPr>
              <w:t xml:space="preserve"> and </w:t>
            </w:r>
            <w:r>
              <w:rPr>
                <w:rFonts w:ascii="Calibri" w:hAnsi="Calibri" w:cs="Calibri"/>
                <w:i w:val="1"/>
                <w:iCs w:val="1"/>
              </w:rPr>
              <w:t>b)</w:t>
            </w:r>
            <w:r>
              <w:rPr>
                <w:rFonts w:ascii="Calibri" w:hAnsi="Calibri" w:cs="Calibri"/>
              </w:rPr>
              <w:t xml:space="preserve"> All IX </w:t>
            </w:r>
            <w:r>
              <w:rPr>
                <w:rFonts w:ascii="Calibri" w:hAnsi="Calibri" w:cs="Calibri"/>
              </w:rPr>
              <w:t>users</w:t>
            </w:r>
            <w:r>
              <w:rPr>
                <w:rFonts w:ascii="Calibri" w:hAnsi="Calibri" w:cs="Calibri"/>
              </w:rPr>
              <w:t xml:space="preserve"> to </w:t>
            </w:r>
            <w:r>
              <w:rPr>
                <w:rFonts w:ascii="Calibri" w:hAnsi="Calibri" w:cs="Calibri"/>
              </w:rPr>
              <w:t>notify of any</w:t>
            </w:r>
            <w:r>
              <w:rPr>
                <w:rFonts w:ascii="Calibri" w:hAnsi="Calibri" w:cs="Calibri"/>
              </w:rPr>
              <w:t xml:space="preserve"> issues </w:t>
            </w:r>
            <w:r>
              <w:rPr>
                <w:rFonts w:ascii="Calibri" w:hAnsi="Calibri" w:cs="Calibri"/>
              </w:rPr>
              <w:t xml:space="preserve">that might </w:t>
            </w:r>
            <w:r>
              <w:rPr>
                <w:rFonts w:ascii="Calibri" w:hAnsi="Calibri" w:cs="Calibri"/>
              </w:rPr>
              <w:t>restrict them from</w:t>
            </w:r>
            <w:r>
              <w:rPr>
                <w:rFonts w:ascii="Calibri" w:hAnsi="Calibri" w:cs="Calibri"/>
              </w:rPr>
              <w:t xml:space="preserve"> migrating to</w:t>
            </w:r>
            <w:r>
              <w:rPr>
                <w:rFonts w:ascii="Calibri" w:hAnsi="Calibri" w:cs="Calibri"/>
              </w:rPr>
              <w:t xml:space="preserve"> the enduring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 xml:space="preserve">loud </w:t>
            </w:r>
            <w:r>
              <w:rPr>
                <w:rFonts w:ascii="Calibri" w:hAnsi="Calibri" w:cs="Calibri"/>
              </w:rPr>
              <w:t>Information Exchange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CIX</w:t>
            </w:r>
            <w:r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service</w:t>
            </w:r>
            <w:r>
              <w:rPr>
                <w:rFonts w:ascii="Calibri" w:hAnsi="Calibri" w:cs="Calibri"/>
              </w:rPr>
              <w:t xml:space="preserve"> within the proposed timescales.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b w:val="1"/>
                <w:bCs w:val="1"/>
                <w:rFonts w:ascii="Calibri" w:hAnsi="Calibri" w:cs="Calibri"/>
              </w:rPr>
            </w:pPr>
            <w:r>
              <w:rPr>
                <w:b w:val="1"/>
                <w:bCs w:val="1"/>
                <w:rFonts w:ascii="Calibri" w:hAnsi="Calibri" w:cs="Calibri"/>
              </w:rPr>
              <w:t>Summary: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</w:t>
            </w:r>
            <w:r>
              <w:rPr>
                <w:rFonts w:ascii="Calibri" w:hAnsi="Calibri" w:cs="Calibri"/>
              </w:rPr>
              <w:t xml:space="preserve">Solution Option </w:t>
            </w:r>
            <w:r>
              <w:rPr>
                <w:rFonts w:ascii="Calibri" w:hAnsi="Calibri" w:cs="Calibri"/>
              </w:rPr>
              <w:t xml:space="preserve">Change Pack </w:t>
            </w:r>
            <w:r>
              <w:rPr>
                <w:rFonts w:ascii="Calibri" w:hAnsi="Calibri" w:cs="Calibri"/>
              </w:rPr>
              <w:t xml:space="preserve">(in accordance with DSC Change Management Procedures) </w:t>
            </w:r>
            <w:r>
              <w:rPr>
                <w:rFonts w:ascii="Calibri" w:hAnsi="Calibri" w:cs="Calibri"/>
              </w:rPr>
              <w:t xml:space="preserve">outlines the proposed solution with regards to the legacy </w:t>
            </w:r>
            <w:r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IX</w:t>
            </w:r>
            <w:r>
              <w:rPr>
                <w:rFonts w:ascii="Calibri" w:hAnsi="Calibri" w:cs="Calibri"/>
              </w:rPr>
              <w:t xml:space="preserve"> service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which is currently underpinned by </w:t>
            </w:r>
            <w:r>
              <w:rPr>
                <w:rFonts w:ascii="Calibri" w:hAnsi="Calibri" w:cs="Calibri"/>
              </w:rPr>
              <w:t>aging</w:t>
            </w:r>
            <w:r>
              <w:rPr>
                <w:rFonts w:ascii="Calibri" w:hAnsi="Calibri" w:cs="Calibri"/>
              </w:rPr>
              <w:t>/obsolete</w:t>
            </w:r>
            <w:r>
              <w:rPr>
                <w:rFonts w:ascii="Calibri" w:hAnsi="Calibri" w:cs="Calibri"/>
              </w:rPr>
              <w:t xml:space="preserve"> infrastructure. </w:t>
            </w:r>
            <w:r>
              <w:rPr>
                <w:rFonts w:ascii="Calibri" w:hAnsi="Calibri" w:cs="Calibri"/>
              </w:rPr>
              <w:t>The telecoms industry, of which underpins the PIX service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has </w:t>
            </w:r>
            <w:r>
              <w:rPr>
                <w:rFonts w:ascii="Calibri" w:hAnsi="Calibri" w:cs="Calibri"/>
              </w:rPr>
              <w:t xml:space="preserve">advised all users to migrate to an </w:t>
            </w:r>
            <w:r>
              <w:rPr>
                <w:rFonts w:ascii="Calibri" w:hAnsi="Calibri" w:cs="Calibri"/>
              </w:rPr>
              <w:t>Internet Protocol (</w:t>
            </w:r>
            <w:r>
              <w:rPr>
                <w:rFonts w:ascii="Calibri" w:hAnsi="Calibri" w:cs="Calibri"/>
              </w:rPr>
              <w:t>IP</w:t>
            </w:r>
            <w:r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service </w:t>
            </w:r>
            <w:r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 xml:space="preserve">y </w:t>
            </w:r>
            <w:r>
              <w:rPr>
                <w:rFonts w:ascii="Calibri" w:hAnsi="Calibri" w:cs="Calibri"/>
              </w:rPr>
              <w:t>December 2025. T</w:t>
            </w:r>
            <w:r>
              <w:rPr>
                <w:rFonts w:ascii="Calibri" w:hAnsi="Calibri" w:cs="Calibri"/>
              </w:rPr>
              <w:t>he IX service</w:t>
            </w:r>
            <w:r>
              <w:rPr>
                <w:rFonts w:ascii="Calibri" w:hAnsi="Calibri" w:cs="Calibri"/>
              </w:rPr>
              <w:t xml:space="preserve"> provided by the CDSP</w:t>
            </w:r>
            <w:r>
              <w:rPr>
                <w:rFonts w:ascii="Calibri" w:hAnsi="Calibri" w:cs="Calibri"/>
              </w:rPr>
              <w:t xml:space="preserve"> is used by </w:t>
            </w:r>
            <w:r>
              <w:rPr>
                <w:rFonts w:ascii="Calibri" w:hAnsi="Calibri" w:cs="Calibri"/>
              </w:rPr>
              <w:t>~</w:t>
            </w:r>
            <w:r>
              <w:rPr>
                <w:rFonts w:ascii="Calibri" w:hAnsi="Calibri" w:cs="Calibri"/>
              </w:rPr>
              <w:t>240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varied </w:t>
            </w:r>
            <w:r>
              <w:rPr>
                <w:rFonts w:ascii="Calibri" w:hAnsi="Calibri" w:cs="Calibri"/>
              </w:rPr>
              <w:t>users</w:t>
            </w:r>
            <w:r>
              <w:rPr>
                <w:rFonts w:ascii="Calibri" w:hAnsi="Calibri" w:cs="Calibri"/>
              </w:rPr>
              <w:t xml:space="preserve"> across the industry</w:t>
            </w:r>
            <w:r>
              <w:rPr>
                <w:rFonts w:ascii="Calibri" w:hAnsi="Calibri" w:cs="Calibri"/>
              </w:rPr>
              <w:t>, with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~30</w:t>
            </w:r>
            <w:r>
              <w:rPr>
                <w:rFonts w:ascii="Calibri" w:hAnsi="Calibri" w:cs="Calibri"/>
              </w:rPr>
              <w:t>%</w:t>
            </w:r>
            <w:r>
              <w:rPr>
                <w:rFonts w:ascii="Calibri" w:hAnsi="Calibri" w:cs="Calibri"/>
              </w:rPr>
              <w:t xml:space="preserve"> (at the point of issuing)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of </w:t>
            </w:r>
            <w:r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 xml:space="preserve">IX </w:t>
            </w:r>
            <w:r>
              <w:rPr>
                <w:rFonts w:ascii="Calibri" w:hAnsi="Calibri" w:cs="Calibri"/>
              </w:rPr>
              <w:t>users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hav</w:t>
            </w:r>
            <w:r>
              <w:rPr>
                <w:rFonts w:ascii="Calibri" w:hAnsi="Calibri" w:cs="Calibri"/>
              </w:rPr>
              <w:t>ing</w:t>
            </w:r>
            <w:r>
              <w:rPr>
                <w:rFonts w:ascii="Calibri" w:hAnsi="Calibri" w:cs="Calibri"/>
              </w:rPr>
              <w:t xml:space="preserve"> migrated over to the </w:t>
            </w:r>
            <w:r>
              <w:rPr>
                <w:rFonts w:ascii="Calibri" w:hAnsi="Calibri" w:cs="Calibri"/>
              </w:rPr>
              <w:t xml:space="preserve">enduring </w:t>
            </w:r>
            <w:r>
              <w:rPr>
                <w:rFonts w:ascii="Calibri" w:hAnsi="Calibri" w:cs="Calibri"/>
              </w:rPr>
              <w:t>CIX</w:t>
            </w:r>
            <w:r>
              <w:rPr>
                <w:rFonts w:ascii="Calibri" w:hAnsi="Calibri" w:cs="Calibri"/>
              </w:rPr>
              <w:t xml:space="preserve"> offering</w:t>
            </w:r>
            <w:r>
              <w:rPr>
                <w:rFonts w:ascii="Calibri" w:hAnsi="Calibri" w:cs="Calibri"/>
              </w:rPr>
              <w:t>.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CDSP is funded by DSC Customers and therefore we aim to ensure we</w:t>
            </w:r>
            <w:r>
              <w:rPr>
                <w:rFonts w:ascii="Calibri" w:hAnsi="Calibri" w:cs="Calibri"/>
              </w:rPr>
              <w:t xml:space="preserve"> attempt </w:t>
            </w:r>
            <w:r>
              <w:rPr>
                <w:rFonts w:ascii="Calibri" w:hAnsi="Calibri" w:cs="Calibri"/>
              </w:rPr>
              <w:t>to</w:t>
            </w:r>
            <w:r>
              <w:rPr>
                <w:rFonts w:ascii="Calibri" w:hAnsi="Calibri" w:cs="Calibri"/>
              </w:rPr>
              <w:t xml:space="preserve"> mitigate</w:t>
            </w:r>
            <w:r>
              <w:rPr>
                <w:rFonts w:ascii="Calibri" w:hAnsi="Calibri" w:cs="Calibri"/>
              </w:rPr>
              <w:t xml:space="preserve"> any</w:t>
            </w:r>
            <w:r>
              <w:rPr>
                <w:rFonts w:ascii="Calibri" w:hAnsi="Calibri" w:cs="Calibri"/>
              </w:rPr>
              <w:t xml:space="preserve"> risk of regret spend where possible, and we feel that continuing support for an aging </w:t>
            </w:r>
            <w:r>
              <w:rPr>
                <w:rFonts w:ascii="Calibri" w:hAnsi="Calibri" w:cs="Calibri"/>
              </w:rPr>
              <w:t xml:space="preserve">and obsolete </w:t>
            </w:r>
            <w:r>
              <w:rPr>
                <w:rFonts w:ascii="Calibri" w:hAnsi="Calibri" w:cs="Calibri"/>
              </w:rPr>
              <w:t>service offering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with a declining user base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will place an unnecessary cost burden on the </w:t>
            </w:r>
            <w:r>
              <w:rPr>
                <w:rFonts w:ascii="Calibri" w:hAnsi="Calibri" w:cs="Calibri"/>
              </w:rPr>
              <w:t xml:space="preserve">overall </w:t>
            </w:r>
            <w:r>
              <w:rPr>
                <w:rFonts w:ascii="Calibri" w:hAnsi="Calibri" w:cs="Calibri"/>
              </w:rPr>
              <w:t>IX service operated by the CDSP. We therefore recommend initiating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formal sunset procedures for the PIX service.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b w:val="1"/>
                <w:bCs w:val="1"/>
                <w:rFonts w:ascii="Calibri" w:hAnsi="Calibri" w:cs="Calibri"/>
              </w:rPr>
            </w:pPr>
            <w:r>
              <w:rPr>
                <w:b w:val="1"/>
                <w:bCs w:val="1"/>
                <w:rFonts w:ascii="Calibri" w:hAnsi="Calibri" w:cs="Calibri"/>
              </w:rPr>
              <w:t>Background: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</w:rPr>
              <w:t>re is a code requirement for the</w:t>
            </w:r>
            <w:r>
              <w:rPr>
                <w:rFonts w:ascii="Calibri" w:hAnsi="Calibri" w:cs="Calibri"/>
              </w:rPr>
              <w:t xml:space="preserve"> CDSP to provide an Information Exchange (IX) service which is critical to the successful operating practices of many industry participants </w:t>
            </w:r>
            <w:r>
              <w:rPr>
                <w:rFonts w:ascii="Calibri" w:hAnsi="Calibri" w:cs="Calibri"/>
              </w:rPr>
              <w:t xml:space="preserve">within </w:t>
            </w:r>
            <w:r>
              <w:rPr>
                <w:rFonts w:ascii="Calibri" w:hAnsi="Calibri" w:cs="Calibri"/>
              </w:rPr>
              <w:t xml:space="preserve">the UK </w:t>
            </w:r>
            <w:r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 xml:space="preserve">as </w:t>
            </w:r>
            <w:r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 xml:space="preserve">arket. </w:t>
            </w:r>
            <w:r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etail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of how the IX</w:t>
            </w:r>
            <w:r>
              <w:rPr>
                <w:rFonts w:ascii="Calibri" w:hAnsi="Calibri" w:cs="Calibri"/>
              </w:rPr>
              <w:t xml:space="preserve"> service is</w:t>
            </w:r>
            <w:r>
              <w:rPr>
                <w:rFonts w:ascii="Calibri" w:hAnsi="Calibri" w:cs="Calibri"/>
              </w:rPr>
              <w:t xml:space="preserve"> provided </w:t>
            </w:r>
            <w:r>
              <w:rPr>
                <w:rFonts w:ascii="Calibri" w:hAnsi="Calibri" w:cs="Calibri"/>
              </w:rPr>
              <w:t xml:space="preserve">to users </w:t>
            </w:r>
            <w:r>
              <w:rPr>
                <w:rFonts w:ascii="Calibri" w:hAnsi="Calibri" w:cs="Calibri"/>
              </w:rPr>
              <w:t>is set out in the UK Link Manual</w:t>
            </w:r>
            <w:r>
              <w:rPr>
                <w:rFonts w:ascii="Calibri" w:hAnsi="Calibri" w:cs="Calibri"/>
              </w:rPr>
              <w:t xml:space="preserve"> suite of documents</w:t>
            </w:r>
            <w:r>
              <w:rPr>
                <w:rFonts w:ascii="Calibri" w:hAnsi="Calibri" w:cs="Calibri"/>
              </w:rPr>
              <w:t xml:space="preserve">. 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PIX service uses </w:t>
            </w:r>
            <w:r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 xml:space="preserve">hysical 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ervers placed in UK </w:t>
            </w:r>
            <w:r>
              <w:rPr>
                <w:rFonts w:ascii="Calibri" w:hAnsi="Calibri" w:cs="Calibri"/>
              </w:rPr>
              <w:t>datacentres</w:t>
            </w:r>
            <w:r>
              <w:rPr>
                <w:rFonts w:ascii="Calibri" w:hAnsi="Calibri" w:cs="Calibri"/>
              </w:rPr>
              <w:t xml:space="preserve"> and operates over the Public Switched Telephone Network (PSTN) which, as advised by B</w:t>
            </w:r>
            <w:r>
              <w:rPr>
                <w:rFonts w:ascii="Calibri" w:hAnsi="Calibri" w:cs="Calibri"/>
              </w:rPr>
              <w:t xml:space="preserve">ritish </w:t>
            </w:r>
            <w:r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elecom</w:t>
            </w:r>
            <w:r>
              <w:rPr>
                <w:rFonts w:ascii="Calibri" w:hAnsi="Calibri" w:cs="Calibri"/>
              </w:rPr>
              <w:t xml:space="preserve"> (BT)</w:t>
            </w:r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will </w:t>
            </w:r>
            <w:r>
              <w:rPr>
                <w:rFonts w:ascii="Calibri" w:hAnsi="Calibri" w:cs="Calibri"/>
              </w:rPr>
              <w:t>be switched off by 31 January 2027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BT is advising users</w:t>
            </w:r>
            <w:r>
              <w:rPr>
                <w:rFonts w:ascii="Calibri" w:hAnsi="Calibri" w:cs="Calibri"/>
              </w:rPr>
              <w:t xml:space="preserve"> utili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ing this network</w:t>
            </w:r>
            <w:r>
              <w:rPr>
                <w:rFonts w:ascii="Calibri" w:hAnsi="Calibri" w:cs="Calibri"/>
              </w:rPr>
              <w:t xml:space="preserve"> to switch to an </w:t>
            </w:r>
            <w:r>
              <w:rPr>
                <w:rFonts w:ascii="Calibri" w:hAnsi="Calibri" w:cs="Calibri"/>
              </w:rPr>
              <w:t xml:space="preserve">IP based solution by the </w:t>
            </w:r>
            <w:r>
              <w:rPr>
                <w:b w:val="1"/>
                <w:bCs w:val="1"/>
                <w:rFonts w:ascii="Calibri" w:hAnsi="Calibri" w:cs="Calibri"/>
              </w:rPr>
              <w:t>end of December 2025</w:t>
            </w:r>
            <w:r>
              <w:rPr>
                <w:b w:val="1"/>
                <w:bCs w:val="1"/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(more information on this can be found </w:t>
            </w:r>
            <w:hyperlink r:id="R7b4f859a2f08425b">
              <w:r>
                <w:rPr>
                  <w:rStyle w:val="Hyperlink"/>
                  <w:rFonts w:ascii="Calibri" w:hAnsi="Calibri" w:cs="Calibri"/>
                </w:rPr>
                <w:t>here</w:t>
              </w:r>
            </w:hyperlink>
            <w:r>
              <w:rPr>
                <w:rFonts w:ascii="Calibri" w:hAnsi="Calibri" w:cs="Calibri"/>
              </w:rPr>
              <w:t>),</w:t>
            </w:r>
            <w:r>
              <w:rPr>
                <w:rFonts w:ascii="Calibri" w:hAnsi="Calibri" w:cs="Calibri"/>
              </w:rPr>
              <w:t xml:space="preserve"> therefore PIX cannot remain indefinitely</w:t>
            </w:r>
            <w:r>
              <w:rPr>
                <w:rFonts w:ascii="Calibri" w:hAnsi="Calibri" w:cs="Calibri"/>
              </w:rPr>
              <w:t xml:space="preserve"> 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response to </w:t>
            </w:r>
            <w:r>
              <w:rPr>
                <w:rFonts w:ascii="Calibri" w:hAnsi="Calibri" w:cs="Calibri"/>
              </w:rPr>
              <w:t xml:space="preserve">the Telecoms industry’s intentions referenced above, </w:t>
            </w:r>
            <w:r>
              <w:rPr>
                <w:rFonts w:ascii="Calibri" w:hAnsi="Calibri" w:cs="Calibri"/>
              </w:rPr>
              <w:t>the CDSP developed and introduced a modern cloud-based replacement</w:t>
            </w:r>
            <w:r>
              <w:rPr>
                <w:rFonts w:ascii="Calibri" w:hAnsi="Calibri" w:cs="Calibri"/>
              </w:rPr>
              <w:t xml:space="preserve"> (CIX)</w:t>
            </w:r>
            <w:r>
              <w:rPr>
                <w:rFonts w:ascii="Calibri" w:hAnsi="Calibri" w:cs="Calibri"/>
              </w:rPr>
              <w:t xml:space="preserve"> for the </w:t>
            </w:r>
            <w:r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IX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service,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and </w:t>
            </w:r>
            <w:r>
              <w:rPr>
                <w:rFonts w:ascii="Calibri" w:hAnsi="Calibri" w:cs="Calibri"/>
              </w:rPr>
              <w:t xml:space="preserve">this </w:t>
            </w:r>
            <w:r>
              <w:rPr>
                <w:rFonts w:ascii="Calibri" w:hAnsi="Calibri" w:cs="Calibri"/>
              </w:rPr>
              <w:t xml:space="preserve">was made available to customers in </w:t>
            </w:r>
            <w:r>
              <w:rPr>
                <w:rFonts w:ascii="Calibri" w:hAnsi="Calibri" w:cs="Calibri"/>
              </w:rPr>
              <w:t>May</w:t>
            </w:r>
            <w:r>
              <w:rPr>
                <w:rFonts w:ascii="Calibri" w:hAnsi="Calibri" w:cs="Calibri"/>
              </w:rPr>
              <w:t xml:space="preserve"> 2</w:t>
            </w:r>
            <w:r>
              <w:rPr>
                <w:rFonts w:ascii="Calibri" w:hAnsi="Calibri" w:cs="Calibri"/>
              </w:rPr>
              <w:t>02</w:t>
            </w: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The CIX</w:t>
            </w:r>
            <w:r>
              <w:rPr>
                <w:rFonts w:ascii="Calibri" w:hAnsi="Calibri" w:cs="Calibri"/>
              </w:rPr>
              <w:t xml:space="preserve"> service</w:t>
            </w:r>
            <w:r>
              <w:rPr>
                <w:rFonts w:ascii="Calibri" w:hAnsi="Calibri" w:cs="Calibri"/>
              </w:rPr>
              <w:t xml:space="preserve"> meets all functional requirements for </w:t>
            </w:r>
            <w:r>
              <w:rPr>
                <w:rFonts w:ascii="Calibri" w:hAnsi="Calibri" w:cs="Calibri"/>
              </w:rPr>
              <w:t xml:space="preserve">an </w:t>
            </w:r>
            <w:r>
              <w:rPr>
                <w:rFonts w:ascii="Calibri" w:hAnsi="Calibri" w:cs="Calibri"/>
              </w:rPr>
              <w:t xml:space="preserve">IX </w:t>
            </w:r>
            <w:r>
              <w:rPr>
                <w:rFonts w:ascii="Calibri" w:hAnsi="Calibri" w:cs="Calibri"/>
              </w:rPr>
              <w:t xml:space="preserve">service </w:t>
            </w:r>
            <w:r>
              <w:rPr>
                <w:rFonts w:ascii="Calibri" w:hAnsi="Calibri" w:cs="Calibri"/>
              </w:rPr>
              <w:t>as well as offering a higher security posture</w:t>
            </w:r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user portal access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and represents a future-proof, scalable </w:t>
            </w:r>
            <w:r>
              <w:rPr>
                <w:rFonts w:ascii="Calibri" w:hAnsi="Calibri" w:cs="Calibri"/>
              </w:rPr>
              <w:t>replacemen</w:t>
            </w:r>
            <w:r>
              <w:rPr>
                <w:rFonts w:ascii="Calibri" w:hAnsi="Calibri" w:cs="Calibri"/>
              </w:rPr>
              <w:t>t of PIX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~</w:t>
            </w:r>
            <w:r>
              <w:rPr>
                <w:rFonts w:ascii="Calibri" w:hAnsi="Calibri" w:cs="Calibri"/>
              </w:rPr>
              <w:t>29</w:t>
            </w:r>
            <w:r>
              <w:rPr>
                <w:rFonts w:ascii="Calibri" w:hAnsi="Calibri" w:cs="Calibri"/>
              </w:rPr>
              <w:t xml:space="preserve">% of legacy </w:t>
            </w:r>
            <w:r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>IX users</w:t>
            </w:r>
            <w:r>
              <w:rPr>
                <w:rFonts w:ascii="Calibri" w:hAnsi="Calibri" w:cs="Calibri"/>
              </w:rPr>
              <w:t xml:space="preserve"> (and </w:t>
            </w:r>
            <w:r>
              <w:rPr>
                <w:rFonts w:ascii="Calibri" w:hAnsi="Calibri" w:cs="Calibri"/>
              </w:rPr>
              <w:t>~</w:t>
            </w:r>
            <w:r>
              <w:rPr>
                <w:rFonts w:ascii="Calibri" w:hAnsi="Calibri" w:cs="Calibri"/>
              </w:rPr>
              <w:t>39</w:t>
            </w:r>
            <w:r>
              <w:rPr>
                <w:rFonts w:ascii="Calibri" w:hAnsi="Calibri" w:cs="Calibri"/>
              </w:rPr>
              <w:t>%</w:t>
            </w:r>
            <w:r>
              <w:rPr>
                <w:rFonts w:ascii="Calibri" w:hAnsi="Calibri" w:cs="Calibri"/>
              </w:rPr>
              <w:t xml:space="preserve"> of File Traffic)</w:t>
            </w:r>
            <w:r>
              <w:rPr>
                <w:rFonts w:ascii="Calibri" w:hAnsi="Calibri" w:cs="Calibri"/>
              </w:rPr>
              <w:t xml:space="preserve"> have migrated</w:t>
            </w:r>
            <w:r>
              <w:rPr>
                <w:rFonts w:ascii="Calibri" w:hAnsi="Calibri" w:cs="Calibri"/>
              </w:rPr>
              <w:t xml:space="preserve"> to </w:t>
            </w:r>
            <w:r>
              <w:rPr>
                <w:rFonts w:ascii="Calibri" w:hAnsi="Calibri" w:cs="Calibri"/>
              </w:rPr>
              <w:t>the enduring CIX service</w:t>
            </w:r>
            <w:r>
              <w:rPr>
                <w:rFonts w:ascii="Calibri" w:hAnsi="Calibri" w:cs="Calibri"/>
              </w:rPr>
              <w:t xml:space="preserve"> to date</w:t>
            </w:r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and</w:t>
            </w:r>
            <w:r>
              <w:rPr>
                <w:rFonts w:ascii="Calibri" w:hAnsi="Calibri" w:cs="Calibri"/>
              </w:rPr>
              <w:t xml:space="preserve"> there are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also a</w:t>
            </w:r>
            <w:r>
              <w:rPr>
                <w:rFonts w:ascii="Calibri" w:hAnsi="Calibri" w:cs="Calibri"/>
              </w:rPr>
              <w:t xml:space="preserve"> number of</w:t>
            </w:r>
            <w:r>
              <w:rPr>
                <w:rFonts w:ascii="Calibri" w:hAnsi="Calibri" w:cs="Calibri"/>
              </w:rPr>
              <w:t xml:space="preserve"> PIX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users</w:t>
            </w:r>
            <w:r>
              <w:rPr>
                <w:rFonts w:ascii="Calibri" w:hAnsi="Calibri" w:cs="Calibri"/>
              </w:rPr>
              <w:t xml:space="preserve"> in the process of </w:t>
            </w:r>
            <w:r>
              <w:rPr>
                <w:rFonts w:ascii="Calibri" w:hAnsi="Calibri" w:cs="Calibri"/>
              </w:rPr>
              <w:t>migrating</w:t>
            </w:r>
            <w:r>
              <w:rPr>
                <w:rFonts w:ascii="Calibri" w:hAnsi="Calibri" w:cs="Calibri"/>
              </w:rPr>
              <w:t xml:space="preserve"> (as illustrated by the below table)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The In Progress</w:t>
            </w:r>
            <w:r>
              <w:rPr>
                <w:rFonts w:ascii="Calibri" w:hAnsi="Calibri" w:cs="Calibri"/>
              </w:rPr>
              <w:t xml:space="preserve"> includes users that are</w:t>
            </w:r>
            <w:r>
              <w:rPr>
                <w:rFonts w:ascii="Calibri" w:hAnsi="Calibri" w:cs="Calibri"/>
              </w:rPr>
              <w:t xml:space="preserve"> in the process of contracts/implementation </w:t>
            </w:r>
            <w:r>
              <w:rPr>
                <w:rFonts w:ascii="Calibri" w:hAnsi="Calibri" w:cs="Calibri"/>
              </w:rPr>
              <w:t>and users who are</w:t>
            </w:r>
            <w:r>
              <w:rPr>
                <w:rFonts w:ascii="Calibri" w:hAnsi="Calibri" w:cs="Calibri"/>
              </w:rPr>
              <w:t xml:space="preserve"> actively engaging with the CDSP</w:t>
            </w:r>
            <w:r>
              <w:rPr>
                <w:rFonts w:ascii="Calibri" w:hAnsi="Calibri" w:cs="Calibri"/>
              </w:rPr>
              <w:t>.</w:t>
            </w:r>
          </w:p>
          <w:p>
            <w:pPr>
              <w:rPr>
                <w:rFonts w:ascii="Calibri" w:hAnsi="Calibri" w:cs="Calibri"/>
              </w:rPr>
            </w:pPr>
          </w:p>
          <w:tbl>
            <w:tblPr>
              <w:tblStyle w:val="Table Grid"/>
              <w:tblW w:type="auto" w:w="0"/>
              <w:tblLook w:firstColumn="1" w:firstRow="1" w:lastColumn="0" w:lastRow="0" w:noHBand="0" w:noVBand="1"/>
            </w:tblPr>
            <w:tblGrid>
              <w:gridCol w:w="1925"/>
              <w:gridCol w:w="1925"/>
              <w:gridCol w:w="1925"/>
              <w:gridCol w:w="1926"/>
            </w:tblGrid>
            <w:tr>
              <w:trPr/>
              <w:tc>
                <w:tcPr>
                  <w:tcW w:type="dxa" w:w="1925"/>
                  <w:tcBorders>
                    <w:left w:val="nil"/>
                    <w:top w:val="nil"/>
                  </w:tcBorders>
                </w:tcPr>
                <w:p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type="dxa" w:w="1925"/>
                  <w:vAlign w:val="center"/>
                </w:tcPr>
                <w:p>
                  <w:pPr>
                    <w:rPr>
                      <w:b w:val="1"/>
                      <w:bCs w:val="1"/>
                      <w:rFonts w:ascii="Calibri" w:hAnsi="Calibri" w:cs="Calibri"/>
                    </w:rPr>
                    <w:jc w:val="center"/>
                  </w:pPr>
                  <w:r>
                    <w:rPr>
                      <w:b w:val="1"/>
                      <w:bCs w:val="1"/>
                      <w:rFonts w:ascii="Calibri" w:hAnsi="Calibri" w:cs="Calibri"/>
                    </w:rPr>
                    <w:t>On CIX</w:t>
                  </w:r>
                </w:p>
              </w:tc>
              <w:tc>
                <w:tcPr>
                  <w:tcW w:type="dxa" w:w="1925"/>
                  <w:vAlign w:val="center"/>
                </w:tcPr>
                <w:p>
                  <w:pPr>
                    <w:rPr>
                      <w:b w:val="1"/>
                      <w:bCs w:val="1"/>
                      <w:rFonts w:ascii="Calibri" w:hAnsi="Calibri" w:cs="Calibri"/>
                    </w:rPr>
                    <w:jc w:val="center"/>
                  </w:pPr>
                  <w:r>
                    <w:rPr>
                      <w:b w:val="1"/>
                      <w:bCs w:val="1"/>
                      <w:rFonts w:ascii="Calibri" w:hAnsi="Calibri" w:cs="Calibri"/>
                    </w:rPr>
                    <w:t>In Progress</w:t>
                  </w:r>
                </w:p>
              </w:tc>
              <w:tc>
                <w:tcPr>
                  <w:tcW w:type="dxa" w:w="1926"/>
                  <w:vAlign w:val="center"/>
                </w:tcPr>
                <w:p>
                  <w:pPr>
                    <w:rPr>
                      <w:b w:val="1"/>
                      <w:bCs w:val="1"/>
                      <w:rFonts w:ascii="Calibri" w:hAnsi="Calibri" w:cs="Calibri"/>
                    </w:rPr>
                    <w:jc w:val="center"/>
                  </w:pPr>
                  <w:r>
                    <w:rPr>
                      <w:b w:val="1"/>
                      <w:bCs w:val="1"/>
                      <w:rFonts w:ascii="Calibri" w:hAnsi="Calibri" w:cs="Calibri"/>
                    </w:rPr>
                    <w:t>Outstanding</w:t>
                  </w:r>
                </w:p>
              </w:tc>
            </w:tr>
            <w:tr>
              <w:trPr/>
              <w:tc>
                <w:tcPr>
                  <w:tcW w:type="dxa" w:w="1925"/>
                </w:tcPr>
                <w:p>
                  <w:pPr>
                    <w:rPr>
                      <w:b w:val="1"/>
                      <w:bCs w:val="1"/>
                      <w:rFonts w:ascii="Calibri" w:hAnsi="Calibri" w:cs="Calibri"/>
                    </w:rPr>
                  </w:pPr>
                  <w:r>
                    <w:rPr>
                      <w:b w:val="1"/>
                      <w:bCs w:val="1"/>
                      <w:rFonts w:ascii="Calibri" w:hAnsi="Calibri" w:cs="Calibri"/>
                    </w:rPr>
                    <w:t>User</w:t>
                  </w:r>
                  <w:r>
                    <w:rPr>
                      <w:b w:val="1"/>
                      <w:bCs w:val="1"/>
                      <w:rFonts w:ascii="Calibri" w:hAnsi="Calibri" w:cs="Calibri"/>
                    </w:rPr>
                    <w:t xml:space="preserve"> Base %</w:t>
                  </w:r>
                </w:p>
              </w:tc>
              <w:tc>
                <w:tcPr>
                  <w:tcW w:type="dxa" w:w="1925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jc w:val="center"/>
                  </w:pPr>
                  <w:r>
                    <w:rPr>
                      <w:rFonts w:ascii="Calibri" w:hAnsi="Calibri" w:cs="Calibri"/>
                    </w:rPr>
                    <w:t>28</w:t>
                  </w:r>
                  <w:r>
                    <w:rPr>
                      <w:rFonts w:ascii="Calibri" w:hAnsi="Calibri" w:cs="Calibri"/>
                    </w:rPr>
                    <w:t>.51%</w:t>
                  </w:r>
                </w:p>
              </w:tc>
              <w:tc>
                <w:tcPr>
                  <w:tcW w:type="dxa" w:w="1925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jc w:val="center"/>
                  </w:pPr>
                  <w:r>
                    <w:rPr>
                      <w:rFonts w:ascii="Calibri" w:hAnsi="Calibri" w:cs="Calibri"/>
                    </w:rPr>
                    <w:t>53.72</w:t>
                  </w:r>
                  <w:r>
                    <w:rPr>
                      <w:rFonts w:ascii="Calibri" w:hAnsi="Calibri" w:cs="Calibri"/>
                    </w:rPr>
                    <w:t>%</w:t>
                  </w:r>
                </w:p>
              </w:tc>
              <w:tc>
                <w:tcPr>
                  <w:tcW w:type="dxa" w:w="1926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jc w:val="center"/>
                  </w:pPr>
                  <w:r>
                    <w:rPr>
                      <w:rFonts w:ascii="Calibri" w:hAnsi="Calibri" w:cs="Calibri"/>
                    </w:rPr>
                    <w:t>17.77%</w:t>
                  </w:r>
                </w:p>
              </w:tc>
            </w:tr>
            <w:tr>
              <w:trPr/>
              <w:tc>
                <w:tcPr>
                  <w:tcW w:type="dxa" w:w="1925"/>
                </w:tcPr>
                <w:p>
                  <w:pPr>
                    <w:rPr>
                      <w:b w:val="1"/>
                      <w:bCs w:val="1"/>
                      <w:rFonts w:ascii="Calibri" w:hAnsi="Calibri" w:cs="Calibri"/>
                    </w:rPr>
                  </w:pPr>
                  <w:r>
                    <w:rPr>
                      <w:b w:val="1"/>
                      <w:bCs w:val="1"/>
                      <w:rFonts w:ascii="Calibri" w:hAnsi="Calibri" w:cs="Calibri"/>
                    </w:rPr>
                    <w:t>File Throughput %</w:t>
                  </w:r>
                </w:p>
              </w:tc>
              <w:tc>
                <w:tcPr>
                  <w:tcW w:type="dxa" w:w="1925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jc w:val="center"/>
                  </w:pPr>
                  <w:r>
                    <w:rPr>
                      <w:rFonts w:ascii="Calibri" w:hAnsi="Calibri" w:cs="Calibri"/>
                    </w:rPr>
                    <w:t>38.16%</w:t>
                  </w:r>
                </w:p>
              </w:tc>
              <w:tc>
                <w:tcPr>
                  <w:tcW w:type="dxa" w:w="1925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jc w:val="center"/>
                  </w:pPr>
                  <w:r>
                    <w:rPr>
                      <w:rFonts w:ascii="Calibri" w:hAnsi="Calibri" w:cs="Calibri"/>
                    </w:rPr>
                    <w:t>61.83%</w:t>
                  </w:r>
                </w:p>
              </w:tc>
              <w:tc>
                <w:tcPr>
                  <w:tcW w:type="dxa" w:w="1926"/>
                  <w:vAlign w:val="center"/>
                </w:tcPr>
                <w:p>
                  <w:pPr>
                    <w:rPr>
                      <w:rFonts w:ascii="Calibri" w:hAnsi="Calibri" w:cs="Calibri"/>
                    </w:rPr>
                    <w:jc w:val="center"/>
                  </w:pPr>
                  <w:r>
                    <w:rPr>
                      <w:rFonts w:ascii="Calibri" w:hAnsi="Calibri" w:cs="Calibri"/>
                    </w:rPr>
                    <w:t>0.01%</w:t>
                  </w:r>
                </w:p>
              </w:tc>
            </w:tr>
          </w:tbl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enduring CIX solution </w:t>
            </w:r>
            <w:r>
              <w:rPr>
                <w:rFonts w:ascii="Calibri" w:hAnsi="Calibri" w:cs="Calibri"/>
              </w:rPr>
              <w:t xml:space="preserve">allows users to benefit from </w:t>
            </w:r>
            <w:r>
              <w:rPr>
                <w:rFonts w:ascii="Calibri" w:hAnsi="Calibri" w:cs="Calibri"/>
              </w:rPr>
              <w:t>several</w:t>
            </w:r>
            <w:r>
              <w:rPr>
                <w:rFonts w:ascii="Calibri" w:hAnsi="Calibri" w:cs="Calibri"/>
              </w:rPr>
              <w:t xml:space="preserve"> enhanced </w:t>
            </w:r>
            <w:r>
              <w:rPr>
                <w:rFonts w:ascii="Calibri" w:hAnsi="Calibri" w:cs="Calibri"/>
              </w:rPr>
              <w:t>features</w:t>
            </w:r>
            <w:r>
              <w:rPr>
                <w:rFonts w:ascii="Calibri" w:hAnsi="Calibri" w:cs="Calibri"/>
              </w:rPr>
              <w:t xml:space="preserve"> when compared to PIX</w:t>
            </w:r>
            <w:r>
              <w:rPr>
                <w:rFonts w:ascii="Calibri" w:hAnsi="Calibri" w:cs="Calibri"/>
              </w:rPr>
              <w:t>, such as f</w:t>
            </w:r>
            <w:r>
              <w:rPr>
                <w:rFonts w:ascii="Calibri" w:hAnsi="Calibri" w:cs="Calibri"/>
              </w:rPr>
              <w:t>ully e</w:t>
            </w:r>
            <w:r>
              <w:rPr>
                <w:rFonts w:ascii="Calibri" w:hAnsi="Calibri" w:cs="Calibri"/>
              </w:rPr>
              <w:t>ncrypted file transfers</w:t>
            </w:r>
            <w:r>
              <w:rPr>
                <w:rFonts w:ascii="Calibri" w:hAnsi="Calibri" w:cs="Calibri"/>
              </w:rPr>
              <w:t xml:space="preserve"> via</w:t>
            </w:r>
            <w:r>
              <w:rPr>
                <w:rFonts w:ascii="Calibri" w:hAnsi="Calibri" w:cs="Calibri"/>
              </w:rPr>
              <w:t xml:space="preserve"> SFTP</w:t>
            </w:r>
            <w:r>
              <w:rPr>
                <w:rFonts w:ascii="Calibri" w:hAnsi="Calibri" w:cs="Calibri"/>
              </w:rPr>
              <w:t xml:space="preserve">, access to </w:t>
            </w:r>
            <w:r>
              <w:rPr>
                <w:rFonts w:ascii="Calibri" w:hAnsi="Calibri" w:cs="Calibri"/>
              </w:rPr>
              <w:t>a secure c</w:t>
            </w:r>
            <w:r>
              <w:rPr>
                <w:rFonts w:ascii="Calibri" w:hAnsi="Calibri" w:cs="Calibri"/>
              </w:rPr>
              <w:t>loud</w:t>
            </w:r>
            <w:r>
              <w:rPr>
                <w:rFonts w:ascii="Calibri" w:hAnsi="Calibri" w:cs="Calibri"/>
              </w:rPr>
              <w:t xml:space="preserve"> portal to track file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built in </w:t>
            </w:r>
            <w:r>
              <w:rPr>
                <w:rFonts w:ascii="Calibri" w:hAnsi="Calibri" w:cs="Calibri"/>
              </w:rPr>
              <w:t xml:space="preserve">disaster recovery </w:t>
            </w:r>
            <w:r>
              <w:rPr>
                <w:rFonts w:ascii="Calibri" w:hAnsi="Calibri" w:cs="Calibri"/>
              </w:rPr>
              <w:t>and no need for physical datacentre connections.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Through </w:t>
            </w:r>
            <w:r>
              <w:rPr>
                <w:rFonts w:ascii="Calibri" w:hAnsi="Calibri" w:cs="Calibri"/>
              </w:rPr>
              <w:t xml:space="preserve">ongoing engagement with </w:t>
            </w:r>
            <w:r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 xml:space="preserve">IX </w:t>
            </w:r>
            <w:r>
              <w:rPr>
                <w:rFonts w:ascii="Calibri" w:hAnsi="Calibri" w:cs="Calibri"/>
              </w:rPr>
              <w:t>users</w:t>
            </w:r>
            <w:r>
              <w:rPr>
                <w:rFonts w:ascii="Calibri" w:hAnsi="Calibri" w:cs="Calibri"/>
              </w:rPr>
              <w:t>, m</w:t>
            </w:r>
            <w:r>
              <w:rPr>
                <w:rFonts w:ascii="Calibri" w:hAnsi="Calibri" w:cs="Calibri"/>
              </w:rPr>
              <w:t>any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cite internal resource constraints or conflicting priorities</w:t>
            </w:r>
            <w:r>
              <w:rPr>
                <w:rFonts w:ascii="Calibri" w:hAnsi="Calibri" w:cs="Calibri"/>
              </w:rPr>
              <w:t xml:space="preserve"> as blockers for the delay in moving to CIX</w:t>
            </w:r>
            <w:r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 xml:space="preserve">Importantly, </w:t>
            </w:r>
            <w:r>
              <w:rPr>
                <w:rFonts w:ascii="Calibri" w:hAnsi="Calibri" w:cs="Calibri"/>
              </w:rPr>
              <w:t xml:space="preserve">a lot of the delays being </w:t>
            </w:r>
            <w:r>
              <w:rPr>
                <w:rFonts w:ascii="Calibri" w:hAnsi="Calibri" w:cs="Calibri"/>
              </w:rPr>
              <w:t>experienced</w:t>
            </w:r>
            <w:r>
              <w:rPr>
                <w:rFonts w:ascii="Calibri" w:hAnsi="Calibri" w:cs="Calibri"/>
              </w:rPr>
              <w:t xml:space="preserve"> can be apportioned to </w:t>
            </w:r>
            <w:r>
              <w:rPr>
                <w:rFonts w:ascii="Calibri" w:hAnsi="Calibri" w:cs="Calibri"/>
              </w:rPr>
              <w:t xml:space="preserve">there </w:t>
            </w:r>
            <w:r>
              <w:rPr>
                <w:rFonts w:ascii="Calibri" w:hAnsi="Calibri" w:cs="Calibri"/>
              </w:rPr>
              <w:t>being</w:t>
            </w:r>
            <w:r>
              <w:rPr>
                <w:rFonts w:ascii="Calibri" w:hAnsi="Calibri" w:cs="Calibri"/>
              </w:rPr>
              <w:t xml:space="preserve"> no industry-imposed deadline</w:t>
            </w:r>
            <w:r>
              <w:rPr>
                <w:rFonts w:ascii="Calibri" w:hAnsi="Calibri" w:cs="Calibri"/>
              </w:rPr>
              <w:t xml:space="preserve"> which has </w:t>
            </w:r>
            <w:r>
              <w:rPr>
                <w:rFonts w:ascii="Calibri" w:hAnsi="Calibri" w:cs="Calibri"/>
              </w:rPr>
              <w:t>created a stalled transition</w:t>
            </w:r>
            <w:r>
              <w:rPr>
                <w:rFonts w:ascii="Calibri" w:hAnsi="Calibri" w:cs="Calibri"/>
              </w:rPr>
              <w:t xml:space="preserve">. This </w:t>
            </w:r>
            <w:r>
              <w:rPr>
                <w:rFonts w:ascii="Calibri" w:hAnsi="Calibri" w:cs="Calibri"/>
              </w:rPr>
              <w:t>now poses strategic, financial and operational challenges for the CDSP</w:t>
            </w:r>
            <w:r>
              <w:rPr>
                <w:rFonts w:ascii="Calibri" w:hAnsi="Calibri" w:cs="Calibri"/>
              </w:rPr>
              <w:t>.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One such challenge is </w:t>
            </w:r>
            <w:r>
              <w:rPr>
                <w:rFonts w:ascii="Calibri" w:hAnsi="Calibri" w:cs="Calibri"/>
              </w:rPr>
              <w:t xml:space="preserve">the impending </w:t>
            </w:r>
            <w:r>
              <w:rPr>
                <w:rFonts w:ascii="Calibri" w:hAnsi="Calibri" w:cs="Calibri"/>
              </w:rPr>
              <w:t xml:space="preserve">expiry of </w:t>
            </w:r>
            <w:r>
              <w:rPr>
                <w:rFonts w:ascii="Calibri" w:hAnsi="Calibri" w:cs="Calibri"/>
              </w:rPr>
              <w:t xml:space="preserve">third-party vendor support for PIX and the infrastructure that underpins </w:t>
            </w:r>
            <w:r>
              <w:rPr>
                <w:rFonts w:ascii="Calibri" w:hAnsi="Calibri" w:cs="Calibri"/>
              </w:rPr>
              <w:t>it</w:t>
            </w:r>
            <w:r>
              <w:rPr>
                <w:rFonts w:ascii="Calibri" w:hAnsi="Calibri" w:cs="Calibri"/>
              </w:rPr>
              <w:t>, this</w:t>
            </w:r>
            <w:r>
              <w:rPr>
                <w:rFonts w:ascii="Calibri" w:hAnsi="Calibri" w:cs="Calibri"/>
              </w:rPr>
              <w:t xml:space="preserve"> is </w:t>
            </w:r>
            <w:r>
              <w:rPr>
                <w:rFonts w:ascii="Calibri" w:hAnsi="Calibri" w:cs="Calibri"/>
              </w:rPr>
              <w:t xml:space="preserve">due to expire on the 31 December 2025 (in line with the proposed timelines to move off PSTN). The CDSP </w:t>
            </w:r>
            <w:r>
              <w:rPr>
                <w:rFonts w:ascii="Calibri" w:hAnsi="Calibri" w:cs="Calibri"/>
              </w:rPr>
              <w:t>is</w:t>
            </w:r>
            <w:r>
              <w:rPr>
                <w:rFonts w:ascii="Calibri" w:hAnsi="Calibri" w:cs="Calibri"/>
              </w:rPr>
              <w:t xml:space="preserve"> proposing that this support is </w:t>
            </w:r>
            <w:r>
              <w:rPr>
                <w:b w:val="1"/>
                <w:bCs w:val="1"/>
                <w:rFonts w:ascii="Calibri" w:hAnsi="Calibri" w:cs="Calibri"/>
              </w:rPr>
              <w:t>not</w:t>
            </w:r>
            <w:r>
              <w:rPr>
                <w:rFonts w:ascii="Calibri" w:hAnsi="Calibri" w:cs="Calibri"/>
              </w:rPr>
              <w:t xml:space="preserve"> extended past the current end </w:t>
            </w:r>
            <w:r>
              <w:rPr>
                <w:rFonts w:ascii="Calibri" w:hAnsi="Calibri" w:cs="Calibri"/>
              </w:rPr>
              <w:t>date,</w:t>
            </w:r>
            <w:r>
              <w:rPr>
                <w:rFonts w:ascii="Calibri" w:hAnsi="Calibri" w:cs="Calibri"/>
              </w:rPr>
              <w:t xml:space="preserve"> and </w:t>
            </w:r>
            <w:r>
              <w:rPr>
                <w:rFonts w:ascii="Calibri" w:hAnsi="Calibri" w:cs="Calibri"/>
              </w:rPr>
              <w:t xml:space="preserve">an update is made to </w:t>
            </w:r>
            <w:r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</w:rPr>
              <w:t xml:space="preserve"> UK Link Manual to </w:t>
            </w:r>
            <w:r>
              <w:rPr>
                <w:rFonts w:ascii="Calibri" w:hAnsi="Calibri" w:cs="Calibri"/>
              </w:rPr>
              <w:t>remove the PIX service offering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Please refer to the [Solution Option Summary] section for </w:t>
            </w:r>
            <w:r>
              <w:rPr>
                <w:rFonts w:ascii="Calibri" w:hAnsi="Calibri" w:cs="Calibri"/>
              </w:rPr>
              <w:t xml:space="preserve">more </w:t>
            </w:r>
            <w:r>
              <w:rPr>
                <w:rFonts w:ascii="Calibri" w:hAnsi="Calibri" w:cs="Calibri"/>
              </w:rPr>
              <w:t>details surrounding this proposal.</w:t>
            </w:r>
            <w:r>
              <w:rPr>
                <w:rFonts w:ascii="Calibri" w:hAnsi="Calibri" w:cs="Calibri"/>
              </w:rPr>
              <w:t xml:space="preserve"> Please note that the UK Link Manual already includes the provision of a </w:t>
            </w:r>
            <w:r>
              <w:rPr>
                <w:rFonts w:ascii="Calibri" w:hAnsi="Calibri" w:cs="Calibri"/>
              </w:rPr>
              <w:t>CIX</w:t>
            </w:r>
            <w:r>
              <w:rPr>
                <w:rFonts w:ascii="Calibri" w:hAnsi="Calibri" w:cs="Calibri"/>
              </w:rPr>
              <w:t xml:space="preserve"> service</w:t>
            </w:r>
            <w:r>
              <w:rPr>
                <w:rFonts w:ascii="Calibri" w:hAnsi="Calibri" w:cs="Calibri"/>
              </w:rPr>
              <w:t xml:space="preserve"> and this will remain.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b w:val="1"/>
                <w:bCs w:val="1"/>
                <w:rFonts w:ascii="Calibri" w:hAnsi="Calibri" w:cs="Calibri"/>
              </w:rPr>
            </w:pPr>
            <w:r>
              <w:rPr>
                <w:b w:val="1"/>
                <w:bCs w:val="1"/>
                <w:rFonts w:ascii="Calibri" w:hAnsi="Calibri" w:cs="Calibri"/>
              </w:rPr>
              <w:t>Additional Information: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Change Pack is being issued via the UK Link </w:t>
            </w:r>
            <w:r>
              <w:rPr>
                <w:rFonts w:ascii="Calibri" w:hAnsi="Calibri" w:cs="Calibri"/>
              </w:rPr>
              <w:t xml:space="preserve">Manual </w:t>
            </w:r>
            <w:r>
              <w:rPr>
                <w:rFonts w:ascii="Calibri" w:hAnsi="Calibri" w:cs="Calibri"/>
              </w:rPr>
              <w:t>Distribution list that includes all users of IX services</w:t>
            </w:r>
            <w:r>
              <w:rPr>
                <w:rFonts w:ascii="Calibri" w:hAnsi="Calibri" w:cs="Calibri"/>
              </w:rPr>
              <w:t>. I</w:t>
            </w:r>
            <w:r>
              <w:rPr>
                <w:rFonts w:ascii="Calibri" w:hAnsi="Calibri" w:cs="Calibri"/>
              </w:rPr>
              <w:t xml:space="preserve">t is encouraged that feedback is provided on the approach outlined, specifically in the [Solution Option Summary] section, via representation response from as many IX </w:t>
            </w:r>
            <w:r>
              <w:rPr>
                <w:rFonts w:ascii="Calibri" w:hAnsi="Calibri" w:cs="Calibri"/>
              </w:rPr>
              <w:t>users</w:t>
            </w:r>
            <w:r>
              <w:rPr>
                <w:rFonts w:ascii="Calibri" w:hAnsi="Calibri" w:cs="Calibri"/>
              </w:rPr>
              <w:t xml:space="preserve"> as possible. We also encourage </w:t>
            </w:r>
            <w:r>
              <w:rPr>
                <w:rFonts w:ascii="Calibri" w:hAnsi="Calibri" w:cs="Calibri"/>
                <w:i w:val="1"/>
                <w:iCs w:val="1"/>
              </w:rPr>
              <w:t>a)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the industry to articulate any reasons as to why the below proposal is not sufficient time to migrate </w:t>
            </w:r>
            <w:r>
              <w:rPr>
                <w:rFonts w:ascii="Calibri" w:hAnsi="Calibri" w:cs="Calibri"/>
              </w:rPr>
              <w:t xml:space="preserve">to CIX, </w:t>
            </w:r>
            <w:r>
              <w:rPr>
                <w:rFonts w:ascii="Calibri" w:hAnsi="Calibri" w:cs="Calibri"/>
              </w:rPr>
              <w:t xml:space="preserve">and </w:t>
            </w:r>
            <w:r>
              <w:rPr>
                <w:rFonts w:ascii="Calibri" w:hAnsi="Calibri" w:cs="Calibri"/>
                <w:i w:val="1"/>
                <w:iCs w:val="1"/>
              </w:rPr>
              <w:t>b)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feedback from those users that have already migrated to </w:t>
            </w:r>
            <w:r>
              <w:rPr>
                <w:rFonts w:ascii="Calibri" w:hAnsi="Calibri" w:cs="Calibri"/>
              </w:rPr>
              <w:t>C</w:t>
            </w:r>
            <w:r>
              <w:rPr>
                <w:rFonts w:ascii="Calibri" w:hAnsi="Calibri" w:cs="Calibri"/>
              </w:rPr>
              <w:t>IX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Please note that</w:t>
            </w:r>
            <w:r>
              <w:rPr>
                <w:rFonts w:ascii="Calibri" w:hAnsi="Calibri" w:cs="Calibri"/>
              </w:rPr>
              <w:t>, in accordance with the DSC Change Management Procedures,</w:t>
            </w:r>
            <w:r>
              <w:rPr>
                <w:rFonts w:ascii="Calibri" w:hAnsi="Calibri" w:cs="Calibri"/>
              </w:rPr>
              <w:t xml:space="preserve"> representations </w:t>
            </w:r>
            <w:r>
              <w:rPr>
                <w:rFonts w:ascii="Calibri" w:hAnsi="Calibri" w:cs="Calibri"/>
              </w:rPr>
              <w:t>can be submitted</w:t>
            </w:r>
            <w:r>
              <w:rPr>
                <w:rFonts w:ascii="Calibri" w:hAnsi="Calibri" w:cs="Calibri"/>
              </w:rPr>
              <w:t xml:space="preserve"> as </w:t>
            </w:r>
            <w:r>
              <w:rPr>
                <w:rFonts w:ascii="Calibri" w:hAnsi="Calibri" w:cs="Calibri"/>
              </w:rPr>
              <w:t xml:space="preserve">a </w:t>
            </w:r>
            <w:r>
              <w:rPr>
                <w:rFonts w:ascii="Calibri" w:hAnsi="Calibri" w:cs="Calibri"/>
              </w:rPr>
              <w:t>private response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if customers feel they do not wish the details</w:t>
            </w:r>
            <w:r>
              <w:rPr>
                <w:rFonts w:ascii="Calibri" w:hAnsi="Calibri" w:cs="Calibri"/>
              </w:rPr>
              <w:t xml:space="preserve"> contained within</w:t>
            </w:r>
            <w:r>
              <w:rPr>
                <w:rFonts w:ascii="Calibri" w:hAnsi="Calibri" w:cs="Calibri"/>
              </w:rPr>
              <w:t xml:space="preserve"> to be published</w:t>
            </w:r>
            <w:r>
              <w:rPr>
                <w:rFonts w:ascii="Calibri" w:hAnsi="Calibri" w:cs="Calibri"/>
              </w:rPr>
              <w:t>.</w:t>
            </w:r>
          </w:p>
          <w:p>
            <w:pPr>
              <w:rPr>
                <w:rFonts w:ascii="Calibri" w:hAnsi="Calibri" w:cs="Calibri"/>
              </w:rPr>
            </w:pPr>
          </w:p>
        </w:tc>
      </w:tr>
    </w:tbl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  <w:pStyle w:val="heading 1"/>
      </w:pPr>
      <w:r>
        <w:rPr>
          <w:rFonts w:ascii="Calibri" w:hAnsi="Calibri" w:cs="Calibri"/>
        </w:rPr>
        <w:t>Solution Options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567"/>
        <w:gridCol w:w="7927"/>
      </w:tblGrid>
      <w:tr>
        <w:trPr>
          <w:trHeight w:hRule="atLeast" w:val="159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Solution Option Summary: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This Change Pack is only considering one Solution Option</w:t>
            </w:r>
            <w:r>
              <w:rPr>
                <w:rFonts w:ascii="Calibri" w:hAnsi="Calibri" w:cs="Calibri"/>
              </w:rPr>
              <w:t xml:space="preserve"> for</w:t>
            </w:r>
            <w:r>
              <w:rPr>
                <w:rFonts w:ascii="Calibri" w:hAnsi="Calibri" w:cs="Calibri"/>
              </w:rPr>
              <w:t xml:space="preserve"> </w:t>
            </w:r>
            <w:hyperlink r:id="R13c8c33fda684682">
              <w:r>
                <w:rPr>
                  <w:rStyle w:val="Hyperlink"/>
                  <w:rFonts w:ascii="Calibri" w:hAnsi="Calibri" w:cs="Calibri"/>
                </w:rPr>
                <w:t>XRN5924</w:t>
              </w:r>
            </w:hyperlink>
            <w:r>
              <w:rPr>
                <w:rFonts w:ascii="Calibri" w:hAnsi="Calibri" w:cs="Calibri"/>
              </w:rPr>
              <w:t xml:space="preserve"> and </w:t>
            </w:r>
            <w:r>
              <w:rPr>
                <w:rFonts w:ascii="Calibri" w:hAnsi="Calibri" w:cs="Calibri"/>
              </w:rPr>
              <w:t xml:space="preserve">the CDSP </w:t>
            </w:r>
            <w:r>
              <w:rPr>
                <w:rFonts w:ascii="Calibri" w:hAnsi="Calibri" w:cs="Calibri"/>
              </w:rPr>
              <w:t>wishes to consult the industry</w:t>
            </w:r>
            <w:r>
              <w:rPr>
                <w:rFonts w:ascii="Calibri" w:hAnsi="Calibri" w:cs="Calibri"/>
              </w:rPr>
              <w:t xml:space="preserve"> and specifically IX users on the proposal outlined below</w:t>
            </w:r>
            <w:r>
              <w:rPr>
                <w:rFonts w:ascii="Calibri" w:hAnsi="Calibri" w:cs="Calibri"/>
              </w:rPr>
              <w:t>.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b w:val="1"/>
                <w:bCs w:val="1"/>
                <w:rFonts w:ascii="Calibri" w:hAnsi="Calibri" w:cs="Calibri"/>
              </w:rPr>
            </w:pPr>
            <w:r>
              <w:rPr>
                <w:b w:val="1"/>
                <w:bCs w:val="1"/>
                <w:rFonts w:ascii="Calibri" w:hAnsi="Calibri" w:cs="Calibri"/>
              </w:rPr>
              <w:t>Solution Option 1</w:t>
            </w:r>
            <w:r>
              <w:rPr>
                <w:b w:val="1"/>
                <w:bCs w:val="1"/>
                <w:rFonts w:ascii="Calibri" w:hAnsi="Calibri" w:cs="Calibri"/>
              </w:rPr>
              <w:t xml:space="preserve">: </w:t>
            </w:r>
            <w:r>
              <w:rPr>
                <w:b w:val="1"/>
                <w:bCs w:val="1"/>
                <w:rFonts w:ascii="Calibri" w:hAnsi="Calibri" w:cs="Calibri"/>
              </w:rPr>
              <w:t>End PIX Support in line with existing arrangements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This solution option is </w:t>
            </w:r>
            <w:r>
              <w:rPr>
                <w:rFonts w:ascii="Calibri" w:hAnsi="Calibri" w:cs="Calibri"/>
              </w:rPr>
              <w:t>proposing that</w:t>
            </w:r>
            <w:r>
              <w:rPr>
                <w:rFonts w:ascii="Calibri" w:hAnsi="Calibri" w:cs="Calibri"/>
              </w:rPr>
              <w:t xml:space="preserve"> support for </w:t>
            </w:r>
            <w:r>
              <w:rPr>
                <w:rFonts w:ascii="Calibri" w:hAnsi="Calibri" w:cs="Calibri"/>
              </w:rPr>
              <w:t>the legacy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PIX</w:t>
            </w:r>
            <w:r>
              <w:rPr>
                <w:rFonts w:ascii="Calibri" w:hAnsi="Calibri" w:cs="Calibri"/>
              </w:rPr>
              <w:t xml:space="preserve"> service</w:t>
            </w:r>
            <w:r>
              <w:rPr>
                <w:rFonts w:ascii="Calibri" w:hAnsi="Calibri" w:cs="Calibri"/>
              </w:rPr>
              <w:t xml:space="preserve"> is not continued</w:t>
            </w:r>
            <w:r>
              <w:rPr>
                <w:rFonts w:ascii="Calibri" w:hAnsi="Calibri" w:cs="Calibri"/>
              </w:rPr>
              <w:t xml:space="preserve"> post December 2025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and </w:t>
            </w:r>
            <w:r>
              <w:rPr>
                <w:rFonts w:ascii="Calibri" w:hAnsi="Calibri" w:cs="Calibri"/>
              </w:rPr>
              <w:t>an update is made to the UK Link Manual to remove the PIX service offering.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This</w:t>
            </w:r>
            <w:r>
              <w:rPr>
                <w:rFonts w:ascii="Calibri" w:hAnsi="Calibri" w:cs="Calibri"/>
              </w:rPr>
              <w:t xml:space="preserve"> proposal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to not extend PIX support past December 2025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is guided by several core considerations: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b w:val="1"/>
                <w:bCs w:val="1"/>
                <w:rFonts w:ascii="Calibri" w:hAnsi="Calibri" w:cs="Calibri"/>
              </w:rPr>
            </w:pPr>
            <w:r>
              <w:rPr>
                <w:b w:val="1"/>
                <w:bCs w:val="1"/>
                <w:rFonts w:ascii="Calibri" w:hAnsi="Calibri" w:cs="Calibri"/>
              </w:rPr>
              <w:t>1</w:t>
            </w:r>
            <w:r>
              <w:rPr>
                <w:b w:val="1"/>
                <w:bCs w:val="1"/>
                <w:rFonts w:ascii="Calibri" w:hAnsi="Calibri" w:cs="Calibri"/>
              </w:rPr>
              <w:t xml:space="preserve"> -</w:t>
            </w:r>
            <w:r>
              <w:rPr>
                <w:b w:val="1"/>
                <w:bCs w:val="1"/>
                <w:rFonts w:ascii="Calibri" w:hAnsi="Calibri" w:cs="Calibri"/>
              </w:rPr>
              <w:t xml:space="preserve"> </w:t>
            </w:r>
            <w:r>
              <w:rPr>
                <w:b w:val="1"/>
                <w:bCs w:val="1"/>
                <w:rFonts w:ascii="Calibri" w:hAnsi="Calibri" w:cs="Calibri"/>
              </w:rPr>
              <w:t>Technical Risk and Service Degradation</w:t>
            </w:r>
          </w:p>
          <w:p>
            <w:pPr>
              <w:rPr>
                <w:b w:val="1"/>
                <w:bCs w:val="1"/>
                <w:rFonts w:ascii="Calibri" w:hAnsi="Calibri" w:cs="Calibri"/>
              </w:rPr>
              <w:ind w:left="720"/>
            </w:pPr>
            <w:r>
              <w:rPr>
                <w:rFonts w:ascii="Calibri" w:hAnsi="Calibri" w:cs="Calibri"/>
              </w:rPr>
              <w:t xml:space="preserve">The underlying PTSN/ISDN technology is </w:t>
            </w:r>
            <w:r>
              <w:rPr>
                <w:rFonts w:ascii="Calibri" w:hAnsi="Calibri" w:cs="Calibri"/>
              </w:rPr>
              <w:t>effectively</w:t>
            </w:r>
            <w:r>
              <w:rPr>
                <w:rFonts w:ascii="Calibri" w:hAnsi="Calibri" w:cs="Calibri"/>
              </w:rPr>
              <w:t xml:space="preserve"> obsolete and will be totally phased out by January 2027.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Decommissioning of circuits by telecom providers are happening steadily</w:t>
            </w:r>
            <w:r>
              <w:rPr>
                <w:rFonts w:ascii="Calibri" w:hAnsi="Calibri" w:cs="Calibri"/>
              </w:rPr>
              <w:t xml:space="preserve"> as they reduce their own</w:t>
            </w:r>
            <w:r>
              <w:rPr>
                <w:rFonts w:ascii="Calibri" w:hAnsi="Calibri" w:cs="Calibri"/>
              </w:rPr>
              <w:t xml:space="preserve"> reliance on this technology</w:t>
            </w:r>
            <w:r>
              <w:rPr>
                <w:rFonts w:ascii="Calibri" w:hAnsi="Calibri" w:cs="Calibri"/>
              </w:rPr>
              <w:t xml:space="preserve">, which in turn </w:t>
            </w:r>
            <w:r>
              <w:rPr>
                <w:rFonts w:ascii="Calibri" w:hAnsi="Calibri" w:cs="Calibri"/>
              </w:rPr>
              <w:t>increa</w:t>
            </w:r>
            <w:r>
              <w:rPr>
                <w:rFonts w:ascii="Calibri" w:hAnsi="Calibri" w:cs="Calibri"/>
              </w:rPr>
              <w:t>ses</w:t>
            </w:r>
            <w:r>
              <w:rPr>
                <w:rFonts w:ascii="Calibri" w:hAnsi="Calibri" w:cs="Calibri"/>
              </w:rPr>
              <w:t xml:space="preserve"> the risk of an unstable </w:t>
            </w:r>
            <w:r>
              <w:rPr>
                <w:rFonts w:ascii="Calibri" w:hAnsi="Calibri" w:cs="Calibri"/>
              </w:rPr>
              <w:t>solution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It is also noted that f</w:t>
            </w:r>
            <w:r>
              <w:rPr>
                <w:rFonts w:ascii="Calibri" w:hAnsi="Calibri" w:cs="Calibri"/>
              </w:rPr>
              <w:t>ewer vendors and skilled technicians are available to provide the required support which would increase costs significantly</w:t>
            </w:r>
            <w:r>
              <w:rPr>
                <w:rFonts w:ascii="Calibri" w:hAnsi="Calibri" w:cs="Calibri"/>
              </w:rPr>
              <w:t xml:space="preserve"> if enduring support is required.</w:t>
            </w:r>
          </w:p>
          <w:p>
            <w:pPr>
              <w:rPr>
                <w:rFonts w:ascii="Calibri" w:hAnsi="Calibri" w:cs="Calibri"/>
              </w:rPr>
              <w:ind w:left="720"/>
            </w:pPr>
          </w:p>
          <w:p>
            <w:pPr>
              <w:rPr>
                <w:b w:val="1"/>
                <w:bCs w:val="1"/>
                <w:rFonts w:ascii="Calibri" w:hAnsi="Calibri" w:cs="Calibri"/>
              </w:rPr>
            </w:pPr>
            <w:r>
              <w:rPr>
                <w:b w:val="1"/>
                <w:bCs w:val="1"/>
                <w:rFonts w:ascii="Calibri" w:hAnsi="Calibri" w:cs="Calibri"/>
              </w:rPr>
              <w:t>2</w:t>
            </w:r>
            <w:r>
              <w:rPr>
                <w:b w:val="1"/>
                <w:bCs w:val="1"/>
                <w:rFonts w:ascii="Calibri" w:hAnsi="Calibri" w:cs="Calibri"/>
              </w:rPr>
              <w:t xml:space="preserve"> -</w:t>
            </w:r>
            <w:r>
              <w:rPr>
                <w:b w:val="1"/>
                <w:bCs w:val="1"/>
                <w:rFonts w:ascii="Calibri" w:hAnsi="Calibri" w:cs="Calibri"/>
              </w:rPr>
              <w:t xml:space="preserve"> </w:t>
            </w:r>
            <w:r>
              <w:rPr>
                <w:b w:val="1"/>
                <w:bCs w:val="1"/>
                <w:rFonts w:ascii="Calibri" w:hAnsi="Calibri" w:cs="Calibri"/>
              </w:rPr>
              <w:t>Rising Costs Spread Over a Shrinking Customer Base</w:t>
            </w:r>
          </w:p>
          <w:p>
            <w:pPr>
              <w:rPr>
                <w:rFonts w:ascii="Calibri" w:hAnsi="Calibri" w:cs="Calibri"/>
              </w:rPr>
              <w:ind w:left="720"/>
            </w:pPr>
            <w:r>
              <w:rPr>
                <w:rFonts w:ascii="Calibri" w:hAnsi="Calibri" w:cs="Calibri"/>
              </w:rPr>
              <w:t xml:space="preserve">Maintaining an aging PIX </w:t>
            </w:r>
            <w:r>
              <w:rPr>
                <w:rFonts w:ascii="Calibri" w:hAnsi="Calibri" w:cs="Calibri"/>
              </w:rPr>
              <w:t>service</w:t>
            </w:r>
            <w:r>
              <w:rPr>
                <w:rFonts w:ascii="Calibri" w:hAnsi="Calibri" w:cs="Calibri"/>
              </w:rPr>
              <w:t xml:space="preserve"> in parallel with CIX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incurs significant </w:t>
            </w:r>
            <w:r>
              <w:rPr>
                <w:rFonts w:ascii="Calibri" w:hAnsi="Calibri" w:cs="Calibri"/>
              </w:rPr>
              <w:t xml:space="preserve">additional </w:t>
            </w:r>
            <w:r>
              <w:rPr>
                <w:rFonts w:ascii="Calibri" w:hAnsi="Calibri" w:cs="Calibri"/>
              </w:rPr>
              <w:t>fixed and variable costs, specifically around support, network dependencies, vendor maintenance and compliance overheads. As the user base continues to shrink</w:t>
            </w:r>
            <w:r>
              <w:rPr>
                <w:rFonts w:ascii="Calibri" w:hAnsi="Calibri" w:cs="Calibri"/>
              </w:rPr>
              <w:t xml:space="preserve"> c</w:t>
            </w:r>
            <w:r>
              <w:rPr>
                <w:rFonts w:ascii="Calibri" w:hAnsi="Calibri" w:cs="Calibri"/>
              </w:rPr>
              <w:t>osts per customer will increase exponentially, making the service uneconomical</w:t>
            </w:r>
            <w:r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 xml:space="preserve">Any increase </w:t>
            </w:r>
            <w:r>
              <w:rPr>
                <w:rFonts w:ascii="Calibri" w:hAnsi="Calibri" w:cs="Calibri"/>
              </w:rPr>
              <w:t>will be fully passed through to remaining legacy</w:t>
            </w:r>
            <w:r>
              <w:rPr>
                <w:rFonts w:ascii="Calibri" w:hAnsi="Calibri" w:cs="Calibri"/>
              </w:rPr>
              <w:t xml:space="preserve"> PIX</w:t>
            </w:r>
            <w:r>
              <w:rPr>
                <w:rFonts w:ascii="Calibri" w:hAnsi="Calibri" w:cs="Calibri"/>
              </w:rPr>
              <w:t xml:space="preserve"> user</w:t>
            </w:r>
            <w:r>
              <w:rPr>
                <w:rFonts w:ascii="Calibri" w:hAnsi="Calibri" w:cs="Calibri"/>
              </w:rPr>
              <w:t>s.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b w:val="1"/>
                <w:bCs w:val="1"/>
                <w:rFonts w:ascii="Calibri" w:hAnsi="Calibri" w:cs="Calibri"/>
              </w:rPr>
            </w:pPr>
            <w:r>
              <w:rPr>
                <w:b w:val="1"/>
                <w:bCs w:val="1"/>
                <w:rFonts w:ascii="Calibri" w:hAnsi="Calibri" w:cs="Calibri"/>
              </w:rPr>
              <w:t>3</w:t>
            </w:r>
            <w:r>
              <w:rPr>
                <w:b w:val="1"/>
                <w:bCs w:val="1"/>
                <w:rFonts w:ascii="Calibri" w:hAnsi="Calibri" w:cs="Calibri"/>
              </w:rPr>
              <w:t xml:space="preserve"> -</w:t>
            </w:r>
            <w:r>
              <w:rPr>
                <w:b w:val="1"/>
                <w:bCs w:val="1"/>
                <w:rFonts w:ascii="Calibri" w:hAnsi="Calibri" w:cs="Calibri"/>
              </w:rPr>
              <w:t xml:space="preserve"> Strategic Misalignment and Opportunity Cost</w:t>
            </w:r>
          </w:p>
          <w:p>
            <w:pPr>
              <w:rPr>
                <w:rFonts w:ascii="Calibri" w:hAnsi="Calibri" w:cs="Calibri"/>
              </w:rPr>
              <w:ind w:left="720"/>
            </w:pPr>
            <w:r>
              <w:rPr>
                <w:rFonts w:ascii="Calibri" w:hAnsi="Calibri" w:cs="Calibri"/>
              </w:rPr>
              <w:t>Supporting two</w:t>
            </w:r>
            <w:r>
              <w:rPr>
                <w:rFonts w:ascii="Calibri" w:hAnsi="Calibri" w:cs="Calibri"/>
              </w:rPr>
              <w:t xml:space="preserve"> separate</w:t>
            </w:r>
            <w:r>
              <w:rPr>
                <w:rFonts w:ascii="Calibri" w:hAnsi="Calibri" w:cs="Calibri"/>
              </w:rPr>
              <w:t xml:space="preserve"> offerings under </w:t>
            </w:r>
            <w:r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>IX</w:t>
            </w:r>
            <w:r>
              <w:rPr>
                <w:rFonts w:ascii="Calibri" w:hAnsi="Calibri" w:cs="Calibri"/>
              </w:rPr>
              <w:t xml:space="preserve"> service</w:t>
            </w:r>
            <w:r>
              <w:rPr>
                <w:rFonts w:ascii="Calibri" w:hAnsi="Calibri" w:cs="Calibri"/>
              </w:rPr>
              <w:t xml:space="preserve"> creates architectural complexity and support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fragmentation, which can cause issues and increase DSC Change Delivery</w:t>
            </w:r>
            <w:r>
              <w:rPr>
                <w:rFonts w:ascii="Calibri" w:hAnsi="Calibri" w:cs="Calibri"/>
              </w:rPr>
              <w:t xml:space="preserve"> and Investment</w:t>
            </w:r>
            <w:r>
              <w:rPr>
                <w:rFonts w:ascii="Calibri" w:hAnsi="Calibri" w:cs="Calibri"/>
              </w:rPr>
              <w:t xml:space="preserve"> costings, </w:t>
            </w:r>
            <w:r>
              <w:rPr>
                <w:rFonts w:ascii="Calibri" w:hAnsi="Calibri" w:cs="Calibri"/>
              </w:rPr>
              <w:t>specifically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if end to end or market trial</w:t>
            </w: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testing is required.</w:t>
            </w:r>
            <w:r>
              <w:rPr>
                <w:rFonts w:ascii="Calibri" w:hAnsi="Calibri" w:cs="Calibri"/>
              </w:rPr>
              <w:t xml:space="preserve"> Ongoing i</w:t>
            </w:r>
            <w:r>
              <w:rPr>
                <w:rFonts w:ascii="Calibri" w:hAnsi="Calibri" w:cs="Calibri"/>
              </w:rPr>
              <w:t>nvestment in obsolete technology contradicts our continued commitment to avoid regret spend where possible.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b w:val="1"/>
                <w:bCs w:val="1"/>
                <w:rFonts w:ascii="Calibri" w:hAnsi="Calibri" w:cs="Calibri"/>
              </w:rPr>
            </w:pPr>
            <w:r>
              <w:rPr>
                <w:b w:val="1"/>
                <w:bCs w:val="1"/>
                <w:rFonts w:ascii="Calibri" w:hAnsi="Calibri" w:cs="Calibri"/>
              </w:rPr>
              <w:t>4</w:t>
            </w:r>
            <w:r>
              <w:rPr>
                <w:b w:val="1"/>
                <w:bCs w:val="1"/>
                <w:rFonts w:ascii="Calibri" w:hAnsi="Calibri" w:cs="Calibri"/>
              </w:rPr>
              <w:t xml:space="preserve"> -</w:t>
            </w:r>
            <w:r>
              <w:rPr>
                <w:b w:val="1"/>
                <w:bCs w:val="1"/>
                <w:rFonts w:ascii="Calibri" w:hAnsi="Calibri" w:cs="Calibri"/>
              </w:rPr>
              <w:t xml:space="preserve"> Risk of Perpetual Delay</w:t>
            </w:r>
          </w:p>
          <w:p>
            <w:pPr>
              <w:rPr>
                <w:rFonts w:ascii="Calibri" w:hAnsi="Calibri" w:cs="Calibri"/>
              </w:rPr>
              <w:ind w:left="720"/>
            </w:pPr>
            <w:r>
              <w:rPr>
                <w:rFonts w:ascii="Calibri" w:hAnsi="Calibri" w:cs="Calibri"/>
              </w:rPr>
              <w:t xml:space="preserve">The continued hesitation </w:t>
            </w:r>
            <w:r>
              <w:rPr>
                <w:rFonts w:ascii="Calibri" w:hAnsi="Calibri" w:cs="Calibri"/>
              </w:rPr>
              <w:t>exacerbates</w:t>
            </w:r>
            <w:r>
              <w:rPr>
                <w:rFonts w:ascii="Calibri" w:hAnsi="Calibri" w:cs="Calibri"/>
              </w:rPr>
              <w:t xml:space="preserve"> the risk of PIX customers being stranded with no IX functionality</w:t>
            </w:r>
            <w:r>
              <w:rPr>
                <w:rFonts w:ascii="Calibri" w:hAnsi="Calibri" w:cs="Calibri"/>
              </w:rPr>
              <w:t xml:space="preserve"> as we have no control over the </w:t>
            </w:r>
            <w:r>
              <w:rPr>
                <w:rFonts w:ascii="Calibri" w:hAnsi="Calibri" w:cs="Calibri"/>
              </w:rPr>
              <w:t>PSTN/ISDN switch off.</w:t>
            </w:r>
            <w:r>
              <w:rPr>
                <w:rFonts w:ascii="Calibri" w:hAnsi="Calibri" w:cs="Calibri"/>
              </w:rPr>
              <w:t xml:space="preserve"> W</w:t>
            </w:r>
            <w:r>
              <w:rPr>
                <w:rFonts w:ascii="Calibri" w:hAnsi="Calibri" w:cs="Calibri"/>
              </w:rPr>
              <w:t xml:space="preserve">ithout a clear and </w:t>
            </w:r>
            <w:r>
              <w:rPr>
                <w:rFonts w:ascii="Calibri" w:hAnsi="Calibri" w:cs="Calibri"/>
              </w:rPr>
              <w:t>enforceable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sunsetting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of the</w:t>
            </w:r>
            <w:r>
              <w:rPr>
                <w:rFonts w:ascii="Calibri" w:hAnsi="Calibri" w:cs="Calibri"/>
              </w:rPr>
              <w:t xml:space="preserve"> PIX</w:t>
            </w:r>
            <w:r>
              <w:rPr>
                <w:rFonts w:ascii="Calibri" w:hAnsi="Calibri" w:cs="Calibri"/>
              </w:rPr>
              <w:t xml:space="preserve"> service</w:t>
            </w:r>
            <w:r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users</w:t>
            </w:r>
            <w:r>
              <w:rPr>
                <w:rFonts w:ascii="Calibri" w:hAnsi="Calibri" w:cs="Calibri"/>
              </w:rPr>
              <w:t xml:space="preserve"> will continue to delay moving to </w:t>
            </w:r>
            <w:r>
              <w:rPr>
                <w:rFonts w:ascii="Calibri" w:hAnsi="Calibri" w:cs="Calibri"/>
              </w:rPr>
              <w:t xml:space="preserve">the enduring CIX offering and </w:t>
            </w:r>
            <w:r>
              <w:rPr>
                <w:rFonts w:ascii="Calibri" w:hAnsi="Calibri" w:cs="Calibri"/>
              </w:rPr>
              <w:t xml:space="preserve">fosters a “wait and see” culture that undermines innovation and best practices for </w:t>
            </w:r>
            <w:r>
              <w:rPr>
                <w:rFonts w:ascii="Calibri" w:hAnsi="Calibri" w:cs="Calibri"/>
              </w:rPr>
              <w:t>modernisation of services</w:t>
            </w:r>
            <w:r>
              <w:rPr>
                <w:rFonts w:ascii="Calibri" w:hAnsi="Calibri" w:cs="Calibri"/>
              </w:rPr>
              <w:t>, which is something DSC customers champion the CDSP to aspire</w:t>
            </w:r>
            <w:r>
              <w:rPr>
                <w:rFonts w:ascii="Calibri" w:hAnsi="Calibri" w:cs="Calibri"/>
              </w:rPr>
              <w:t>.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b w:val="1"/>
                <w:bCs w:val="1"/>
                <w:rFonts w:ascii="Calibri" w:hAnsi="Calibri" w:cs="Calibri"/>
              </w:rPr>
            </w:pPr>
            <w:r>
              <w:rPr>
                <w:b w:val="1"/>
                <w:bCs w:val="1"/>
                <w:rFonts w:ascii="Calibri" w:hAnsi="Calibri" w:cs="Calibri"/>
              </w:rPr>
              <w:t>5</w:t>
            </w:r>
            <w:r>
              <w:rPr>
                <w:b w:val="1"/>
                <w:bCs w:val="1"/>
                <w:rFonts w:ascii="Calibri" w:hAnsi="Calibri" w:cs="Calibri"/>
              </w:rPr>
              <w:t xml:space="preserve"> -</w:t>
            </w:r>
            <w:r>
              <w:rPr>
                <w:b w:val="1"/>
                <w:bCs w:val="1"/>
                <w:rFonts w:ascii="Calibri" w:hAnsi="Calibri" w:cs="Calibri"/>
              </w:rPr>
              <w:t xml:space="preserve"> Readily Available Alternative</w:t>
            </w:r>
          </w:p>
          <w:p>
            <w:pPr>
              <w:rPr>
                <w:rFonts w:ascii="Calibri" w:hAnsi="Calibri" w:cs="Calibri"/>
              </w:rPr>
              <w:ind w:left="720"/>
            </w:pPr>
            <w:r>
              <w:rPr>
                <w:rFonts w:ascii="Calibri" w:hAnsi="Calibri" w:cs="Calibri"/>
              </w:rPr>
              <w:t xml:space="preserve">CIX </w:t>
            </w:r>
            <w:r>
              <w:rPr>
                <w:rFonts w:ascii="Calibri" w:hAnsi="Calibri" w:cs="Calibri"/>
              </w:rPr>
              <w:t>has been</w:t>
            </w:r>
            <w:r>
              <w:rPr>
                <w:rFonts w:ascii="Calibri" w:hAnsi="Calibri" w:cs="Calibri"/>
              </w:rPr>
              <w:t xml:space="preserve"> fully functional</w:t>
            </w:r>
            <w:r>
              <w:rPr>
                <w:rFonts w:ascii="Calibri" w:hAnsi="Calibri" w:cs="Calibri"/>
              </w:rPr>
              <w:t xml:space="preserve"> since </w:t>
            </w:r>
            <w:r>
              <w:rPr>
                <w:rFonts w:ascii="Calibri" w:hAnsi="Calibri" w:cs="Calibri"/>
              </w:rPr>
              <w:t>May</w:t>
            </w:r>
            <w:r>
              <w:rPr>
                <w:rFonts w:ascii="Calibri" w:hAnsi="Calibri" w:cs="Calibri"/>
              </w:rPr>
              <w:t xml:space="preserve"> 202</w:t>
            </w:r>
            <w:r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with a number of large users </w:t>
            </w:r>
            <w:r>
              <w:rPr>
                <w:rFonts w:ascii="Calibri" w:hAnsi="Calibri" w:cs="Calibri"/>
              </w:rPr>
              <w:t>adopting the cloud offering</w:t>
            </w:r>
            <w:r>
              <w:rPr>
                <w:rFonts w:ascii="Calibri" w:hAnsi="Calibri" w:cs="Calibri"/>
              </w:rPr>
              <w:t xml:space="preserve"> with minimal disruption</w:t>
            </w:r>
            <w:r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The CDSP has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and continue to reiterate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our </w:t>
            </w:r>
            <w:r>
              <w:rPr>
                <w:rFonts w:ascii="Calibri" w:hAnsi="Calibri" w:cs="Calibri"/>
              </w:rPr>
              <w:t xml:space="preserve">capability to move all PIX customers to CIX by the end of 2025, but a clear </w:t>
            </w:r>
            <w:r>
              <w:rPr>
                <w:rFonts w:ascii="Calibri" w:hAnsi="Calibri" w:cs="Calibri"/>
              </w:rPr>
              <w:t>deadline</w:t>
            </w:r>
            <w:r>
              <w:rPr>
                <w:rFonts w:ascii="Calibri" w:hAnsi="Calibri" w:cs="Calibri"/>
              </w:rPr>
              <w:t xml:space="preserve"> needs to be set to encourage the remaining PIX customers</w:t>
            </w:r>
            <w:r>
              <w:rPr>
                <w:rFonts w:ascii="Calibri" w:hAnsi="Calibri" w:cs="Calibri"/>
              </w:rPr>
              <w:t xml:space="preserve"> and avoid unnecessary costs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F</w:t>
            </w:r>
            <w:r>
              <w:rPr>
                <w:rFonts w:ascii="Calibri" w:hAnsi="Calibri" w:cs="Calibri"/>
              </w:rPr>
              <w:t xml:space="preserve">eedback </w:t>
            </w:r>
            <w:r>
              <w:rPr>
                <w:rFonts w:ascii="Calibri" w:hAnsi="Calibri" w:cs="Calibri"/>
              </w:rPr>
              <w:t xml:space="preserve">received </w:t>
            </w:r>
            <w:r>
              <w:rPr>
                <w:rFonts w:ascii="Calibri" w:hAnsi="Calibri" w:cs="Calibri"/>
              </w:rPr>
              <w:t>to date</w:t>
            </w:r>
            <w:r>
              <w:rPr>
                <w:rFonts w:ascii="Calibri" w:hAnsi="Calibri" w:cs="Calibri"/>
              </w:rPr>
              <w:t xml:space="preserve"> related to CIX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and the onboarding process </w:t>
            </w:r>
            <w:r>
              <w:rPr>
                <w:rFonts w:ascii="Calibri" w:hAnsi="Calibri" w:cs="Calibri"/>
              </w:rPr>
              <w:t xml:space="preserve">has been </w:t>
            </w:r>
            <w:r>
              <w:rPr>
                <w:rFonts w:ascii="Calibri" w:hAnsi="Calibri" w:cs="Calibri"/>
              </w:rPr>
              <w:t xml:space="preserve">extremely </w:t>
            </w:r>
            <w:r>
              <w:rPr>
                <w:rFonts w:ascii="Calibri" w:hAnsi="Calibri" w:cs="Calibri"/>
              </w:rPr>
              <w:t xml:space="preserve">positive, </w:t>
            </w:r>
            <w:r>
              <w:rPr>
                <w:rFonts w:ascii="Calibri" w:hAnsi="Calibri" w:cs="Calibri"/>
              </w:rPr>
              <w:t>both in terms of service quality and the speed in which users can move</w:t>
            </w:r>
            <w:r>
              <w:rPr>
                <w:rFonts w:ascii="Calibri" w:hAnsi="Calibri" w:cs="Calibri"/>
              </w:rPr>
              <w:t xml:space="preserve"> quickly if incentivised to do so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(migration can be </w:t>
            </w:r>
            <w:r>
              <w:rPr>
                <w:rFonts w:ascii="Calibri" w:hAnsi="Calibri" w:cs="Calibri"/>
              </w:rPr>
              <w:t>carried out</w:t>
            </w:r>
            <w:r>
              <w:rPr>
                <w:rFonts w:ascii="Calibri" w:hAnsi="Calibri" w:cs="Calibri"/>
              </w:rPr>
              <w:t xml:space="preserve"> in as little as </w:t>
            </w:r>
            <w:r>
              <w:rPr>
                <w:rFonts w:ascii="Calibri" w:hAnsi="Calibri" w:cs="Calibri"/>
              </w:rPr>
              <w:t>4 working days</w:t>
            </w:r>
            <w:r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There is a wealth of information</w:t>
            </w:r>
            <w:r>
              <w:rPr>
                <w:rFonts w:ascii="Calibri" w:hAnsi="Calibri" w:cs="Calibri"/>
              </w:rPr>
              <w:t xml:space="preserve"> for PIX users</w:t>
            </w:r>
            <w:r>
              <w:rPr>
                <w:rFonts w:ascii="Calibri" w:hAnsi="Calibri" w:cs="Calibri"/>
              </w:rPr>
              <w:t xml:space="preserve"> to support the </w:t>
            </w:r>
            <w:r>
              <w:rPr>
                <w:rFonts w:ascii="Calibri" w:hAnsi="Calibri" w:cs="Calibri"/>
              </w:rPr>
              <w:t xml:space="preserve">transition to </w:t>
            </w:r>
            <w:r>
              <w:rPr>
                <w:rFonts w:ascii="Calibri" w:hAnsi="Calibri" w:cs="Calibri"/>
              </w:rPr>
              <w:t xml:space="preserve">CIX that has been </w:t>
            </w:r>
            <w:r>
              <w:rPr>
                <w:rFonts w:ascii="Calibri" w:hAnsi="Calibri" w:cs="Calibri"/>
              </w:rPr>
              <w:t>published</w:t>
            </w:r>
            <w:r>
              <w:rPr>
                <w:rFonts w:ascii="Calibri" w:hAnsi="Calibri" w:cs="Calibri"/>
              </w:rPr>
              <w:t xml:space="preserve"> to date</w:t>
            </w:r>
            <w:r>
              <w:rPr>
                <w:rFonts w:ascii="Calibri" w:hAnsi="Calibri" w:cs="Calibri"/>
              </w:rPr>
              <w:t xml:space="preserve"> on our </w:t>
            </w:r>
            <w:hyperlink r:id="Re1bd6f4d7e68437c">
              <w:r>
                <w:rPr>
                  <w:rStyle w:val="Hyperlink"/>
                  <w:rFonts w:ascii="Calibri" w:hAnsi="Calibri" w:cs="Calibri"/>
                </w:rPr>
                <w:t>IX webpage</w:t>
              </w:r>
            </w:hyperlink>
            <w:r>
              <w:rPr>
                <w:rFonts w:ascii="Calibri" w:hAnsi="Calibri" w:cs="Calibri"/>
              </w:rPr>
              <w:t>.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b w:val="1"/>
                <w:bCs w:val="1"/>
                <w:rFonts w:ascii="Calibri" w:hAnsi="Calibri" w:cs="Calibri"/>
              </w:rPr>
            </w:pPr>
            <w:r>
              <w:rPr>
                <w:b w:val="1"/>
                <w:bCs w:val="1"/>
                <w:rFonts w:ascii="Calibri" w:hAnsi="Calibri" w:cs="Calibri"/>
              </w:rPr>
              <w:t>Conclusion: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It is believed that this</w:t>
            </w:r>
            <w:r>
              <w:rPr>
                <w:rFonts w:ascii="Calibri" w:hAnsi="Calibri" w:cs="Calibri"/>
              </w:rPr>
              <w:t xml:space="preserve"> proposal </w:t>
            </w:r>
            <w:r>
              <w:rPr>
                <w:rFonts w:ascii="Calibri" w:hAnsi="Calibri" w:cs="Calibri"/>
              </w:rPr>
              <w:t xml:space="preserve">represents a </w:t>
            </w:r>
            <w:r>
              <w:rPr>
                <w:rFonts w:ascii="Calibri" w:hAnsi="Calibri" w:cs="Calibri"/>
              </w:rPr>
              <w:t>balanced</w:t>
            </w:r>
            <w:r>
              <w:rPr>
                <w:rFonts w:ascii="Calibri" w:hAnsi="Calibri" w:cs="Calibri"/>
              </w:rPr>
              <w:t xml:space="preserve"> and responsible course of action that fulfils our service obligations </w:t>
            </w:r>
            <w:r>
              <w:rPr>
                <w:rFonts w:ascii="Calibri" w:hAnsi="Calibri" w:cs="Calibri"/>
              </w:rPr>
              <w:t>while</w:t>
            </w:r>
            <w:r>
              <w:rPr>
                <w:rFonts w:ascii="Calibri" w:hAnsi="Calibri" w:cs="Calibri"/>
              </w:rPr>
              <w:t xml:space="preserve"> ensuring </w:t>
            </w:r>
            <w:r>
              <w:rPr>
                <w:rFonts w:ascii="Calibri" w:hAnsi="Calibri" w:cs="Calibri"/>
              </w:rPr>
              <w:t>a continued commitment for minimising regret spend.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The </w:t>
            </w:r>
            <w:r>
              <w:rPr>
                <w:rFonts w:ascii="Calibri" w:hAnsi="Calibri" w:cs="Calibri"/>
              </w:rPr>
              <w:t xml:space="preserve">CDSP </w:t>
            </w:r>
            <w:r>
              <w:rPr>
                <w:rFonts w:ascii="Calibri" w:hAnsi="Calibri" w:cs="Calibri"/>
              </w:rPr>
              <w:t>continues to</w:t>
            </w:r>
            <w:r>
              <w:rPr>
                <w:rFonts w:ascii="Calibri" w:hAnsi="Calibri" w:cs="Calibri"/>
              </w:rPr>
              <w:t xml:space="preserve"> be </w:t>
            </w:r>
            <w:r>
              <w:rPr>
                <w:rFonts w:ascii="Calibri" w:hAnsi="Calibri" w:cs="Calibri"/>
              </w:rPr>
              <w:t>committed</w:t>
            </w:r>
            <w:r>
              <w:rPr>
                <w:rFonts w:ascii="Calibri" w:hAnsi="Calibri" w:cs="Calibri"/>
              </w:rPr>
              <w:t xml:space="preserve"> and</w:t>
            </w:r>
            <w:r>
              <w:rPr>
                <w:rFonts w:ascii="Calibri" w:hAnsi="Calibri" w:cs="Calibri"/>
              </w:rPr>
              <w:t xml:space="preserve"> is</w:t>
            </w:r>
            <w:r>
              <w:rPr>
                <w:rFonts w:ascii="Calibri" w:hAnsi="Calibri" w:cs="Calibri"/>
              </w:rPr>
              <w:t xml:space="preserve"> able to</w:t>
            </w:r>
            <w:r>
              <w:rPr>
                <w:rFonts w:ascii="Calibri" w:hAnsi="Calibri" w:cs="Calibri"/>
              </w:rPr>
              <w:t xml:space="preserve"> migrate all PIX users </w:t>
            </w:r>
            <w:r>
              <w:rPr>
                <w:rFonts w:ascii="Calibri" w:hAnsi="Calibri" w:cs="Calibri"/>
              </w:rPr>
              <w:t xml:space="preserve">to CIX </w:t>
            </w:r>
            <w:r>
              <w:rPr>
                <w:rFonts w:ascii="Calibri" w:hAnsi="Calibri" w:cs="Calibri"/>
              </w:rPr>
              <w:t xml:space="preserve">by the end of this year </w:t>
            </w:r>
            <w:r>
              <w:rPr>
                <w:rFonts w:ascii="Calibri" w:hAnsi="Calibri" w:cs="Calibri"/>
              </w:rPr>
              <w:t xml:space="preserve">and therefore it is our recommendation that </w:t>
            </w:r>
            <w:r>
              <w:rPr>
                <w:rFonts w:ascii="Calibri" w:hAnsi="Calibri" w:cs="Calibri"/>
              </w:rPr>
              <w:t>support for PIX ends on the 31 December 2025.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Proposed Implementation Date: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 December 2025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Xoserve preferred option:</w:t>
            </w:r>
          </w:p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(including rationale)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Solution Option 1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DSG preferred solution option:</w:t>
            </w:r>
          </w:p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(including rationale)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</w:tc>
      </w:tr>
    </w:tbl>
    <w:p>
      <w:pPr>
        <w:rPr>
          <w:rFonts w:ascii="Calibri" w:hAnsi="Calibri" w:cs="Calibri"/>
        </w:rPr>
      </w:pPr>
    </w:p>
    <w:p>
      <w:pPr>
        <w:rPr>
          <w:b w:val="0"/>
          <w:bCs w:val="0"/>
          <w:rFonts w:ascii="Calibri" w:hAnsi="Calibri" w:cs="Calibri"/>
        </w:rPr>
        <w:pStyle w:val="heading 1"/>
      </w:pPr>
      <w:r>
        <w:rPr>
          <w:rFonts w:ascii="Calibri" w:hAnsi="Calibri" w:cs="Calibri"/>
        </w:rPr>
        <w:t xml:space="preserve">Service Lines and </w:t>
      </w:r>
      <w:r>
        <w:rPr>
          <w:rFonts w:ascii="Calibri" w:hAnsi="Calibri" w:cs="Calibri"/>
        </w:rPr>
        <w:t>Funding</w:t>
      </w:r>
    </w:p>
    <w:tbl>
      <w:tblPr>
        <w:tblStyle w:val="Table Grid"/>
        <w:tblLayout w:type="fixed"/>
        <w:tblInd w:type="dxa" w:w="-34"/>
        <w:tblW w:type="pct" w:w="5018"/>
        <w:tblLook w:firstColumn="1" w:firstRow="1" w:lastColumn="0" w:lastRow="0" w:noHBand="0" w:noVBand="1"/>
      </w:tblPr>
      <w:tblGrid>
        <w:gridCol w:w="2567"/>
        <w:gridCol w:w="7927"/>
      </w:tblGrid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Service Line(s) Impacted - New or existing</w:t>
            </w:r>
          </w:p>
        </w:tc>
        <w:tc>
          <w:tcPr>
            <w:tcW w:type="pct" w:w="3777"/>
            <w:vAlign w:val="center"/>
          </w:tcPr>
          <w:p>
            <w:pPr>
              <w:rPr>
                <w:b w:val="1"/>
                <w:bCs w:val="1"/>
                <w:rFonts w:ascii="Calibri" w:hAnsi="Calibri" w:cs="Calibri"/>
              </w:rPr>
            </w:pPr>
            <w:r>
              <w:rPr>
                <w:b w:val="1"/>
                <w:bCs w:val="1"/>
                <w:rFonts w:ascii="Calibri" w:hAnsi="Calibri" w:cs="Calibri"/>
              </w:rPr>
              <w:t>Propose to remove the following: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S-SA22-18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>Provision installation and maintenance of an Option 1 IX connection.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SS-SA22-19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>Provision installation and maintenance of an Option 2 IX connection.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SS-SA22-20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>Provision installation and maintenance of an Option 3 IX connection.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SS-SA22-75</w:t>
            </w:r>
            <w:r>
              <w:rPr>
                <w:rFonts w:ascii="Calibri" w:hAnsi="Calibri" w:cs="Calibri"/>
              </w:rPr>
              <w:t>: P</w:t>
            </w:r>
            <w:r>
              <w:rPr>
                <w:rFonts w:ascii="Calibri" w:hAnsi="Calibri" w:cs="Calibri"/>
              </w:rPr>
              <w:t>rovision, installation and maintenance of an Option 4 IX connection.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SS-SA22-21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>IX additional service - external relocation.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SS-SA22-22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>IX additional service - internal relocation.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SS-SA22-23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>IX additional service - remote configuration.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SS-SA22-24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>IX additional service - services outside of Business Day</w:t>
            </w:r>
          </w:p>
          <w:p>
            <w:pPr>
              <w:rPr>
                <w:rFonts w:ascii="Calibri" w:hAnsi="Calibri" w:cs="Calibri"/>
              </w:rPr>
            </w:pPr>
          </w:p>
          <w:p>
            <w:pPr>
              <w:rPr>
                <w:b w:val="1"/>
                <w:bCs w:val="1"/>
                <w:rFonts w:ascii="Calibri" w:hAnsi="Calibri" w:cs="Calibri"/>
              </w:rPr>
            </w:pPr>
            <w:r>
              <w:rPr>
                <w:b w:val="1"/>
                <w:bCs w:val="1"/>
                <w:rFonts w:ascii="Calibri" w:hAnsi="Calibri" w:cs="Calibri"/>
              </w:rPr>
              <w:t>Propose to a</w:t>
            </w:r>
            <w:r>
              <w:rPr>
                <w:b w:val="1"/>
                <w:bCs w:val="1"/>
                <w:rFonts w:ascii="Calibri" w:hAnsi="Calibri" w:cs="Calibri"/>
              </w:rPr>
              <w:t>men</w:t>
            </w:r>
            <w:r>
              <w:rPr>
                <w:b w:val="1"/>
                <w:bCs w:val="1"/>
                <w:rFonts w:ascii="Calibri" w:hAnsi="Calibri" w:cs="Calibri"/>
              </w:rPr>
              <w:t>d the following: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SS-SA22-25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>IX decommission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SS-SA22-76</w:t>
            </w:r>
            <w:r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>IX service via a User Agent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>Level of Impact</w:t>
            </w:r>
          </w:p>
        </w:tc>
        <w:tc>
          <w:tcPr>
            <w:tcW w:type="pct" w:w="3777"/>
            <w:vAlign w:val="center"/>
          </w:tcPr>
          <w:p>
            <w:pPr>
              <w:rPr>
                <w:color w:val="808080"/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Low</w:t>
            </w:r>
          </w:p>
        </w:tc>
      </w:tr>
      <w:tr>
        <w:trPr>
          <w:trHeight w:hRule="atLeast" w:val="403"/>
        </w:trPr>
        <w:tc>
          <w:tcPr>
            <w:shd w:val="clear" w:fill="B3EDFB"/>
            <w:tcW w:type="pct" w:w="1223"/>
            <w:vAlign w:val="center"/>
          </w:tcPr>
          <w:p>
            <w:pPr>
              <w:rPr>
                <w:rFonts w:ascii="Calibri" w:hAnsi="Calibri" w:cs="Calibri"/>
              </w:rPr>
              <w:jc w:val="right"/>
            </w:pPr>
            <w:r>
              <w:rPr>
                <w:rFonts w:ascii="Calibri" w:hAnsi="Calibri" w:cs="Calibri"/>
              </w:rPr>
              <w:t xml:space="preserve">Impacts on UK Link Manual/ Data Permissions Matrix  </w:t>
            </w:r>
          </w:p>
        </w:tc>
        <w:tc>
          <w:tcPr>
            <w:tcW w:type="pct" w:w="3777"/>
            <w:vAlign w:val="center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UK Link Manual suite of documents will need to be amended to reflect the proposal. These will be drafted and communicated out to DSC customers </w:t>
            </w:r>
            <w:r>
              <w:rPr>
                <w:rFonts w:ascii="Calibri" w:hAnsi="Calibri" w:cs="Calibri"/>
              </w:rPr>
              <w:t>within a Detailed Design Change Pack once this Solution Option has been approved at ChMC.</w:t>
            </w:r>
          </w:p>
        </w:tc>
      </w:tr>
    </w:tbl>
    <w:p>
      <w:pPr>
        <w:rPr>
          <w:rFonts w:ascii="Calibri" w:hAnsi="Calibri" w:cs="Calibri"/>
        </w:rPr>
      </w:pPr>
      <w:r>
        <w:rPr>
          <w:rFonts w:ascii="Calibri" w:hAnsi="Calibri" w:cs="Calibri"/>
          <w:highlight w:val="yellow"/>
        </w:rPr>
        <w:br w:type="page"/>
      </w:r>
    </w:p>
    <w:p>
      <w:pPr>
        <w:rPr>
          <w:rFonts w:ascii="Calibri" w:hAnsi="Calibri" w:cs="Calibri"/>
        </w:rPr>
        <w:pStyle w:val="Title"/>
      </w:pPr>
      <w:r>
        <w:rPr>
          <w:rFonts w:ascii="Calibri" w:hAnsi="Calibri" w:cs="Calibri"/>
        </w:rPr>
        <w:t>Industry Response Solution Options Review</w:t>
      </w:r>
    </w:p>
    <w:p>
      <w:pPr>
        <w:rPr>
          <w:color w:val="000000"/>
          <w:rFonts w:cs="Arial" w:eastAsia="Arial"/>
        </w:rPr>
        <w:spacing w:after="0" w:lineRule="auto" w:line="240"/>
      </w:pPr>
      <w:r>
        <w:rPr>
          <w:color w:val="000000"/>
          <w:rFonts w:cs="Arial" w:eastAsia="Arial"/>
        </w:rPr>
        <w:t>«RangeStart:EDS» </w:t>
      </w:r>
    </w:p>
    <w:p>
      <w:pPr>
        <w:rPr>
          <w:color w:val="000000"/>
          <w:rFonts w:ascii="Calibri" w:hAnsi="Calibri" w:cs="Calibri" w:eastAsia="Calibri"/>
        </w:rPr>
        <w:spacing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</w:rPr>
        <w:t>Please consider any commercial impacts to your organisation that Xoserve need to be aware of when formulating your response</w:t>
      </w:r>
      <w:r>
        <w:rPr>
          <w:b w:val="1"/>
          <w:bCs w:val="1"/>
          <w:color w:val="000000"/>
          <w:rFonts w:ascii="Calibri" w:hAnsi="Calibri" w:cs="Calibri" w:eastAsia="Calibri"/>
        </w:rPr>
        <w:t> </w:t>
      </w:r>
    </w:p>
    <w:p>
      <w:pPr>
        <w:rPr>
          <w:color w:val="3E5AA8"/>
          <w:rFonts w:ascii="Calibri" w:hAnsi="Calibri" w:cs="Calibri" w:eastAsia="Calibri"/>
          <w:sz w:val="28"/>
          <w:szCs w:val="28"/>
        </w:rPr>
        <w:spacing w:after="0" w:lineRule="auto" w:line="240"/>
      </w:pPr>
      <w:r>
        <w:rPr>
          <w:b w:val="1"/>
          <w:bCs w:val="1"/>
          <w:color w:val="3E5AA8"/>
          <w:rFonts w:ascii="Calibri" w:hAnsi="Calibri" w:cs="Calibri" w:eastAsia="Calibri"/>
          <w:sz w:val="28"/>
          <w:szCs w:val="28"/>
        </w:rPr>
        <w:t>Organisation’s preferred solution option </w:t>
      </w:r>
    </w:p>
    <w:tbl>
      <w:tblPr>
        <w:tblLayout w:type="fixed"/>
        <w:tblW w:type="auto" w:w="0"/>
        <w:tblLook w:firstColumn="1" w:firstRow="1" w:lastColumn="0" w:lastRow="0" w:noHBand="0" w:noVBand="1"/>
        <w:tblBorders>
          <w:left w:val="single" w:sz="6" w:space="0" w:color="auto"/>
          <w:top w:val="single" w:sz="6" w:space="0" w:color="auto"/>
          <w:right w:val="single" w:sz="6" w:space="0" w:color="auto"/>
          <w:bottom w:val="single" w:sz="6" w:space="0" w:color="auto"/>
        </w:tblBorders>
      </w:tblPr>
      <w:tblGrid>
        <w:gridCol w:w="2550"/>
        <w:gridCol w:w="2055"/>
        <w:gridCol w:w="5310"/>
      </w:tblGrid>
      <w:tr>
        <w:trPr>
          <w:trHeight w:hRule="atLeast" w:val="300"/>
        </w:trPr>
        <w:tc>
          <w:tcPr>
            <w:shd w:val="clear" w:fill="B3EDFB"/>
            <w:tcW w:type="dxa" w:w="255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vMerge w:val="restart"/>
          </w:tcPr>
          <w:p>
            <w:pPr>
              <w:rPr>
                <w:rFonts w:ascii="Calibri" w:hAnsi="Calibri" w:cs="Calibri" w:eastAsia="Calibri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Calibri"/>
              </w:rPr>
              <w:t>User Contact Details: </w:t>
            </w:r>
          </w:p>
        </w:tc>
        <w:tc>
          <w:tcPr>
            <w:shd w:val="clear" w:fill="B3EDFB"/>
            <w:tcW w:type="dxa" w:w="2055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Calibri" w:hAnsi="Calibri" w:cs="Calibri" w:eastAsia="Calibri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Calibri"/>
              </w:rPr>
              <w:t>Organisation: </w:t>
            </w:r>
          </w:p>
        </w:tc>
        <w:tc>
          <w:tcPr>
            <w:tcW w:type="dxa" w:w="531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cs="Arial" w:eastAsia="Arial"/>
              </w:rPr>
              <w:spacing w:after="0" w:lineRule="auto" w:line="240"/>
            </w:pPr>
            <w:r>
              <w:rPr>
                <w:color w:val="000000"/>
                <w:rFonts w:cs="Arial" w:eastAsia="Arial"/>
              </w:rPr>
              <w:t>«e1_organisation»</w:t>
            </w:r>
            <w:r>
              <w:rPr>
                <w:rFonts w:cs="Arial" w:eastAsia="Arial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2550"/>
            <w:vAlign w:val="center"/>
            <w:tcBorders>
              <w:left w:val="single" w:sz="2" w:space="0" w:color="auto"/>
              <w:right w:val="single" w:sz="2" w:space="0" w:color="auto"/>
            </w:tcBorders>
            <w:vMerge w:val="continue"/>
          </w:tcPr>
          <w:p/>
        </w:tc>
        <w:tc>
          <w:tcPr>
            <w:shd w:val="clear" w:fill="B3EDFB"/>
            <w:tcW w:type="dxa" w:w="2055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Calibri" w:hAnsi="Calibri" w:cs="Calibri" w:eastAsia="Calibri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Calibri"/>
              </w:rPr>
              <w:t>Name: </w:t>
            </w:r>
          </w:p>
        </w:tc>
        <w:tc>
          <w:tcPr>
            <w:tcW w:type="dxa" w:w="531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cs="Arial" w:eastAsia="Arial"/>
              </w:rPr>
              <w:spacing w:after="0" w:lineRule="auto" w:line="240"/>
            </w:pPr>
            <w:r>
              <w:rPr>
                <w:color w:val="000000"/>
                <w:rFonts w:cs="Arial" w:eastAsia="Arial"/>
              </w:rPr>
              <w:t>«e1_name»</w:t>
            </w:r>
            <w:r>
              <w:rPr>
                <w:rFonts w:cs="Arial" w:eastAsia="Arial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2550"/>
            <w:vAlign w:val="center"/>
            <w:tcBorders>
              <w:left w:val="single" w:sz="2" w:space="0" w:color="auto"/>
              <w:right w:val="single" w:sz="2" w:space="0" w:color="auto"/>
            </w:tcBorders>
            <w:vMerge w:val="continue"/>
          </w:tcPr>
          <w:p/>
        </w:tc>
        <w:tc>
          <w:tcPr>
            <w:shd w:val="clear" w:fill="B3EDFB"/>
            <w:tcW w:type="dxa" w:w="2055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Calibri" w:hAnsi="Calibri" w:cs="Calibri" w:eastAsia="Calibri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Calibri"/>
              </w:rPr>
              <w:t>Email: </w:t>
            </w:r>
          </w:p>
        </w:tc>
        <w:tc>
          <w:tcPr>
            <w:tcW w:type="dxa" w:w="531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cs="Arial" w:eastAsia="Arial"/>
              </w:rPr>
              <w:spacing w:after="0" w:lineRule="auto" w:line="240"/>
            </w:pPr>
            <w:r>
              <w:rPr>
                <w:color w:val="000000"/>
                <w:rFonts w:cs="Arial" w:eastAsia="Arial"/>
              </w:rPr>
              <w:t>«e1_email»</w:t>
            </w:r>
            <w:r>
              <w:rPr>
                <w:rFonts w:cs="Arial" w:eastAsia="Arial"/>
              </w:rPr>
              <w:t> </w:t>
            </w:r>
          </w:p>
        </w:tc>
      </w:tr>
      <w:tr>
        <w:trPr>
          <w:trHeight w:hRule="atLeast" w:val="300"/>
        </w:trPr>
        <w:tc>
          <w:tcPr>
            <w:tcW w:type="dxa" w:w="2550"/>
            <w:vAlign w:val="center"/>
            <w:tcBorders>
              <w:left w:val="single" w:sz="2" w:space="0" w:color="auto"/>
              <w:right w:val="single" w:sz="2" w:space="0" w:color="auto"/>
              <w:bottom w:val="single" w:sz="2" w:space="0" w:color="auto"/>
            </w:tcBorders>
            <w:vMerge w:val="continue"/>
          </w:tcPr>
          <w:p/>
        </w:tc>
        <w:tc>
          <w:tcPr>
            <w:shd w:val="clear" w:fill="B3EDFB"/>
            <w:tcW w:type="dxa" w:w="2055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Calibri" w:hAnsi="Calibri" w:cs="Calibri" w:eastAsia="Calibri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Calibri"/>
              </w:rPr>
              <w:t>Telephone: </w:t>
            </w:r>
          </w:p>
        </w:tc>
        <w:tc>
          <w:tcPr>
            <w:tcW w:type="dxa" w:w="531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cs="Arial" w:eastAsia="Arial"/>
              </w:rPr>
              <w:spacing w:after="0" w:lineRule="auto" w:line="240"/>
            </w:pPr>
            <w:r>
              <w:rPr>
                <w:color w:val="000000"/>
                <w:rFonts w:cs="Arial" w:eastAsia="Arial"/>
              </w:rPr>
              <w:t>«e1_telephone»</w:t>
            </w:r>
            <w:r>
              <w:rPr>
                <w:rFonts w:cs="Arial" w:eastAsia="Arial"/>
              </w:rPr>
              <w:t> </w:t>
            </w:r>
          </w:p>
        </w:tc>
      </w:tr>
      <w:tr>
        <w:trPr>
          <w:trHeight w:hRule="atLeast" w:val="300"/>
        </w:trPr>
        <w:tc>
          <w:tcPr>
            <w:shd w:val="clear" w:fill="B3EDFB"/>
            <w:tcW w:type="dxa" w:w="255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Calibri" w:hAnsi="Calibri" w:cs="Calibri" w:eastAsia="Calibri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Calibri"/>
              </w:rPr>
              <w:t>Organisation’s preferred solution option, including rationale taking into account costs, risks, resource etc: </w:t>
            </w:r>
          </w:p>
        </w:tc>
        <w:tc>
          <w:tcPr>
            <w:tcW w:type="dxa" w:w="7365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gridSpan w:val="2"/>
          </w:tcPr>
          <w:p>
            <w:pPr>
              <w:rPr>
                <w:rFonts w:cs="Arial" w:eastAsia="Arial"/>
              </w:rPr>
              <w:spacing w:after="0" w:lineRule="auto" w:line="240"/>
            </w:pPr>
            <w:r>
              <w:rPr>
                <w:color w:val="000000"/>
                <w:rFonts w:cs="Arial" w:eastAsia="Arial"/>
              </w:rPr>
              <w:t>«e1_preferredSolutionOption»</w:t>
            </w:r>
            <w:r>
              <w:rPr>
                <w:rFonts w:cs="Arial" w:eastAsia="Arial"/>
              </w:rPr>
              <w:t> </w:t>
            </w:r>
          </w:p>
        </w:tc>
      </w:tr>
      <w:tr>
        <w:trPr>
          <w:trHeight w:hRule="atLeast" w:val="300"/>
        </w:trPr>
        <w:tc>
          <w:tcPr>
            <w:shd w:val="clear" w:fill="B3EDFB"/>
            <w:tcW w:type="dxa" w:w="255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Calibri" w:hAnsi="Calibri" w:cs="Calibri" w:eastAsia="Calibri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Calibri"/>
              </w:rPr>
              <w:t>Commercial impacts: </w:t>
            </w:r>
          </w:p>
        </w:tc>
        <w:tc>
          <w:tcPr>
            <w:tcW w:type="dxa" w:w="7365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gridSpan w:val="2"/>
          </w:tcPr>
          <w:p>
            <w:pPr>
              <w:rPr>
                <w:rFonts w:cs="Arial" w:eastAsia="Arial"/>
              </w:rPr>
              <w:spacing w:after="0" w:lineRule="auto" w:line="240"/>
            </w:pPr>
            <w:r>
              <w:rPr>
                <w:color w:val="000000"/>
                <w:rFonts w:cs="Arial" w:eastAsia="Arial"/>
              </w:rPr>
              <w:t>«e1_commercial_impacts»</w:t>
            </w:r>
            <w:r>
              <w:rPr>
                <w:rFonts w:cs="Arial" w:eastAsia="Arial"/>
              </w:rPr>
              <w:t> </w:t>
            </w:r>
          </w:p>
        </w:tc>
      </w:tr>
      <w:tr>
        <w:trPr>
          <w:trHeight w:hRule="atLeast" w:val="300"/>
        </w:trPr>
        <w:tc>
          <w:tcPr>
            <w:shd w:val="clear" w:fill="B3EDFB"/>
            <w:tcW w:type="dxa" w:w="255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Calibri" w:hAnsi="Calibri" w:cs="Calibri" w:eastAsia="Calibri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Calibri"/>
              </w:rPr>
              <w:t>Customer decision on preferred solution option: </w:t>
            </w:r>
          </w:p>
        </w:tc>
        <w:tc>
          <w:tcPr>
            <w:tcW w:type="dxa" w:w="7365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gridSpan w:val="2"/>
          </w:tcPr>
          <w:p>
            <w:pPr>
              <w:rPr>
                <w:rFonts w:cs="Arial" w:eastAsia="Arial"/>
              </w:rPr>
              <w:spacing w:after="0" w:lineRule="auto" w:line="240"/>
            </w:pPr>
            <w:r>
              <w:rPr>
                <w:color w:val="000000"/>
                <w:rFonts w:cs="Arial" w:eastAsia="Arial"/>
              </w:rPr>
              <w:t>«e1_dsgSolutionOption»</w:t>
            </w:r>
            <w:r>
              <w:rPr>
                <w:rFonts w:cs="Arial" w:eastAsia="Arial"/>
              </w:rPr>
              <w:t> </w:t>
            </w:r>
          </w:p>
        </w:tc>
      </w:tr>
      <w:tr>
        <w:trPr>
          <w:trHeight w:hRule="atLeast" w:val="300"/>
        </w:trPr>
        <w:tc>
          <w:tcPr>
            <w:shd w:val="clear" w:fill="B3EDFB"/>
            <w:tcW w:type="dxa" w:w="255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ascii="Calibri" w:hAnsi="Calibri" w:cs="Calibri" w:eastAsia="Calibri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Calibri"/>
              </w:rPr>
              <w:t>Publication of consultation response: </w:t>
            </w:r>
          </w:p>
        </w:tc>
        <w:tc>
          <w:tcPr>
            <w:tcW w:type="dxa" w:w="7365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  <w:gridSpan w:val="2"/>
          </w:tcPr>
          <w:p>
            <w:pPr>
              <w:rPr>
                <w:rFonts w:cs="Arial" w:eastAsia="Arial"/>
              </w:rPr>
              <w:spacing w:after="0" w:lineRule="auto" w:line="240"/>
            </w:pPr>
            <w:r>
              <w:rPr>
                <w:rFonts w:cs="Arial" w:eastAsia="Arial"/>
              </w:rPr>
              <w:t>N/A </w:t>
            </w:r>
          </w:p>
        </w:tc>
      </w:tr>
    </w:tbl>
    <w:p>
      <w:pPr>
        <w:rPr>
          <w:color w:val="3E5AA8"/>
          <w:rFonts w:ascii="Calibri" w:hAnsi="Calibri" w:cs="Calibri" w:eastAsia="Calibri"/>
          <w:sz w:val="28"/>
          <w:szCs w:val="28"/>
        </w:rPr>
        <w:spacing w:after="0" w:lineRule="auto" w:line="240"/>
      </w:pPr>
      <w:r>
        <w:rPr>
          <w:b w:val="1"/>
          <w:bCs w:val="1"/>
          <w:color w:val="3E5AA8"/>
          <w:rFonts w:ascii="Calibri" w:hAnsi="Calibri" w:cs="Calibri" w:eastAsia="Calibri"/>
          <w:sz w:val="28"/>
          <w:szCs w:val="28"/>
        </w:rPr>
        <w:t>Xoserve’ s Response  </w:t>
      </w:r>
    </w:p>
    <w:tbl>
      <w:tblPr>
        <w:tblLayout w:type="fixed"/>
        <w:tblW w:type="auto" w:w="0"/>
        <w:tblLook w:firstColumn="1" w:firstRow="1" w:lastColumn="0" w:lastRow="0" w:noHBand="0" w:noVBand="1"/>
        <w:tblBorders>
          <w:left w:val="single" w:sz="6" w:space="0" w:color="auto"/>
          <w:top w:val="single" w:sz="6" w:space="0" w:color="auto"/>
          <w:right w:val="single" w:sz="6" w:space="0" w:color="auto"/>
          <w:bottom w:val="single" w:sz="6" w:space="0" w:color="auto"/>
        </w:tblBorders>
      </w:tblPr>
      <w:tblGrid>
        <w:gridCol w:w="2580"/>
        <w:gridCol w:w="7065"/>
      </w:tblGrid>
      <w:tr>
        <w:trPr>
          <w:trHeight w:hRule="atLeast" w:val="300"/>
        </w:trPr>
        <w:tc>
          <w:tcPr>
            <w:shd w:val="clear" w:fill="B3EDFB"/>
            <w:tcW w:type="dxa" w:w="2580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cs="Arial" w:eastAsia="Arial"/>
              </w:rPr>
              <w:jc w:val="right"/>
              <w:spacing w:after="0" w:lineRule="auto" w:line="240"/>
            </w:pPr>
            <w:r>
              <w:rPr>
                <w:rFonts w:ascii="Calibri" w:hAnsi="Calibri" w:cs="Calibri" w:eastAsia="Calibri"/>
              </w:rPr>
              <w:t>Xoserve Response to Organisations Comments</w:t>
            </w:r>
            <w:r>
              <w:rPr>
                <w:rFonts w:cs="Arial" w:eastAsia="Arial"/>
              </w:rPr>
              <w:t>: </w:t>
            </w:r>
          </w:p>
        </w:tc>
        <w:tc>
          <w:tcPr>
            <w:tcW w:type="dxa" w:w="7065"/>
            <w:vAlign w:val="center"/>
            <w:tcBorders>
              <w:left w:val="single" w:sz="6" w:space="0" w:color="auto"/>
              <w:top w:val="single" w:sz="6" w:space="0" w:color="auto"/>
              <w:right w:val="single" w:sz="6" w:space="0" w:color="auto"/>
              <w:bottom w:val="single" w:sz="6" w:space="0" w:color="auto"/>
            </w:tcBorders>
          </w:tcPr>
          <w:p>
            <w:pPr>
              <w:rPr>
                <w:rFonts w:cs="Arial" w:eastAsia="Arial"/>
              </w:rPr>
              <w:spacing w:after="0" w:lineRule="auto" w:line="240"/>
            </w:pPr>
            <w:r>
              <w:rPr>
                <w:color w:val="000000"/>
                <w:rFonts w:cs="Arial" w:eastAsia="Arial"/>
              </w:rPr>
              <w:t>«e2_xoserveResponse»</w:t>
            </w:r>
            <w:r>
              <w:rPr>
                <w:rFonts w:cs="Arial" w:eastAsia="Arial"/>
              </w:rPr>
              <w:t> </w:t>
            </w:r>
          </w:p>
        </w:tc>
      </w:tr>
    </w:tbl>
    <w:p>
      <w:pPr>
        <w:rPr>
          <w:color w:val="000000"/>
          <w:rFonts w:cs="Arial" w:eastAsia="Arial"/>
        </w:rPr>
        <w:spacing w:after="0" w:lineRule="auto" w:line="240"/>
      </w:pPr>
      <w:r>
        <w:rPr>
          <w:color w:val="000000"/>
          <w:rFonts w:cs="Arial" w:eastAsia="Arial"/>
        </w:rPr>
        <w:t> </w:t>
      </w:r>
    </w:p>
    <w:p>
      <w:pPr>
        <w:rPr>
          <w:color w:val="000000"/>
          <w:rFonts w:cs="Arial" w:eastAsia="Arial"/>
        </w:rPr>
        <w:spacing w:after="0" w:lineRule="auto" w:line="240"/>
      </w:pPr>
      <w:r>
        <w:rPr>
          <w:color w:val="000000"/>
          <w:rFonts w:cs="Arial" w:eastAsia="Arial"/>
        </w:rPr>
        <w:t>«RangeEnd:EDS» </w:t>
      </w:r>
    </w:p>
    <w:p>
      <w:pPr>
        <w:rPr>
          <w:color w:val="000000"/>
          <w:rFonts w:cs="Arial" w:eastAsia="Arial"/>
        </w:rPr>
      </w:pPr>
    </w:p>
    <w:p>
      <w:pPr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6838" w:orient="portrait" w:w="11906"/>
      <w:pgMar w:bottom="720" w:footer="708" w:gutter="0" w:header="708" w:left="720" w:right="720" w:top="720"/>
      <w:pgNumType w:fmt="decimal"/>
      <w:cols w:equalWidth="1" w:num="1" w:space="708" w:sep="0"/>
      <w:headerReference w:type="default" r:id="R4d7494efe09d45c4"/>
      <w:footerReference w:type="default" r:id="Re1f578943b6e44c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auto"/>
    <w:notTrueType w:val="off"/>
    <w:pitch w:val="variable"/>
    <w:sig w:usb0="E0002EFF" w:usb1="C000785B" w:usb2="00000009" w:usb3="00000000" w:csb0="400001FF" w:csb1="FFFF0000"/>
  </w:font>
  <w:font w:name="Tahoma">
    <w:panose1 w:val="020B0604030504040204"/>
    <w:charset w:val="01"/>
    <w:family w:val="auto"/>
    <w:notTrueType w:val="off"/>
    <w:pitch w:val="variable"/>
    <w:sig w:usb0="E1002EFF" w:usb1="C000605B" w:usb2="00000029" w:usb3="00000000" w:csb0="200101FF" w:csb1="2028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p>
    <w:pPr>
      <w:pStyle w:val="footer"/>
    </w:pPr>
    <w:r>
      <w:t>v1.</w:t>
    </w:r>
    <w:r>
      <w:t>2</w:t>
    </w:r>
  </w:p>
  <w:p>
    <w:pPr>
      <w:pStyle w:val="footer"/>
    </w:pPr>
  </w:p>
  <w:p>
    <w:pPr>
      <w:rPr>
        <w:rFonts w:ascii="Calibri" w:hAnsi="Calibri" w:cs="Calibri"/>
      </w:rPr>
      <w:pStyle w:val="footer"/>
    </w:pPr>
    <w:r>
      <mc:AlternateContent>
        <mc:Choice Requires="wps">
          <w:drawing>
            <wp:anchor allowOverlap="1" layoutInCell="1" relativeHeight="251658244" locked="0" simplePos="0" distL="114300" distT="0" distR="114300" distB="0" behindDoc="0">
              <wp:simplePos x="0" y="0"/>
              <wp:positionH relativeFrom="page">
                <wp:posOffset>-409575</wp:posOffset>
              </wp:positionH>
              <wp:positionV relativeFrom="paragraph">
                <wp:posOffset>376554</wp:posOffset>
              </wp:positionV>
              <wp:extent cx="7991475" cy="238125"/>
              <wp:effectExtent l="0" t="0" r="9525" b="9525"/>
              <wp:wrapNone/>
              <wp:docPr id="4" name="drawingObject4"/>
              <wp:cNvGraphicFramePr/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ext cx="7991475" cy="238125"/>
                      </a:xfrm>
                      <a:prstGeom prst="rect">
                        <a:avLst/>
                      </a:prstGeom>
                      <a:solidFill>
                        <a:srgbClr val="40D1F5"/>
                      </a:solidFill>
                    </wps:spPr>
                    <wps:bodyPr anchor="ctr" horzOverflow="overflow" vertOverflow="overflow" vert="horz" lIns="91440" tIns="45720" rIns="91440" bIns="45720"/>
                  </wps:wsp>
                </a:graphicData>
              </a:graphic>
            </wp:anchor>
          </w:drawing>
        </mc:Choice>
        <mc:Fallback/>
      </mc:AlternateContent>
    </w:r>
    <w:r>
      <w:t>*</w:t>
    </w:r>
    <w:r>
      <w:rPr>
        <w:rFonts w:ascii="Calibri" w:hAnsi="Calibri" w:cs="Calibri"/>
        <w:sz w:val="20"/>
        <w:szCs w:val="20"/>
      </w:rPr>
      <w:t>Assumed impacted parties of the proposed change, all parties are encouraged to review</w:t>
    </w:r>
  </w:p>
</w:ftr>
</file>

<file path=word/header1.xml><?xml version="1.0" encoding="utf-8"?>
<w:hdr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p>
    <w:pPr>
      <w:pStyle w:val="header"/>
    </w:pPr>
    <w:r>
      <mc:AlternateContent>
        <mc:Choice Requires="wps">
          <w:drawing>
            <wp:anchor allowOverlap="1" layoutInCell="1" relativeHeight="251658242" locked="0" simplePos="0" distL="114300" distT="0" distR="114300" distB="0" behindDoc="0">
              <wp:simplePos x="0" y="0"/>
              <wp:positionH relativeFrom="page">
                <wp:posOffset>-383540</wp:posOffset>
              </wp:positionH>
              <wp:positionV relativeFrom="paragraph">
                <wp:posOffset>-452120</wp:posOffset>
              </wp:positionV>
              <wp:extent cx="8001000" cy="304800"/>
              <wp:effectExtent l="0" t="0" r="0" b="0"/>
              <wp:wrapNone/>
              <wp:docPr id="1" name="drawingObject1"/>
              <wp:cNvGraphicFramePr/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ext cx="8001000" cy="304800"/>
                      </a:xfrm>
                      <a:prstGeom prst="rect">
                        <a:avLst/>
                      </a:prstGeom>
                      <a:solidFill>
                        <a:srgbClr val="3E5AA8"/>
                      </a:solidFill>
                    </wps:spPr>
                    <wps:bodyPr anchor="ctr" horzOverflow="overflow" vertOverflow="overflow" vert="horz" lIns="91440" tIns="45720" rIns="91440" bIns="45720"/>
                  </wps:wsp>
                </a:graphicData>
              </a:graphic>
            </wp:anchor>
          </w:drawing>
        </mc:Choice>
        <mc:Fallback/>
      </mc:AlternateContent>
    </w:r>
    <w:r>
      <mc:AlternateContent>
        <mc:Choice Requires="wps">
          <w:drawing>
            <wp:anchor allowOverlap="1" layoutInCell="1" relativeHeight="251658243" locked="0" simplePos="0" distL="114300" distT="0" distR="114300" distB="0" behindDoc="0">
              <wp:simplePos x="0" y="0"/>
              <wp:positionH relativeFrom="margin">
                <wp:align>right</wp:align>
              </wp:positionH>
              <wp:positionV relativeFrom="paragraph">
                <wp:posOffset>3175</wp:posOffset>
              </wp:positionV>
              <wp:extent cx="2066926" cy="325750"/>
              <wp:effectExtent l="0" t="0" r="0" b="0"/>
              <wp:wrapNone/>
              <wp:docPr id="2" name="drawingObject2"/>
              <wp:cNvGraphicFramePr>
                <a:graphicFrameLocks noChangeAspect="1"/>
              </wp:cNvGraphicFramePr>
              <a:graphic>
                <a:graphicData uri="http://schemas.openxmlformats.org/drawingml/2006/picture">
                  <pic:pic>
                    <pic:nvPicPr>
                      <pic:cNvPr id="3" name="Picture 3"/>
                      <pic:cNvPicPr/>
                    </pic:nvPicPr>
                    <pic:blipFill>
                      <a:blip r:embed="R23a22fe7c9234ed7"/>
                      <a:stretch/>
                    </pic:blipFill>
                    <pic:spPr>
                      <a:xfrm rot="0">
                        <a:ext cx="2066926" cy="325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/>
      </mc:AlternateContent>
    </w: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/>
        <w:lang w:val="en-GB"/>
        <w:sz w:val="22"/>
        <w:szCs w:val="22"/>
      </w:rPr>
    </w:rPrDefault>
    <w:pPrDefault>
      <w:pPr>
        <w:spacing w:after="200" w:lineRule="auto" w:line="276"/>
      </w:pPr>
    </w:pPrDefault>
  </w:docDefaults>
  <w:style w:type="paragraph" w:styleId="Normal" w:default="1">
    <w:name w:val="Normal"/>
    <w:qFormat/>
    <w:rPr>
      <w:rFonts w:ascii="Arial" w:hAnsi="Arial"/>
    </w:rPr>
  </w:style>
  <w:style w:type="paragraph" w:styleId="heading 1">
    <w:name w:val="heading 1"/>
    <w:qFormat/>
    <w:basedOn w:val="Normal"/>
    <w:pPr>
      <w:keepLines w:val="1"/>
      <w:keepNext w:val="1"/>
      <w:spacing w:before="480" w:after="0"/>
      <w:outlineLvl w:val="0"/>
    </w:pPr>
    <w:rPr>
      <w:b w:val="1"/>
      <w:bCs w:val="1"/>
      <w:color w:val="3E5AA8"/>
      <w:sz w:val="28"/>
      <w:szCs w:val="28"/>
    </w:rPr>
  </w:style>
  <w:style w:type="paragraph" w:styleId="heading 2">
    <w:name w:val="heading 2"/>
    <w:qFormat/>
    <w:basedOn w:val="Normal"/>
    <w:pPr>
      <w:keepLines w:val="1"/>
      <w:keepNext w:val="1"/>
      <w:spacing w:before="200" w:after="0"/>
      <w:outlineLvl w:val="1"/>
    </w:pPr>
    <w:rPr>
      <w:b w:val="1"/>
      <w:bCs w:val="1"/>
      <w:color w:val="6440A3"/>
      <w:sz w:val="26"/>
      <w:szCs w:val="26"/>
    </w:rPr>
  </w:style>
  <w:style w:type="paragraph" w:styleId="heading 3">
    <w:name w:val="heading 3"/>
    <w:qFormat/>
    <w:basedOn w:val="Normal"/>
    <w:pPr>
      <w:keepLines w:val="1"/>
      <w:keepNext w:val="1"/>
      <w:spacing w:before="200" w:after="0"/>
      <w:outlineLvl w:val="2"/>
    </w:pPr>
    <w:rPr>
      <w:b w:val="1"/>
      <w:bCs w:val="1"/>
      <w:color w:val="40D1F5"/>
      <w:rFonts w:ascii="Arial" w:hAnsi="Arial"/>
    </w:rPr>
  </w:style>
  <w:style w:type="paragraph" w:styleId="heading 4">
    <w:name w:val="heading 4"/>
    <w:qFormat/>
    <w:basedOn w:val="Normal"/>
    <w:pPr>
      <w:keepLines w:val="1"/>
      <w:keepNext w:val="1"/>
      <w:spacing w:before="200" w:after="0"/>
      <w:outlineLvl w:val="3"/>
    </w:pPr>
    <w:rPr>
      <w:b w:val="1"/>
      <w:bCs w:val="1"/>
      <w:color w:val="3E5AA8"/>
      <w:rFonts w:ascii="Arial" w:hAnsi="Arial"/>
      <w:i w:val="1"/>
      <w:iCs w:val="1"/>
    </w:rPr>
  </w:style>
  <w:style w:type="paragraph" w:styleId="heading 5">
    <w:name w:val="heading 5"/>
    <w:qFormat/>
    <w:basedOn w:val="Normal"/>
    <w:pPr>
      <w:keepLines w:val="1"/>
      <w:keepNext w:val="1"/>
      <w:spacing w:before="200" w:after="0"/>
      <w:outlineLvl w:val="4"/>
    </w:pPr>
    <w:rPr>
      <w:color w:val="1F2D54"/>
      <w:rFonts w:ascii="Arial" w:hAnsi="Arial"/>
    </w:rPr>
  </w:style>
  <w:style w:type="character" w:styleId="Default Paragraph Font" w:default="1">
    <w:name w:val="Default Paragraph Font"/>
    <w:qFormat/>
  </w:style>
  <w:style w:type="table" w:styleId="Normal Table" w:default="1">
    <w:name w:val="Normal Table"/>
    <w:qFormat/>
    <w:tblPr>
      <w:tblCellMar>
        <w:left w:type="dxa" w:w="108"/>
        <w:top w:type="dxa" w:w="0"/>
        <w:right w:type="dxa" w:w="108"/>
        <w:bottom w:type="dxa" w:w="0"/>
      </w:tblCellMar>
      <w:tblInd w:type="dxa" w:w="0"/>
    </w:tblPr>
  </w:style>
  <w:style w:type="paragraph" w:styleId="No Spacing">
    <w:name w:val="No Spacing"/>
    <w:qFormat/>
    <w:pPr>
      <w:spacing w:after="0" w:lineRule="auto" w:line="240"/>
    </w:pPr>
    <w:rPr>
      <w:rFonts w:ascii="Arial" w:hAnsi="Arial"/>
    </w:rPr>
  </w:style>
  <w:style w:type="character" w:styleId="Heading 1 Char">
    <w:name w:val="Heading 1 Char"/>
    <w:qFormat/>
    <w:basedOn w:val="Default Paragraph Font"/>
    <w:rPr>
      <w:b w:val="1"/>
      <w:bCs w:val="1"/>
      <w:color w:val="3E5AA8"/>
      <w:rFonts w:ascii="Arial" w:hAnsi="Arial"/>
      <w:sz w:val="28"/>
      <w:szCs w:val="28"/>
    </w:rPr>
  </w:style>
  <w:style w:type="character" w:styleId="Heading 2 Char">
    <w:name w:val="Heading 2 Char"/>
    <w:qFormat/>
    <w:basedOn w:val="Default Paragraph Font"/>
    <w:rPr>
      <w:b w:val="1"/>
      <w:bCs w:val="1"/>
      <w:color w:val="6440A3"/>
      <w:rFonts w:ascii="Arial" w:hAnsi="Arial"/>
      <w:sz w:val="26"/>
      <w:szCs w:val="26"/>
    </w:rPr>
  </w:style>
  <w:style w:type="paragraph" w:styleId="Title">
    <w:name w:val="Title"/>
    <w:qFormat/>
    <w:basedOn w:val="Normal"/>
    <w:pPr>
      <w:pBdr>
        <w:bottom w:val="single" w:sz="8" w:space="4" w:color="3E5AA8"/>
      </w:pBdr>
      <w:spacing w:after="300" w:lineRule="auto" w:line="240"/>
      <w:contextualSpacing w:val="1"/>
    </w:pPr>
    <w:rPr>
      <w:b w:val="1"/>
      <w:bCs w:val="1"/>
      <w:color w:val="1D3E61"/>
      <w:kern w:val="28"/>
      <w:sz w:val="52"/>
      <w:szCs w:val="52"/>
      <w:spacing w:val="5"/>
    </w:rPr>
  </w:style>
  <w:style w:type="character" w:styleId="Title Char">
    <w:name w:val="Title Char"/>
    <w:qFormat/>
    <w:basedOn w:val="Default Paragraph Font"/>
    <w:rPr>
      <w:b w:val="1"/>
      <w:bCs w:val="1"/>
      <w:color w:val="1D3E61"/>
      <w:rFonts w:ascii="Arial" w:hAnsi="Arial"/>
      <w:kern w:val="28"/>
      <w:sz w:val="52"/>
      <w:szCs w:val="52"/>
      <w:spacing w:val="5"/>
    </w:rPr>
  </w:style>
  <w:style w:type="paragraph" w:styleId="Subtitle">
    <w:name w:val="Subtitle"/>
    <w:qFormat/>
    <w:basedOn w:val="Normal"/>
    <w:rPr>
      <w:color w:val="56CF9E"/>
      <w:i w:val="1"/>
      <w:iCs w:val="1"/>
      <w:sz w:val="24"/>
      <w:szCs w:val="24"/>
      <w:spacing w:val="15"/>
    </w:rPr>
  </w:style>
  <w:style w:type="character" w:styleId="Subtitle Char">
    <w:name w:val="Subtitle Char"/>
    <w:qFormat/>
    <w:basedOn w:val="Default Paragraph Font"/>
    <w:rPr>
      <w:color w:val="56CF9E"/>
      <w:rFonts w:ascii="Arial" w:hAnsi="Arial"/>
      <w:i w:val="1"/>
      <w:iCs w:val="1"/>
      <w:sz w:val="24"/>
      <w:szCs w:val="24"/>
      <w:spacing w:val="15"/>
    </w:rPr>
  </w:style>
  <w:style w:type="character" w:styleId="Subtle Emphasis">
    <w:name w:val="Subtle Emphasis"/>
    <w:qFormat/>
    <w:basedOn w:val="Default Paragraph Font"/>
    <w:rPr>
      <w:color w:val="808080"/>
      <w:rFonts w:ascii="Arial" w:hAnsi="Arial"/>
      <w:i w:val="1"/>
      <w:iCs w:val="1"/>
    </w:rPr>
  </w:style>
  <w:style w:type="paragraph" w:styleId="header">
    <w:name w:val="header"/>
    <w:qFormat/>
    <w:basedOn w:val="Normal"/>
    <w:pPr>
      <w:tabs>
        <w:tab w:val="center" w:leader="none" w:pos="4513"/>
        <w:tab w:val="right" w:leader="none" w:pos="9026"/>
      </w:tabs>
      <w:spacing w:after="0" w:lineRule="auto" w:line="240"/>
    </w:pPr>
  </w:style>
  <w:style w:type="character" w:styleId="Header Char">
    <w:name w:val="Header Char"/>
    <w:qFormat/>
    <w:basedOn w:val="Default Paragraph Font"/>
    <w:rPr>
      <w:rFonts w:ascii="Arial" w:hAnsi="Arial"/>
    </w:rPr>
  </w:style>
  <w:style w:type="paragraph" w:styleId="footer">
    <w:name w:val="footer"/>
    <w:qFormat/>
    <w:basedOn w:val="Normal"/>
    <w:pPr>
      <w:tabs>
        <w:tab w:val="center" w:leader="none" w:pos="4513"/>
        <w:tab w:val="right" w:leader="none" w:pos="9026"/>
      </w:tabs>
      <w:spacing w:after="0" w:lineRule="auto" w:line="240"/>
    </w:pPr>
  </w:style>
  <w:style w:type="character" w:styleId="Footer Char">
    <w:name w:val="Footer Char"/>
    <w:qFormat/>
    <w:basedOn w:val="Default Paragraph Font"/>
    <w:rPr>
      <w:rFonts w:ascii="Arial" w:hAnsi="Arial"/>
    </w:rPr>
  </w:style>
  <w:style w:type="character" w:styleId="Heading 3 Char">
    <w:name w:val="Heading 3 Char"/>
    <w:qFormat/>
    <w:basedOn w:val="Default Paragraph Font"/>
    <w:rPr>
      <w:b w:val="1"/>
      <w:bCs w:val="1"/>
      <w:color w:val="40D1F5"/>
      <w:rFonts w:ascii="Arial" w:hAnsi="Arial"/>
    </w:rPr>
  </w:style>
  <w:style w:type="paragraph" w:styleId="Balloon Text">
    <w:name w:val="Balloon Text"/>
    <w:qFormat/>
    <w:basedOn w:val="Normal"/>
    <w:pPr>
      <w:spacing w:after="0" w:lineRule="auto" w:line="240"/>
    </w:pPr>
    <w:rPr>
      <w:rFonts w:ascii="Tahoma" w:hAnsi="Tahoma" w:cs="Tahoma"/>
      <w:sz w:val="16"/>
      <w:szCs w:val="16"/>
    </w:rPr>
  </w:style>
  <w:style w:type="character" w:styleId="Balloon Text Char">
    <w:name w:val="Balloon Text Char"/>
    <w:qFormat/>
    <w:basedOn w:val="Default Paragraph Font"/>
    <w:rPr>
      <w:rFonts w:ascii="Tahoma" w:hAnsi="Tahoma" w:cs="Tahoma"/>
      <w:sz w:val="16"/>
      <w:szCs w:val="16"/>
    </w:rPr>
  </w:style>
  <w:style w:type="character" w:styleId="Hyperlink">
    <w:name w:val="Hyperlink"/>
    <w:qFormat/>
    <w:basedOn w:val="Default Paragraph Font"/>
    <w:rPr>
      <w:color w:val="6440A3"/>
      <w:u w:val="single"/>
    </w:rPr>
  </w:style>
  <w:style w:type="character" w:styleId="Heading 4 Char">
    <w:name w:val="Heading 4 Char"/>
    <w:qFormat/>
    <w:basedOn w:val="Default Paragraph Font"/>
    <w:rPr>
      <w:b w:val="1"/>
      <w:bCs w:val="1"/>
      <w:color w:val="3E5AA8"/>
      <w:rFonts w:ascii="Arial" w:hAnsi="Arial"/>
      <w:i w:val="1"/>
      <w:iCs w:val="1"/>
    </w:rPr>
  </w:style>
  <w:style w:type="character" w:styleId="Heading 5 Char">
    <w:name w:val="Heading 5 Char"/>
    <w:qFormat/>
    <w:basedOn w:val="Default Paragraph Font"/>
    <w:rPr>
      <w:color w:val="1F2D54"/>
      <w:rFonts w:ascii="Arial" w:hAnsi="Arial"/>
    </w:rPr>
  </w:style>
  <w:style w:type="character" w:styleId="Intense Emphasis">
    <w:name w:val="Intense Emphasis"/>
    <w:qFormat/>
    <w:basedOn w:val="Default Paragraph Font"/>
    <w:rPr>
      <w:b w:val="1"/>
      <w:bCs w:val="1"/>
      <w:color w:val="3E5AA8"/>
      <w:i w:val="1"/>
      <w:iCs w:val="1"/>
    </w:rPr>
  </w:style>
  <w:style w:type="character" w:styleId="Strong">
    <w:name w:val="Strong"/>
    <w:qFormat/>
    <w:basedOn w:val="Default Paragraph Font"/>
    <w:rPr>
      <w:b w:val="1"/>
      <w:bCs w:val="1"/>
    </w:rPr>
  </w:style>
  <w:style w:type="paragraph" w:styleId="Quote">
    <w:name w:val="Quote"/>
    <w:qFormat/>
    <w:basedOn w:val="Normal"/>
    <w:rPr>
      <w:color w:val="000000"/>
      <w:i w:val="1"/>
      <w:iCs w:val="1"/>
    </w:rPr>
  </w:style>
  <w:style w:type="character" w:styleId="Quote Char">
    <w:name w:val="Quote Char"/>
    <w:qFormat/>
    <w:basedOn w:val="Default Paragraph Font"/>
    <w:rPr>
      <w:color w:val="000000"/>
      <w:rFonts w:ascii="Arial" w:hAnsi="Arial"/>
      <w:i w:val="1"/>
      <w:iCs w:val="1"/>
    </w:rPr>
  </w:style>
  <w:style w:type="table" w:styleId="Table Grid">
    <w:name w:val="Table Grid"/>
    <w:qFormat/>
    <w:basedOn w:val="Normal Table"/>
    <w:tblPr>
      <w:tblBorders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pPr>
      <w:spacing w:after="0" w:lineRule="auto" w:line="240"/>
    </w:pPr>
  </w:style>
  <w:style w:type="paragraph" w:styleId="List Paragraph">
    <w:name w:val="List Paragraph"/>
    <w:qFormat/>
    <w:basedOn w:val="Normal"/>
    <w:pPr>
      <w:ind w:left="720"/>
      <w:contextualSpacing w:val="1"/>
    </w:pPr>
    <w:rPr>
      <w:rFonts w:ascii="Arial" w:hAnsi="Arial"/>
    </w:rPr>
  </w:style>
  <w:style w:type="character" w:styleId="annotation reference">
    <w:name w:val="annotation reference"/>
    <w:qFormat/>
    <w:basedOn w:val="Default Paragraph Font"/>
    <w:rPr>
      <w:sz w:val="16"/>
      <w:szCs w:val="16"/>
    </w:rPr>
  </w:style>
  <w:style w:type="paragraph" w:styleId="annotation text">
    <w:name w:val="annotation text"/>
    <w:qFormat/>
    <w:basedOn w:val="Normal"/>
    <w:pPr>
      <w:spacing w:lineRule="auto" w:line="240"/>
    </w:pPr>
    <w:rPr>
      <w:sz w:val="20"/>
      <w:szCs w:val="20"/>
    </w:rPr>
  </w:style>
  <w:style w:type="character" w:styleId="Comment Text Char">
    <w:name w:val="Comment Text Char"/>
    <w:qFormat/>
    <w:basedOn w:val="Default Paragraph Font"/>
    <w:rPr>
      <w:rFonts w:ascii="Arial" w:hAnsi="Arial"/>
      <w:sz w:val="20"/>
      <w:szCs w:val="20"/>
    </w:rPr>
  </w:style>
  <w:style w:type="paragraph" w:styleId="annotation subject">
    <w:name w:val="annotation subject"/>
    <w:qFormat/>
    <w:basedOn w:val="annotation text"/>
    <w:rPr>
      <w:b w:val="1"/>
      <w:bCs w:val="1"/>
    </w:rPr>
  </w:style>
  <w:style w:type="character" w:styleId="Comment Subject Char">
    <w:name w:val="Comment Subject Char"/>
    <w:qFormat/>
    <w:basedOn w:val="Comment Text Char"/>
    <w:rPr>
      <w:b w:val="1"/>
      <w:bCs w:val="1"/>
      <w:rFonts w:ascii="Arial" w:hAnsi="Arial"/>
      <w:sz w:val="20"/>
      <w:szCs w:val="20"/>
    </w:rPr>
  </w:style>
  <w:style w:type="character" w:styleId="Placeholder Text">
    <w:name w:val="Placeholder Text"/>
    <w:qFormat/>
    <w:basedOn w:val="Default Paragraph Font"/>
    <w:rPr>
      <w:color w:val="808080"/>
    </w:rPr>
  </w:style>
  <w:style w:type="character" w:styleId="Unresolved Mention">
    <w:name w:val="Unresolved Mention"/>
    <w:qFormat/>
    <w:basedOn w:val="Default Paragraph Font"/>
    <w:rPr>
      <w:shd w:val="clear" w:fill="E1DFDD"/>
      <w:color w:val="605E5C"/>
    </w:rPr>
  </w:style>
  <w:style w:type="table" w:styleId="Table Grid3">
    <w:name w:val="Table Grid3"/>
    <w:qFormat/>
    <w:basedOn w:val="Normal Table"/>
    <w:tblPr>
      <w:tblBorders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pPr>
      <w:spacing w:after="0" w:lineRule="auto" w:line="240"/>
    </w:pPr>
    <w:rPr>
      <w:rFonts w:eastAsia="Times New Roman"/>
    </w:rPr>
  </w:style>
  <w:style w:type="character" w:styleId="ui-provider">
    <w:name w:val="ui-provider"/>
    <w:qFormat/>
    <w:basedOn w:val="Default Paragraph 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uklink@xoserve.com" TargetMode="External" Id="Rda07c0a616d942c9" /><Relationship Type="http://schemas.openxmlformats.org/officeDocument/2006/relationships/hyperlink" Target="https://business.bt.com/help/article/phone-line-and-services/move-from-traditional-lines-to-the-cloud/the-pstn-and-isdn-switch-off-what-it-means-for-you/" TargetMode="External" Id="R7b4f859a2f08425b" /><Relationship Type="http://schemas.openxmlformats.org/officeDocument/2006/relationships/hyperlink" Target="https://www.xoserve.com/change/customer-change-register/xrn-5924-physical-information-exchange-pix-ongoing-support-options/" TargetMode="External" Id="R13c8c33fda684682" /><Relationship Type="http://schemas.openxmlformats.org/officeDocument/2006/relationships/hyperlink" Target="https://www.xoserve.com/products-services/data-products/information-exchange-ix/" TargetMode="External" Id="Re1bd6f4d7e68437c" /><Relationship Type="http://schemas.openxmlformats.org/officeDocument/2006/relationships/header" Target="header1.xml" Id="R4d7494efe09d45c4" /><Relationship Type="http://schemas.openxmlformats.org/officeDocument/2006/relationships/footer" Target="footer1.xml" Id="Re1f578943b6e44cf" /><Relationship Type="http://schemas.openxmlformats.org/officeDocument/2006/relationships/customXml" Target="/customXml/item1.xml" Id="R82c58469fda94ca0" /><Relationship Type="http://schemas.openxmlformats.org/officeDocument/2006/relationships/customXml" Target="/customXml/item2.xml" Id="Rab2f391fd3f446fe" /><Relationship Type="http://schemas.openxmlformats.org/officeDocument/2006/relationships/customXml" Target="/customXml/item3.xml" Id="R4b2a9d37bb5946e1" /><Relationship Type="http://schemas.openxmlformats.org/officeDocument/2006/relationships/customXml" Target="/customXml/item4.xml" Id="Re1160854def44b37" /><Relationship Type="http://schemas.openxmlformats.org/officeDocument/2006/relationships/styles" Target="styles.xml" Id="R8b4b599e35184836" /><Relationship Type="http://schemas.openxmlformats.org/officeDocument/2006/relationships/fontTable" Target="fontTable.xml" Id="R5155a5fa3a5a4bd9" /><Relationship Type="http://schemas.openxmlformats.org/officeDocument/2006/relationships/settings" Target="settings.xml" Id="Rc7a8f45263e245f7" /><Relationship Type="http://schemas.openxmlformats.org/officeDocument/2006/relationships/webSettings" Target="webSettings.xml" Id="R7c5e6271999d46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vemjt2r5.png" Id="R23a22fe7c9234ed7" /></Relationships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3aec64aef0cd49ec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itemProps2.xml" Id="Ree57f81138f448c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itemProps3.xml" Id="Rf8c2ee76e0cd4ac0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itemProps4.xml" Id="Rd99e4e3d925e4e94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497C3D8F507488A9CDD43D440A310" ma:contentTypeVersion="9" ma:contentTypeDescription="Create a new document." ma:contentTypeScope="" ma:versionID="f0b7d57ef7209a77ee40aff37bb95d76">
  <xsd:schema xmlns:xsd="http://www.w3.org/2001/XMLSchema" xmlns:xs="http://www.w3.org/2001/XMLSchema" xmlns:p="http://schemas.microsoft.com/office/2006/metadata/properties" xmlns:ns2="13af0b2b-8185-4f6e-b1da-6ba5995e69fd" xmlns:ns3="103fba77-31dd-4780-83f9-c54f26c3a260" targetNamespace="http://schemas.microsoft.com/office/2006/metadata/properties" ma:root="true" ma:fieldsID="18f129e198fdc70392cb2045533f5cc8" ns2:_="" ns3:_="">
    <xsd:import namespace="13af0b2b-8185-4f6e-b1da-6ba5995e69fd"/>
    <xsd:import namespace="103fba77-31dd-4780-83f9-c54f26c3a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0b2b-8185-4f6e-b1da-6ba5995e6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fba77-31dd-4780-83f9-c54f26c3a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2FE3D5-156E-4581-814A-A72004243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f0b2b-8185-4f6e-b1da-6ba5995e69fd"/>
    <ds:schemaRef ds:uri="103fba77-31dd-4780-83f9-c54f26c3a2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A5C6E6-711B-4C97-AE99-376D9F7E45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5FD1E4-E801-45E3-8622-5705A3614C6C}">
  <ds:schemaRefs>
    <ds:schemaRef ds:uri="http://schemas.microsoft.com/office/2006/metadata/properties"/>
    <ds:schemaRef ds:uri="http://schemas.microsoft.com/office/infopath/2007/PartnerControls"/>
    <ds:schemaRef ds:uri="5844fa40-a696-4ac9-bd38-c0330d295109"/>
    <ds:schemaRef ds:uri="c78a4dae-5fc0-4ed3-ad80-da51122ab114"/>
  </ds:schemaRefs>
</ds:datastoreItem>
</file>

<file path=customXml/itemProps4.xml><?xml version="1.0" encoding="utf-8"?>
<ds:datastoreItem xmlns:ds="http://schemas.openxmlformats.org/officeDocument/2006/customXml" ds:itemID="{10FE92D9-C373-4587-A1BF-C6A521F5E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Document .Net v.5.5.4.14</Application>
  <Company>National Grid</Company>
  <Pages>8</Pages>
  <Words>1730</Words>
  <Characters>9866</Characters>
  <CharactersWithSpaces>11573</CharactersWithSpaces>
  <Lines>82</Lin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Simon Harris</cp:lastModifiedBy>
  <dcterms:created xsi:type="dcterms:W3CDTF">2023-04-26T06:22:00Z</dcterms:created>
  <dcterms:modified xsi:type="dcterms:W3CDTF">2025-05-12T12:18:00Z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0x010100302497C3D8F507488A9CDD43D440A310</vt:lpwstr>
  </property>
</Properties>
</file>