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f03cc79a32604d99" /><Relationship Type="http://schemas.openxmlformats.org/package/2006/relationships/metadata/core-properties" Target="/docProps/core.xml" Id="Rc045794c456c4e0c" /><Relationship Type="http://schemas.openxmlformats.org/officeDocument/2006/relationships/extended-properties" Target="/docProps/app.xml" Id="R7bb9fd22381d4bea" /><Relationship Type="http://schemas.openxmlformats.org/officeDocument/2006/relationships/custom-properties" Target="/docProps/custom.xml" Id="Rac422cb968ec463a"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Detailed Design Change Pack</w:t>
      </w:r>
    </w:p>
    <w:p>
      <w:pPr>
        <w:pStyle w:val="heading 1"/>
      </w:pPr>
      <w:r>
        <w:t>Communication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spacing w:lineRule="auto" w:line="276"/>
            </w:pPr>
            <w:r>
              <w:rPr>
                <w:rFonts w:cs="Arial"/>
              </w:rPr>
              <w:t>Comm Reference:</w:t>
            </w:r>
          </w:p>
        </w:tc>
        <w:tc>
          <w:tcPr>
            <w:tcW w:type="pct" w:w="3777"/>
            <w:vAlign w:val="center"/>
          </w:tcPr>
          <w:p>
            <w:pPr>
              <w:rPr>
                <w:rFonts w:cs="Arial"/>
              </w:rPr>
              <w:spacing w:lineRule="auto" w:line="276"/>
            </w:pPr>
            <w:r>
              <w:rPr>
                <w:color w:val="000000"/>
                <w:rFonts w:ascii="Tahoma" w:hAnsi="Tahoma" w:cs="Tahoma" w:eastAsia="Tahoma"/>
                <w:sz w:val="24"/>
                <w:szCs w:val="24"/>
              </w:rPr>
              <w:t>3139.6 - VO - PO</w:t>
            </w:r>
          </w:p>
        </w:tc>
      </w:tr>
      <w:tr>
        <w:trPr>
          <w:trHeight w:hRule="atLeast" w:val="840"/>
        </w:trPr>
        <w:tc>
          <w:tcPr>
            <w:shd w:val="clear" w:fill="B3EDFB"/>
            <w:tcW w:type="pct" w:w="1223"/>
            <w:vAlign w:val="center"/>
          </w:tcPr>
          <w:p>
            <w:pPr>
              <w:rPr>
                <w:rFonts w:cs="Arial"/>
              </w:rPr>
              <w:jc w:val="right"/>
              <w:spacing w:lineRule="auto" w:line="276"/>
            </w:pPr>
            <w:r>
              <w:rPr>
                <w:rFonts w:cs="Arial"/>
              </w:rPr>
              <w:t>Comm Title:</w:t>
            </w:r>
          </w:p>
        </w:tc>
        <w:tc>
          <w:tcPr>
            <w:tcW w:type="pct" w:w="3777"/>
            <w:vAlign w:val="center"/>
          </w:tcPr>
          <w:p>
            <w:pPr>
              <w:rPr>
                <w:color w:val="242424"/>
              </w:rPr>
              <w:spacing w:lineRule="auto" w:line="276"/>
            </w:pPr>
            <w:r>
              <w:rPr>
                <w:color w:val="242424"/>
              </w:rPr>
              <w:t xml:space="preserve">XRN5556D - Contact Management Service (CMS) Rebuild – v1.3 – Detailed Design </w:t>
            </w:r>
          </w:p>
        </w:tc>
      </w:tr>
      <w:tr>
        <w:trPr>
          <w:trHeight w:hRule="atLeast" w:val="403"/>
        </w:trPr>
        <w:tc>
          <w:tcPr>
            <w:shd w:val="clear" w:fill="B3EDFB"/>
            <w:tcW w:type="pct" w:w="1223"/>
            <w:vAlign w:val="center"/>
          </w:tcPr>
          <w:p>
            <w:pPr>
              <w:rPr>
                <w:rFonts w:cs="Arial"/>
              </w:rPr>
              <w:jc w:val="right"/>
              <w:spacing w:lineRule="auto" w:line="276"/>
            </w:pPr>
            <w:r>
              <w:rPr>
                <w:rFonts w:cs="Arial"/>
              </w:rPr>
              <w:t>Comm Date:</w:t>
            </w:r>
          </w:p>
        </w:tc>
        <w:tc>
          <w:tcPr>
            <w:tcW w:type="pct" w:w="3777"/>
            <w:vAlign w:val="center"/>
          </w:tcPr>
          <w:sdt>
            <w:sdtPr>
              <w:rPr>
                <w:rFonts w:cs="Arial"/>
              </w:rPr>
              <w:id w:val="738138613"/>
              <w:date w:fullDate="2023-02-13T00:00:00Z">
                <w:dateFormat w:val="dd/MM/yyyy"/>
                <w:lid w:val="en-GB"/>
                <w:storeMappedDataAs w:val="dateTime"/>
                <w:calendar w:val="gregorian"/>
              </w:date>
            </w:sdtPr>
            <w:sdtContent>
              <w:p>
                <w:pPr/>
                <w:r>
                  <w:rPr>
                    <w:rFonts w:cs="Arial"/>
                  </w:rPr>
                  <w:t>13/02/2023</w:t>
                </w:r>
              </w:p>
            </w:sdtContent>
          </w:sdt>
        </w:tc>
      </w:tr>
    </w:tbl>
    <w:p>
      <w:pPr>
        <w:pStyle w:val="heading 1"/>
      </w:pPr>
      <w:r>
        <w:t>Change Representation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spacing w:lineRule="auto" w:line="276"/>
            </w:pPr>
            <w:r>
              <w:rPr>
                <w:rFonts w:cs="Arial"/>
              </w:rPr>
              <w:t>Action Required:</w:t>
            </w:r>
          </w:p>
        </w:tc>
        <w:tc>
          <w:tcPr>
            <w:tcW w:type="pct" w:w="3777"/>
            <w:vAlign w:val="center"/>
          </w:tcPr>
          <w:p>
            <w:pPr>
              <w:rPr>
                <w:rFonts w:cs="Arial"/>
              </w:rPr>
              <w:spacing w:lineRule="auto" w:line="276"/>
            </w:pPr>
            <w:r>
              <w:rPr>
                <w:rFonts w:cs="Arial"/>
              </w:rPr>
              <w:t>For R</w:t>
            </w:r>
            <w:r>
              <w:rPr>
                <w:rFonts w:cs="Arial"/>
              </w:rPr>
              <w:t xml:space="preserve">epresentation </w:t>
            </w:r>
          </w:p>
        </w:tc>
      </w:tr>
      <w:tr>
        <w:trPr>
          <w:trHeight w:hRule="atLeast" w:val="403"/>
        </w:trPr>
        <w:tc>
          <w:tcPr>
            <w:shd w:val="clear" w:fill="B3EDFB"/>
            <w:tcW w:type="pct" w:w="1223"/>
            <w:vAlign w:val="center"/>
          </w:tcPr>
          <w:p>
            <w:pPr>
              <w:rPr>
                <w:rFonts w:cs="Arial"/>
              </w:rPr>
              <w:jc w:val="right"/>
              <w:spacing w:lineRule="auto" w:line="276"/>
            </w:pPr>
            <w:r>
              <w:rPr>
                <w:rFonts w:cs="Arial"/>
              </w:rPr>
              <w:t>Close Out Date:</w:t>
            </w:r>
          </w:p>
        </w:tc>
        <w:tc>
          <w:tcPr>
            <w:tcW w:type="pct" w:w="3777"/>
            <w:vAlign w:val="center"/>
          </w:tcPr>
          <w:sdt>
            <w:sdtPr>
              <w:rPr>
                <w:rFonts w:cs="Arial"/>
              </w:rPr>
              <w:id w:val="2100211890"/>
              <w:date w:fullDate="2023-02-27T00:00:00Z">
                <w:dateFormat w:val="dd/MM/yyyy"/>
                <w:lid w:val="en-GB"/>
                <w:storeMappedDataAs w:val="dateTime"/>
                <w:calendar w:val="gregorian"/>
              </w:date>
            </w:sdtPr>
            <w:sdtContent>
              <w:p>
                <w:pPr/>
                <w:r>
                  <w:rPr>
                    <w:rFonts w:cs="Arial"/>
                  </w:rPr>
                  <w:t>27/02/2023</w:t>
                </w:r>
              </w:p>
            </w:sdtContent>
          </w:sdt>
        </w:tc>
      </w:tr>
    </w:tbl>
    <w:p>
      <w:pPr>
        <w:pStyle w:val="heading 1"/>
        <w:tabs>
          <w:tab w:val="left" w:leader="none" w:pos="5105"/>
        </w:tabs>
      </w:pPr>
      <w:r>
        <w:t>Change Detail</w:t>
      </w:r>
      <w:r>
        <w:tab/>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shd w:val="clear" w:fill="FFFFFF"/>
            <w:tcW w:type="pct" w:w="3777"/>
            <w:vAlign w:val="center"/>
          </w:tcPr>
          <w:p>
            <w:pPr>
              <w:rPr>
                <w:rFonts w:cs="Arial"/>
              </w:rPr>
              <w:spacing w:lineRule="auto" w:line="276"/>
            </w:pPr>
            <w:hyperlink r:id="Rc4764b5f1934480f">
              <w:r>
                <w:rPr>
                  <w:rStyle w:val="Hyperlink"/>
                  <w:lang w:val="en-US"/>
                </w:rPr>
                <w:t>XRN5556D</w:t>
              </w:r>
            </w:hyperlink>
          </w:p>
        </w:tc>
      </w:tr>
      <w:tr>
        <w:trPr>
          <w:trHeight w:hRule="atLeast" w:val="403"/>
        </w:trPr>
        <w:tc>
          <w:tcPr>
            <w:shd w:val="clear" w:fill="B3EDFB"/>
            <w:tcW w:type="pct" w:w="1223"/>
            <w:vAlign w:val="center"/>
          </w:tcPr>
          <w:p>
            <w:pPr>
              <w:rPr>
                <w:rFonts w:cs="Arial"/>
              </w:rPr>
              <w:jc w:val="right"/>
            </w:pPr>
            <w:r>
              <w:rPr>
                <w:rFonts w:cs="Arial"/>
              </w:rPr>
              <w:t>Change Class:</w:t>
            </w:r>
          </w:p>
        </w:tc>
        <w:tc>
          <w:tcPr>
            <w:tcW w:type="pct" w:w="3777"/>
            <w:vAlign w:val="center"/>
          </w:tcPr>
          <w:p>
            <w:pPr>
              <w:rPr>
                <w:rFonts w:cs="Arial"/>
              </w:rPr>
              <w:spacing w:lineRule="auto" w:line="276"/>
            </w:pPr>
            <w:r>
              <w:rPr>
                <w:rFonts w:cs="Arial"/>
              </w:rPr>
              <w:t>Functional System</w:t>
            </w:r>
          </w:p>
        </w:tc>
      </w:tr>
      <w:tr>
        <w:trPr>
          <w:trHeight w:hRule="atLeast" w:val="403"/>
        </w:trPr>
        <w:tc>
          <w:tcPr>
            <w:shd w:val="clear" w:fill="B3EDFB"/>
            <w:tcW w:type="pct" w:w="1223"/>
            <w:vAlign w:val="center"/>
          </w:tcPr>
          <w:p>
            <w:pPr>
              <w:rPr>
                <w:rFonts w:cs="Arial"/>
              </w:rPr>
              <w:jc w:val="right"/>
            </w:pPr>
            <w:r>
              <w:rPr>
                <w:rFonts w:cs="Arial"/>
              </w:rPr>
              <w:t>*</w:t>
            </w:r>
            <w:r>
              <w:rPr>
                <w:rFonts w:cs="Arial"/>
              </w:rPr>
              <w:t>ChMC</w:t>
            </w:r>
            <w:r>
              <w:rPr>
                <w:rFonts w:cs="Arial"/>
              </w:rPr>
              <w:t xml:space="preserve"> Constituency Impacted:</w:t>
            </w:r>
          </w:p>
        </w:tc>
        <w:tc>
          <w:tcPr>
            <w:tcW w:type="pct" w:w="3777"/>
            <w:vAlign w:val="center"/>
          </w:tcPr>
          <w:p>
            <w:pPr>
              <w:rPr>
                <w:rFonts w:cs="Arial"/>
              </w:rPr>
              <w:spacing w:lineRule="auto" w:line="276"/>
            </w:pPr>
            <w:r>
              <w:rPr>
                <w:rFonts w:cs="Arial"/>
              </w:rPr>
              <w:t>Shipper All Classes</w:t>
            </w:r>
          </w:p>
          <w:p>
            <w:pPr>
              <w:rPr>
                <w:rFonts w:cs="Arial"/>
              </w:rPr>
              <w:spacing w:lineRule="auto" w:line="276"/>
            </w:pPr>
            <w:r>
              <w:rPr>
                <w:rFonts w:cs="Arial"/>
              </w:rPr>
              <w:t>Distribution Networks (DNs)</w:t>
            </w:r>
          </w:p>
          <w:p>
            <w:pPr>
              <w:rPr>
                <w:rFonts w:cs="Arial"/>
              </w:rPr>
              <w:spacing w:lineRule="auto" w:line="276"/>
            </w:pPr>
            <w:r>
              <w:rPr>
                <w:rFonts w:cs="Arial"/>
              </w:rPr>
              <w:t>Independent Gas Transporters (IGTs)</w:t>
            </w: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spacing w:lineRule="auto" w:line="276"/>
            </w:pPr>
            <w:r>
              <w:t>James Barlow</w:t>
            </w:r>
          </w:p>
          <w:p>
            <w:pPr>
              <w:rPr>
                <w:rFonts w:cs="Arial"/>
              </w:rPr>
              <w:spacing w:lineRule="auto" w:line="276"/>
            </w:pPr>
            <w:hyperlink r:id="R7f937154f075473a">
              <w:r>
                <w:rPr>
                  <w:rStyle w:val="Hyperlink"/>
                  <w:rFonts w:cs="Arial"/>
                </w:rPr>
                <w:t>James.Barlow@xoserve.com</w:t>
              </w:r>
            </w:hyperlink>
          </w:p>
        </w:tc>
      </w:tr>
      <w:tr>
        <w:trPr>
          <w:trHeight w:hRule="atLeast" w:val="4243"/>
        </w:trPr>
        <w:tc>
          <w:tcPr>
            <w:shd w:val="clear" w:fill="B3EDFB"/>
            <w:tcW w:type="pct" w:w="1223"/>
            <w:vAlign w:val="center"/>
          </w:tcPr>
          <w:p>
            <w:pPr>
              <w:rPr>
                <w:rFonts w:cs="Arial"/>
              </w:rPr>
              <w:jc w:val="right"/>
            </w:pPr>
            <w:r>
              <w:rPr>
                <w:rFonts w:cs="Arial"/>
              </w:rPr>
              <w:t>Background and Context:</w:t>
            </w:r>
          </w:p>
        </w:tc>
        <w:tc>
          <w:tcPr>
            <w:tcW w:type="pct" w:w="3777"/>
            <w:vAlign w:val="center"/>
          </w:tcPr>
          <w:p>
            <w:pPr>
              <w:jc w:val="both"/>
              <w:spacing w:lineRule="auto" w:line="276"/>
            </w:pPr>
            <w:r>
              <w:rPr>
                <w:b w:val="1"/>
                <w:bCs w:val="1"/>
                <w:color w:val="000000"/>
                <w:rFonts w:cs="Arial" w:eastAsia="Arial"/>
              </w:rPr>
              <w:t xml:space="preserve">What is the </w:t>
            </w:r>
            <w:r>
              <w:rPr>
                <w:b w:val="1"/>
                <w:bCs w:val="1"/>
              </w:rPr>
              <w:t xml:space="preserve">CMS Rebuild? </w:t>
            </w:r>
          </w:p>
          <w:p>
            <w:pPr>
              <w:rPr>
                <w:color w:val="000000"/>
                <w:rFonts w:cs="Arial" w:eastAsia="Arial"/>
              </w:rPr>
              <w:jc w:val="both"/>
              <w:spacing w:lineRule="auto" w:line="276"/>
            </w:pPr>
            <w:r>
              <w:rPr>
                <w:color w:val="000000"/>
                <w:rFonts w:cs="Arial" w:eastAsia="Arial"/>
              </w:rPr>
              <w:t>The current CMS system provides the ability for DSC Customers to query and update the data within their own portfolio. It is an ageing system that needs to be updated to cater for new ways of working and make it easier for customers to use. A</w:t>
            </w:r>
            <w:r>
              <w:rPr>
                <w:color w:val="000000"/>
                <w:rFonts w:cs="Arial" w:eastAsia="Arial"/>
              </w:rPr>
              <w:t>n extensive study was carried out with CMS users to understand their current pain points, requirements for a new version of CMS, and where possible business process improvements.</w:t>
            </w:r>
          </w:p>
          <w:p>
            <w:pPr>
              <w:jc w:val="both"/>
              <w:spacing w:lineRule="auto" w:line="276"/>
            </w:pPr>
          </w:p>
          <w:p>
            <w:pPr>
              <w:rPr>
                <w:b w:val="1"/>
                <w:bCs w:val="1"/>
                <w:color w:val="000000"/>
                <w:rFonts w:cs="Arial" w:eastAsia="Arial"/>
              </w:rPr>
              <w:jc w:val="both"/>
              <w:spacing w:lineRule="auto" w:line="276"/>
            </w:pPr>
            <w:r>
              <w:rPr>
                <w:b w:val="1"/>
                <w:bCs w:val="1"/>
                <w:color w:val="000000"/>
                <w:rFonts w:cs="Arial" w:eastAsia="Arial"/>
              </w:rPr>
              <w:t>CMS Rebuild Delivery</w:t>
            </w:r>
          </w:p>
          <w:p>
            <w:pPr>
              <w:rPr>
                <w:color w:val="242424"/>
                <w:rFonts w:ascii="Arial" w:hAnsi="Arial" w:cs="Arial"/>
              </w:rPr>
              <w:pStyle w:val="Normal (Web)"/>
              <w:jc w:val="both"/>
              <w:shd w:val="clear" w:fill="FFFFFF"/>
              <w:spacing w:before="0" w:beforeAutospacing="0" w:after="0" w:afterAutospacing="0" w:lineRule="auto" w:line="276"/>
            </w:pPr>
            <w:r>
              <w:rPr>
                <w:color w:val="242424"/>
                <w:rFonts w:ascii="Arial" w:hAnsi="Arial" w:cs="Arial"/>
              </w:rPr>
              <w:t>CMS is being re-built using a family of methods and practices for flexible product delivery, called Agile. One of the key principles of this approach is to “satisfy the customer through early and continuous delivery of valuable solutions”.</w:t>
            </w:r>
          </w:p>
          <w:p>
            <w:pPr>
              <w:rPr>
                <w:color w:val="242424"/>
                <w:rFonts w:ascii="Arial" w:hAnsi="Arial" w:cs="Arial"/>
              </w:rPr>
              <w:pStyle w:val="Normal (Web)"/>
              <w:jc w:val="both"/>
              <w:shd w:val="clear" w:fill="FFFFFF"/>
              <w:spacing w:before="0" w:beforeAutospacing="0" w:after="0" w:afterAutospacing="0" w:lineRule="auto" w:line="276"/>
            </w:pPr>
          </w:p>
          <w:p>
            <w:pPr>
              <w:rPr>
                <w:color w:val="242424"/>
                <w:rFonts w:ascii="Arial" w:hAnsi="Arial" w:cs="Arial"/>
                <w:lang w:val="en-US"/>
              </w:rPr>
              <w:pStyle w:val="Normal (Web)"/>
              <w:jc w:val="both"/>
              <w:shd w:val="clear" w:fill="FFFFFF"/>
              <w:spacing w:before="0" w:beforeAutospacing="0" w:after="0" w:afterAutospacing="0" w:lineRule="auto" w:line="276"/>
            </w:pPr>
            <w:r>
              <w:rPr>
                <w:color w:val="242424"/>
                <w:rFonts w:ascii="Arial" w:hAnsi="Arial" w:cs="Arial"/>
                <w:lang w:val="en-US"/>
              </w:rPr>
              <w:t>The project wil</w:t>
            </w:r>
            <w:r>
              <w:rPr>
                <w:color w:val="242424"/>
                <w:rFonts w:ascii="Arial" w:hAnsi="Arial" w:cs="Arial"/>
                <w:lang w:val="en-US"/>
              </w:rPr>
              <w:t xml:space="preserve">l develop and test small parts of the product every few weeks, which can then be demonstrated to users during the customer focus groups, allowing early and frequent feedback. These </w:t>
            </w:r>
            <w:r>
              <w:rPr>
                <w:color w:val="242424"/>
                <w:rFonts w:ascii="Arial" w:hAnsi="Arial" w:cs="Arial"/>
                <w:lang w:val="en-US"/>
              </w:rPr>
              <w:t>small deliveries will be grouped into releases and a change pack will be is</w:t>
            </w:r>
            <w:r>
              <w:rPr>
                <w:color w:val="242424"/>
                <w:rFonts w:ascii="Arial" w:hAnsi="Arial" w:cs="Arial"/>
                <w:lang w:val="en-US"/>
              </w:rPr>
              <w:t>sued per release.</w:t>
            </w:r>
          </w:p>
          <w:p>
            <w:pPr>
              <w:rPr>
                <w:color w:val="242424"/>
                <w:rFonts w:ascii="Arial" w:hAnsi="Arial" w:cs="Arial"/>
              </w:rPr>
              <w:pStyle w:val="Normal (Web)"/>
              <w:jc w:val="both"/>
              <w:shd w:val="clear" w:fill="FFFFFF"/>
              <w:spacing w:before="0" w:beforeAutospacing="0" w:after="0" w:afterAutospacing="0" w:lineRule="auto" w:line="276"/>
            </w:pPr>
          </w:p>
          <w:p>
            <w:pPr>
              <w:rPr>
                <w:color w:val="242424"/>
              </w:rPr>
              <w:jc w:val="both"/>
              <w:spacing w:lineRule="auto" w:line="276"/>
            </w:pPr>
            <w:r>
              <w:t>Customer focus groups will continue the customer engagement and will allow users to feed into the delivery of the new solution and demo the latest developments in the Alpha Trials environment</w:t>
            </w:r>
            <w:r>
              <w:rPr>
                <w:color w:val="242424"/>
              </w:rPr>
              <w:t>. If you would like to register for future ses</w:t>
            </w:r>
            <w:r>
              <w:rPr>
                <w:color w:val="242424"/>
              </w:rPr>
              <w:t xml:space="preserve">sions, please use this </w:t>
            </w:r>
            <w:hyperlink r:id="Rf00ca68ed3de4e63">
              <w:r>
                <w:rPr>
                  <w:rStyle w:val="Hyperlink"/>
                </w:rPr>
                <w:t>link</w:t>
              </w:r>
            </w:hyperlink>
            <w:r>
              <w:rPr>
                <w:color w:val="242424"/>
              </w:rPr>
              <w:t xml:space="preserve">. All minutes from these sessions will be published on the </w:t>
            </w:r>
            <w:hyperlink r:id="Re1b2d9b8c15e4612">
              <w:r>
                <w:rPr>
                  <w:rStyle w:val="Hyperlink"/>
                </w:rPr>
                <w:t>CMS Rebuild Page</w:t>
              </w:r>
            </w:hyperlink>
            <w:r>
              <w:rPr>
                <w:color w:val="242424"/>
              </w:rPr>
              <w:t>.</w:t>
            </w:r>
          </w:p>
          <w:p>
            <w:pPr>
              <w:jc w:val="both"/>
              <w:spacing w:lineRule="auto" w:line="276"/>
            </w:pPr>
          </w:p>
          <w:p>
            <w:pPr>
              <w:rPr>
                <w:b w:val="1"/>
                <w:bCs w:val="1"/>
              </w:rPr>
              <w:jc w:val="both"/>
              <w:spacing w:lineRule="auto" w:line="276"/>
            </w:pPr>
            <w:r>
              <w:rPr>
                <w:b w:val="1"/>
                <w:bCs w:val="1"/>
              </w:rPr>
              <w:t>Previous Releases</w:t>
            </w:r>
          </w:p>
          <w:p>
            <w:pPr>
              <w:rPr>
                <w:color w:val="000000"/>
                <w:rFonts w:cs="Arial" w:eastAsia="Arial"/>
              </w:rPr>
              <w:jc w:val="both"/>
              <w:spacing w:after="200" w:lineRule="auto" w:line="276"/>
            </w:pPr>
            <w:r>
              <w:rPr>
                <w:color w:val="000000"/>
                <w:rFonts w:cs="Arial" w:eastAsia="Arial"/>
              </w:rPr>
              <w:t xml:space="preserve">CMS Rebuild Version 1.0 was launched in October 2022 with the Shipper Raised Meter Number Creation (MNC) and the Supplier Theft of Gas (SUT) processes. </w:t>
            </w:r>
          </w:p>
          <w:p>
            <w:pPr>
              <w:rPr>
                <w:color w:val="000000"/>
                <w:rFonts w:cs="Arial" w:eastAsia="Arial"/>
              </w:rPr>
              <w:jc w:val="both"/>
              <w:spacing w:after="200" w:lineRule="auto" w:line="276"/>
            </w:pPr>
            <w:r>
              <w:rPr>
                <w:color w:val="000000"/>
                <w:rFonts w:cs="Arial" w:eastAsia="Arial"/>
              </w:rPr>
              <w:t>CMS Rebuild Vers</w:t>
            </w:r>
            <w:r>
              <w:rPr>
                <w:color w:val="000000"/>
                <w:rFonts w:cs="Arial" w:eastAsia="Arial"/>
              </w:rPr>
              <w:t>ion 1.1 was implemented in December 2022 and delivered the Duplicate (DUP) and Set to Extinct (STE) contact processes.</w:t>
            </w:r>
          </w:p>
          <w:p>
            <w:pPr>
              <w:rPr>
                <w:color w:val="000000"/>
                <w:rFonts w:cs="Arial" w:eastAsia="Arial"/>
              </w:rPr>
              <w:jc w:val="both"/>
              <w:spacing w:after="200" w:lineRule="auto" w:line="276"/>
            </w:pPr>
            <w:r>
              <w:rPr>
                <w:color w:val="000000"/>
                <w:rFonts w:cs="Arial" w:eastAsia="Arial"/>
              </w:rPr>
              <w:t>In CMS Rebuild Version 1.2 the new Bulk Contact Logging (BCL) file will be delivered.</w:t>
            </w:r>
          </w:p>
          <w:p>
            <w:pPr>
              <w:rPr>
                <w:color w:val="000000"/>
                <w:rFonts w:cs="Arial" w:eastAsia="Arial"/>
              </w:rPr>
              <w:jc w:val="both"/>
              <w:spacing w:after="200" w:lineRule="auto" w:line="276"/>
            </w:pPr>
            <w:r>
              <w:rPr>
                <w:color w:val="000000"/>
                <w:rFonts w:cs="Arial" w:eastAsia="Arial"/>
              </w:rPr>
              <w:t xml:space="preserve">For further details of previous versions, please visit the </w:t>
            </w:r>
            <w:hyperlink r:id="R8a6e95dfb3e84252">
              <w:r>
                <w:rPr>
                  <w:rStyle w:val="Hyperlink"/>
                </w:rPr>
                <w:t>CMS Rebuild Page</w:t>
              </w:r>
            </w:hyperlink>
            <w:r>
              <w:rPr>
                <w:color w:val="000000"/>
                <w:rFonts w:cs="Arial" w:eastAsia="Arial"/>
              </w:rPr>
              <w:t xml:space="preserve"> or </w:t>
            </w:r>
            <w:hyperlink r:id="R7e14efddcec84906">
              <w:r>
                <w:rPr>
                  <w:rStyle w:val="Hyperlink"/>
                  <w:rFonts w:cs="Arial" w:eastAsia="Arial"/>
                </w:rPr>
                <w:t>CMS Rebuild Parent Change Proposal</w:t>
              </w:r>
            </w:hyperlink>
            <w:r>
              <w:rPr>
                <w:color w:val="000000"/>
                <w:rFonts w:cs="Arial" w:eastAsia="Arial"/>
              </w:rPr>
              <w:t xml:space="preserve"> page, where the child changes are listed.</w:t>
            </w:r>
          </w:p>
          <w:p>
            <w:pPr>
              <w:rPr>
                <w:color w:val="000000"/>
                <w:rFonts w:cs="Arial" w:eastAsia="Arial"/>
              </w:rPr>
              <w:jc w:val="both"/>
              <w:spacing w:after="200" w:lineRule="auto" w:line="276"/>
            </w:pPr>
            <w:r>
              <w:rPr>
                <w:color w:val="000000"/>
                <w:rFonts w:cs="Arial" w:eastAsia="Arial"/>
              </w:rPr>
              <w:t xml:space="preserve">This change pack will define the changes to be delivered under </w:t>
            </w:r>
            <w:hyperlink r:id="R51b73e16377d42d2">
              <w:r>
                <w:rPr>
                  <w:rStyle w:val="Hyperlink"/>
                  <w:rFonts w:cs="Arial" w:eastAsia="Arial"/>
                </w:rPr>
                <w:t>XRN5556D CMS Version 1.3</w:t>
              </w:r>
            </w:hyperlink>
            <w:r>
              <w:rPr>
                <w:color w:val="000000"/>
                <w:rFonts w:cs="Arial" w:eastAsia="Arial"/>
              </w:rPr>
              <w:t>.</w:t>
            </w:r>
          </w:p>
          <w:p>
            <w:pPr>
              <w:rPr>
                <w:b w:val="1"/>
                <w:bCs w:val="1"/>
                <w:color w:val="000000"/>
                <w:rFonts w:cs="Arial" w:eastAsia="Arial"/>
              </w:rPr>
              <w:jc w:val="both"/>
              <w:spacing w:lineRule="auto" w:line="276"/>
            </w:pPr>
            <w:r>
              <w:rPr>
                <w:b w:val="1"/>
                <w:bCs w:val="1"/>
                <w:color w:val="000000"/>
                <w:rFonts w:cs="Arial" w:eastAsia="Arial"/>
              </w:rPr>
              <w:t>CMS Rebuild Version 1.3 Scope</w:t>
            </w:r>
          </w:p>
          <w:p>
            <w:pPr>
              <w:rPr>
                <w:color w:val="242424"/>
                <w:rFonts w:ascii="Arial" w:hAnsi="Arial"/>
              </w:rPr>
              <w:pStyle w:val="Normal (Web)"/>
              <w:jc w:val="both"/>
              <w:shd w:val="clear" w:fill="FFFFFF"/>
              <w:spacing w:before="0" w:beforeAutospacing="0" w:after="0" w:afterAutospacing="0" w:lineRule="auto" w:line="276"/>
            </w:pPr>
            <w:r>
              <w:rPr>
                <w:color w:val="242424"/>
                <w:rFonts w:ascii="Arial" w:hAnsi="Arial"/>
                <w:lang w:val="en-US"/>
              </w:rPr>
              <w:t>In consultation with the customer focus group, it is proposed that the following process will be delivered in version 1.3:</w:t>
            </w:r>
          </w:p>
          <w:p>
            <w:pPr>
              <w:rPr>
                <w:color w:val="242424"/>
                <w:lang w:val="en-US"/>
              </w:rPr>
              <w:numPr>
                <w:ilvl w:val="0"/>
                <w:numId w:val="1"/>
              </w:numPr>
              <w:tabs>
                <w:tab w:val="num" w:leader="none" w:pos="1440"/>
              </w:tabs>
              <w:jc w:val="both"/>
              <w:spacing w:beforeAutospacing="1" w:afterAutospacing="1" w:lineRule="auto" w:line="276"/>
            </w:pPr>
            <w:r>
              <w:rPr>
                <w:color w:val="242424"/>
                <w:lang w:val="en-US"/>
              </w:rPr>
              <w:t xml:space="preserve">Isolation (ISO) </w:t>
            </w:r>
          </w:p>
          <w:p>
            <w:pPr>
              <w:rPr>
                <w:color w:val="242424"/>
                <w:lang w:val="en-US"/>
              </w:rPr>
              <w:numPr>
                <w:ilvl w:val="0"/>
                <w:numId w:val="1"/>
              </w:numPr>
              <w:tabs>
                <w:tab w:val="num" w:leader="none" w:pos="1440"/>
              </w:tabs>
              <w:jc w:val="both"/>
              <w:spacing w:beforeAutospacing="1" w:afterAutospacing="1" w:lineRule="auto" w:line="276"/>
            </w:pPr>
            <w:r>
              <w:rPr>
                <w:color w:val="242424"/>
                <w:lang w:val="en-US"/>
              </w:rPr>
              <w:t>Dead to Live (DTL</w:t>
            </w:r>
            <w:r>
              <w:rPr>
                <w:color w:val="242424"/>
                <w:lang w:val="en-US"/>
              </w:rPr>
              <w:t>)</w:t>
            </w:r>
          </w:p>
          <w:p>
            <w:pPr>
              <w:rPr>
                <w:color w:val="000000"/>
                <w:rFonts w:cs="Arial" w:eastAsia="Arial"/>
              </w:rPr>
              <w:jc w:val="both"/>
              <w:spacing w:lineRule="auto" w:line="276"/>
            </w:pPr>
            <w:r>
              <w:rPr>
                <w:color w:val="000000"/>
                <w:rFonts w:cs="Arial" w:eastAsia="Arial"/>
              </w:rPr>
              <w:t xml:space="preserve">We are targeting to release version 1.3 on 24 </w:t>
            </w:r>
            <w:r>
              <w:rPr>
                <w:rFonts w:cs="Arial" w:eastAsia="Arial"/>
              </w:rPr>
              <w:t>April 2023.</w:t>
            </w:r>
          </w:p>
          <w:p>
            <w:pPr>
              <w:rPr>
                <w:color w:val="000000"/>
                <w:rFonts w:cs="Arial" w:eastAsia="Arial"/>
              </w:rPr>
              <w:jc w:val="both"/>
            </w:pPr>
          </w:p>
        </w:tc>
      </w:tr>
    </w:tbl>
    <w:p>
      <w:pPr>
        <w:pStyle w:val="heading 1"/>
      </w:pPr>
    </w:p>
    <w:p>
      <w:pPr>
        <w:rPr>
          <w:b w:val="1"/>
          <w:bCs w:val="1"/>
          <w:color w:val="3E5AA8"/>
          <w:sz w:val="28"/>
          <w:szCs w:val="28"/>
        </w:rPr>
      </w:pPr>
      <w:r>
        <w:br w:type="page"/>
      </w:r>
    </w:p>
    <w:p>
      <w:pPr>
        <w:rPr>
          <w:rFonts w:ascii="Segoe UI" w:hAnsi="Segoe UI" w:cs="Segoe UI"/>
          <w:sz w:val="18"/>
          <w:szCs w:val="18"/>
        </w:rPr>
        <w:pStyle w:val="heading 1"/>
      </w:pPr>
      <w:r>
        <w:t>Change Impact Assessment Dashboard (UK Link) </w:t>
      </w:r>
    </w:p>
    <w:tbl>
      <w:tblPr>
        <w:tblInd w:type="dxa" w:w="-45"/>
        <w:tblW w:type="dxa" w:w="9030"/>
        <w:tblLook w:firstColumn="1" w:firstRow="1" w:lastColumn="0" w:lastRow="0" w:noHBand="0" w:noVBand="1"/>
        <w:tblBorders>
          <w:left w:val="outset" w:sz="6" w:space="0" w:color="auto"/>
          <w:top w:val="outset" w:sz="6" w:space="0" w:color="auto"/>
          <w:right w:val="outset" w:sz="6" w:space="0" w:color="auto"/>
          <w:bottom w:val="outset" w:sz="6" w:space="0" w:color="auto"/>
        </w:tblBorders>
      </w:tblPr>
      <w:tblGrid>
        <w:gridCol w:w="2205"/>
        <w:gridCol w:w="6825"/>
      </w:tblGrid>
      <w:tr>
        <w:trPr>
          <w:trHeight w:hRule="atLeast" w:val="390"/>
        </w:trPr>
        <w:tc>
          <w:tcPr>
            <w:shd w:val="clear" w:fill="B3EDFB"/>
            <w:tcW w:type="dxa" w:w="220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sz w:val="24"/>
                <w:szCs w:val="24"/>
              </w:rPr>
              <w:jc w:val="right"/>
              <w:spacing w:after="0" w:lineRule="auto" w:line="240"/>
            </w:pPr>
            <w:r>
              <w:rPr>
                <w:rFonts w:cs="Arial"/>
              </w:rPr>
              <w:t>Functional: </w:t>
            </w:r>
          </w:p>
        </w:tc>
        <w:tc>
          <w:tcPr>
            <w:shd w:val="clear" w:fill="FFFFFF"/>
            <w:tcW w:type="dxa" w:w="682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sz w:val="24"/>
                <w:szCs w:val="24"/>
              </w:rPr>
              <w:jc w:val="both"/>
              <w:spacing w:after="0" w:lineRule="auto" w:line="240"/>
            </w:pPr>
            <w:r>
              <w:t xml:space="preserve">The existing Isolation (ISO) and Dead to Live (DTL) process will be </w:t>
            </w:r>
            <w:r>
              <w:t>moved to the new version of Contact Management Service (CMS)</w:t>
            </w:r>
          </w:p>
        </w:tc>
      </w:tr>
      <w:tr>
        <w:trPr>
          <w:trHeight w:hRule="atLeast" w:val="390"/>
        </w:trPr>
        <w:tc>
          <w:tcPr>
            <w:shd w:val="clear" w:fill="B3EDFB"/>
            <w:tcW w:type="dxa" w:w="220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sz w:val="24"/>
                <w:szCs w:val="24"/>
              </w:rPr>
              <w:jc w:val="right"/>
              <w:spacing w:after="0" w:lineRule="auto" w:line="240"/>
            </w:pPr>
            <w:r>
              <w:rPr>
                <w:rFonts w:cs="Arial"/>
              </w:rPr>
              <w:t>Non-Functional: </w:t>
            </w:r>
          </w:p>
        </w:tc>
        <w:tc>
          <w:tcPr>
            <w:shd w:val="clear" w:fill="FFFFFF"/>
            <w:tcW w:type="dxa" w:w="6825"/>
            <w:vAlign w:val="center"/>
            <w:tcBorders>
              <w:left w:val="single" w:sz="6" w:space="0" w:color="auto"/>
              <w:top w:val="single" w:sz="6" w:space="0" w:color="auto"/>
              <w:right w:val="single" w:sz="6" w:space="0" w:color="auto"/>
              <w:bottom w:val="single" w:sz="6" w:space="0" w:color="auto"/>
            </w:tcBorders>
          </w:tcPr>
          <w:p>
            <w:pPr>
              <w:rPr>
                <w:rFonts w:ascii="Arial" w:hAnsi="Arial" w:cs="Arial"/>
              </w:rPr>
              <w:pStyle w:val="Normal (Web)"/>
              <w:jc w:val="both"/>
              <w:shd w:val="clear" w:fill="FFFFFF"/>
              <w:spacing w:before="0" w:beforeAutospacing="0" w:after="0" w:afterAutospacing="0"/>
            </w:pPr>
            <w:r>
              <w:rPr>
                <w:rFonts w:ascii="Arial" w:hAnsi="Arial" w:cs="Arial"/>
              </w:rPr>
              <w:t>None</w:t>
            </w:r>
          </w:p>
        </w:tc>
      </w:tr>
      <w:tr>
        <w:trPr>
          <w:trHeight w:hRule="atLeast" w:val="390"/>
        </w:trPr>
        <w:tc>
          <w:tcPr>
            <w:shd w:val="clear" w:fill="B3EDFB"/>
            <w:tcW w:type="dxa" w:w="220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sz w:val="24"/>
                <w:szCs w:val="24"/>
              </w:rPr>
              <w:jc w:val="right"/>
              <w:spacing w:after="0" w:lineRule="auto" w:line="240"/>
            </w:pPr>
            <w:r>
              <w:rPr>
                <w:rFonts w:cs="Arial"/>
              </w:rPr>
              <w:t>Application: </w:t>
            </w:r>
          </w:p>
        </w:tc>
        <w:tc>
          <w:tcPr>
            <w:shd w:val="clear" w:fill="FFFFFF"/>
            <w:tcW w:type="dxa" w:w="682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sz w:val="24"/>
                <w:szCs w:val="24"/>
              </w:rPr>
              <w:spacing w:after="0" w:lineRule="auto" w:line="240"/>
            </w:pPr>
            <w:r>
              <w:rPr>
                <w:rFonts w:cs="Arial"/>
              </w:rPr>
              <w:t>New Contact Management Service (CMS)</w:t>
            </w:r>
          </w:p>
        </w:tc>
      </w:tr>
      <w:tr>
        <w:trPr>
          <w:trHeight w:hRule="atLeast" w:val="624"/>
        </w:trPr>
        <w:tc>
          <w:tcPr>
            <w:shd w:val="clear" w:fill="B3EDFB"/>
            <w:tcW w:type="dxa" w:w="220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sz w:val="24"/>
                <w:szCs w:val="24"/>
              </w:rPr>
              <w:jc w:val="right"/>
              <w:spacing w:after="0" w:lineRule="auto" w:line="240"/>
            </w:pPr>
            <w:r>
              <w:rPr>
                <w:rFonts w:cs="Arial"/>
              </w:rPr>
              <w:t>User(s): </w:t>
            </w:r>
          </w:p>
        </w:tc>
        <w:tc>
          <w:tcPr>
            <w:shd w:val="clear" w:fill="FFFFFF"/>
            <w:tcW w:type="dxa" w:w="6825"/>
            <w:vAlign w:val="center"/>
            <w:tcBorders>
              <w:left w:val="single" w:sz="6" w:space="0" w:color="auto"/>
              <w:top w:val="single" w:sz="6" w:space="0" w:color="auto"/>
              <w:right w:val="single" w:sz="6" w:space="0" w:color="auto"/>
              <w:bottom w:val="single" w:sz="6" w:space="0" w:color="auto"/>
            </w:tcBorders>
          </w:tcPr>
          <w:p>
            <w:pPr>
              <w:rPr>
                <w:rFonts w:cs="Arial"/>
              </w:rPr>
              <w:spacing w:after="0" w:lineRule="auto" w:line="240"/>
            </w:pPr>
            <w:r>
              <w:rPr>
                <w:rFonts w:cs="Arial"/>
              </w:rPr>
              <w:t>Shipper All Classes</w:t>
            </w:r>
          </w:p>
          <w:p>
            <w:pPr>
              <w:rPr>
                <w:rFonts w:cs="Arial"/>
              </w:rPr>
              <w:spacing w:after="0" w:lineRule="auto" w:line="240"/>
            </w:pPr>
            <w:r>
              <w:rPr>
                <w:rFonts w:cs="Arial"/>
              </w:rPr>
              <w:t>Distribution Networks (DNs)</w:t>
            </w:r>
          </w:p>
          <w:p>
            <w:pPr>
              <w:rPr>
                <w:rFonts w:ascii="Times New Roman" w:hAnsi="Times New Roman"/>
                <w:sz w:val="24"/>
                <w:szCs w:val="24"/>
              </w:rPr>
              <w:spacing w:after="0" w:lineRule="auto" w:line="240"/>
            </w:pPr>
            <w:r>
              <w:rPr>
                <w:rFonts w:cs="Arial"/>
              </w:rPr>
              <w:t>Independent Gas Transporters (IGTs)</w:t>
            </w:r>
          </w:p>
        </w:tc>
      </w:tr>
      <w:tr>
        <w:trPr>
          <w:trHeight w:hRule="atLeast" w:val="390"/>
        </w:trPr>
        <w:tc>
          <w:tcPr>
            <w:shd w:val="clear" w:fill="B3EDFB"/>
            <w:tcW w:type="dxa" w:w="220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sz w:val="24"/>
                <w:szCs w:val="24"/>
              </w:rPr>
              <w:jc w:val="right"/>
              <w:spacing w:after="0" w:lineRule="auto" w:line="240"/>
            </w:pPr>
            <w:r>
              <w:rPr>
                <w:rFonts w:cs="Arial"/>
              </w:rPr>
              <w:t>Documentation: </w:t>
            </w:r>
          </w:p>
        </w:tc>
        <w:tc>
          <w:tcPr>
            <w:shd w:val="clear" w:fill="FFFFFF"/>
            <w:tcW w:type="dxa" w:w="6825"/>
            <w:vAlign w:val="center"/>
            <w:tcBorders>
              <w:left w:val="single" w:sz="6" w:space="0" w:color="auto"/>
              <w:top w:val="single" w:sz="6" w:space="0" w:color="auto"/>
              <w:right w:val="single" w:sz="6" w:space="0" w:color="auto"/>
              <w:bottom w:val="single" w:sz="6" w:space="0" w:color="auto"/>
            </w:tcBorders>
          </w:tcPr>
          <w:p>
            <w:pPr>
              <w:rPr>
                <w:rFonts w:cs="Arial"/>
              </w:rPr>
              <w:spacing w:after="0" w:lineRule="auto" w:line="240"/>
            </w:pPr>
            <w:r>
              <w:rPr>
                <w:rFonts w:cs="Arial"/>
              </w:rPr>
              <w:t>None</w:t>
            </w:r>
          </w:p>
        </w:tc>
      </w:tr>
      <w:tr>
        <w:trPr>
          <w:trHeight w:hRule="atLeast" w:val="390"/>
        </w:trPr>
        <w:tc>
          <w:tcPr>
            <w:shd w:val="clear" w:fill="B3EDFB"/>
            <w:tcW w:type="dxa" w:w="220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sz w:val="24"/>
                <w:szCs w:val="24"/>
              </w:rPr>
              <w:jc w:val="right"/>
              <w:spacing w:after="0" w:lineRule="auto" w:line="240"/>
            </w:pPr>
            <w:r>
              <w:rPr>
                <w:rFonts w:cs="Arial"/>
              </w:rPr>
              <w:t>Other: </w:t>
            </w:r>
          </w:p>
        </w:tc>
        <w:tc>
          <w:tcPr>
            <w:shd w:val="clear" w:fill="FFFFFF"/>
            <w:tcW w:type="dxa" w:w="6825"/>
            <w:vAlign w:val="center"/>
            <w:tcBorders>
              <w:left w:val="single" w:sz="6" w:space="0" w:color="auto"/>
              <w:top w:val="single" w:sz="6" w:space="0" w:color="auto"/>
              <w:right w:val="single" w:sz="6" w:space="0" w:color="auto"/>
              <w:bottom w:val="single" w:sz="6" w:space="0" w:color="auto"/>
            </w:tcBorders>
          </w:tcPr>
          <w:p>
            <w:pPr>
              <w:rPr>
                <w:rFonts w:cs="Arial"/>
              </w:rPr>
              <w:spacing w:after="0" w:lineRule="auto" w:line="240"/>
            </w:pPr>
            <w:r>
              <w:rPr>
                <w:rFonts w:cs="Arial"/>
              </w:rPr>
              <w:t>None </w:t>
            </w:r>
          </w:p>
        </w:tc>
      </w:tr>
    </w:tbl>
    <w:p>
      <w:pPr/>
    </w:p>
    <w:tbl>
      <w:tblPr>
        <w:tblCellMar>
          <w:left w:type="dxa" w:w="0"/>
          <w:top w:type="dxa" w:w="0"/>
          <w:right w:type="dxa" w:w="0"/>
          <w:bottom w:type="dxa" w:w="0"/>
        </w:tblCellMar>
        <w:tblInd w:type="dxa" w:w="-45"/>
        <w:tblW w:type="dxa" w:w="9045"/>
        <w:tblLook w:firstColumn="1" w:firstRow="1" w:lastColumn="0" w:lastRow="0" w:noHBand="0" w:noVBand="1"/>
        <w:tblBorders>
          <w:left w:val="outset" w:sz="6" w:space="0" w:color="auto"/>
          <w:top w:val="outset" w:sz="6" w:space="0" w:color="auto"/>
          <w:right w:val="outset" w:sz="6" w:space="0" w:color="auto"/>
          <w:bottom w:val="outset" w:sz="6" w:space="0" w:color="auto"/>
        </w:tblBorders>
      </w:tblPr>
      <w:tblGrid>
        <w:gridCol w:w="960"/>
        <w:gridCol w:w="1920"/>
        <w:gridCol w:w="1800"/>
        <w:gridCol w:w="2205"/>
        <w:gridCol w:w="2160"/>
      </w:tblGrid>
      <w:tr>
        <w:trPr>
          <w:trHeight w:hRule="atLeast" w:val="390"/>
        </w:trPr>
        <w:tc>
          <w:tcPr>
            <w:shd w:val="clear" w:fill="B2ECFB"/>
            <w:tcW w:type="dxa" w:w="9045"/>
            <w:vAlign w:val="center"/>
            <w:tcBorders>
              <w:left w:val="single" w:sz="6" w:space="0" w:color="auto"/>
              <w:top w:val="single" w:sz="6" w:space="0" w:color="auto"/>
              <w:right w:val="single" w:sz="6" w:space="0" w:color="auto"/>
              <w:bottom w:val="single" w:sz="6" w:space="0" w:color="auto"/>
            </w:tcBorders>
            <w:gridSpan w:val="5"/>
          </w:tcPr>
          <w:p>
            <w:pPr>
              <w:rPr>
                <w:rFonts w:ascii="Segoe UI" w:hAnsi="Segoe UI" w:cs="Segoe UI"/>
                <w:sz w:val="18"/>
                <w:szCs w:val="18"/>
              </w:rPr>
              <w:jc w:val="center"/>
              <w:spacing w:after="0" w:lineRule="auto" w:line="240"/>
            </w:pPr>
            <w:r>
              <w:br w:type="page"/>
            </w:r>
            <w:r>
              <w:rPr>
                <w:rFonts w:cs="Arial"/>
              </w:rPr>
              <w:t>Files </w:t>
            </w:r>
          </w:p>
        </w:tc>
      </w:tr>
      <w:tr>
        <w:trPr>
          <w:trHeight w:hRule="atLeast" w:val="390"/>
        </w:trPr>
        <w:tc>
          <w:tcPr>
            <w:shd w:val="clear" w:fill="B2ECFB"/>
            <w:tcW w:type="dxa" w:w="960"/>
            <w:vAlign w:val="center"/>
            <w:tcBorders>
              <w:left w:val="single" w:sz="6" w:space="0" w:color="auto"/>
              <w:top w:val="single" w:sz="6" w:space="0" w:color="auto"/>
              <w:right w:val="single" w:sz="6" w:space="0" w:color="auto"/>
              <w:bottom w:val="single" w:sz="6" w:space="0" w:color="auto"/>
            </w:tcBorders>
          </w:tcPr>
          <w:p>
            <w:pPr>
              <w:rPr>
                <w:rFonts w:ascii="Segoe UI" w:hAnsi="Segoe UI" w:cs="Segoe UI"/>
                <w:sz w:val="18"/>
                <w:szCs w:val="18"/>
              </w:rPr>
              <w:jc w:val="center"/>
              <w:spacing w:after="0" w:lineRule="auto" w:line="240"/>
            </w:pPr>
            <w:r>
              <w:rPr>
                <w:rFonts w:cs="Arial"/>
              </w:rPr>
              <w:t>File </w:t>
            </w:r>
          </w:p>
        </w:tc>
        <w:tc>
          <w:tcPr>
            <w:shd w:val="clear" w:fill="B2ECFB"/>
            <w:tcW w:type="dxa" w:w="1920"/>
            <w:vAlign w:val="center"/>
            <w:tcBorders>
              <w:left w:val="single" w:sz="6" w:space="0" w:color="auto"/>
              <w:top w:val="single" w:sz="6" w:space="0" w:color="auto"/>
              <w:right w:val="single" w:sz="6" w:space="0" w:color="auto"/>
              <w:bottom w:val="single" w:sz="6" w:space="0" w:color="auto"/>
            </w:tcBorders>
          </w:tcPr>
          <w:p>
            <w:pPr>
              <w:rPr>
                <w:rFonts w:ascii="Segoe UI" w:hAnsi="Segoe UI" w:cs="Segoe UI"/>
                <w:sz w:val="18"/>
                <w:szCs w:val="18"/>
              </w:rPr>
              <w:jc w:val="center"/>
              <w:spacing w:after="0" w:lineRule="auto" w:line="240"/>
            </w:pPr>
            <w:r>
              <w:rPr>
                <w:rFonts w:cs="Arial"/>
              </w:rPr>
              <w:t>Parent Record </w:t>
            </w:r>
          </w:p>
        </w:tc>
        <w:tc>
          <w:tcPr>
            <w:shd w:val="clear" w:fill="B2ECFB"/>
            <w:tcW w:type="dxa" w:w="1800"/>
            <w:vAlign w:val="center"/>
            <w:tcBorders>
              <w:left w:val="single" w:sz="6" w:space="0" w:color="auto"/>
              <w:top w:val="single" w:sz="6" w:space="0" w:color="auto"/>
              <w:right w:val="single" w:sz="6" w:space="0" w:color="auto"/>
              <w:bottom w:val="single" w:sz="6" w:space="0" w:color="auto"/>
            </w:tcBorders>
          </w:tcPr>
          <w:p>
            <w:pPr>
              <w:rPr>
                <w:rFonts w:ascii="Segoe UI" w:hAnsi="Segoe UI" w:cs="Segoe UI"/>
                <w:sz w:val="18"/>
                <w:szCs w:val="18"/>
              </w:rPr>
              <w:jc w:val="center"/>
              <w:spacing w:after="0" w:lineRule="auto" w:line="240"/>
            </w:pPr>
            <w:r>
              <w:rPr>
                <w:rFonts w:cs="Arial"/>
              </w:rPr>
              <w:t>Record </w:t>
            </w:r>
          </w:p>
        </w:tc>
        <w:tc>
          <w:tcPr>
            <w:shd w:val="clear" w:fill="B2ECFB"/>
            <w:tcW w:type="dxa" w:w="2205"/>
            <w:vAlign w:val="center"/>
            <w:tcBorders>
              <w:left w:val="single" w:sz="6" w:space="0" w:color="auto"/>
              <w:top w:val="single" w:sz="6" w:space="0" w:color="auto"/>
              <w:right w:val="single" w:sz="6" w:space="0" w:color="auto"/>
              <w:bottom w:val="single" w:sz="6" w:space="0" w:color="auto"/>
            </w:tcBorders>
          </w:tcPr>
          <w:p>
            <w:pPr>
              <w:rPr>
                <w:rFonts w:ascii="Segoe UI" w:hAnsi="Segoe UI" w:cs="Segoe UI"/>
                <w:sz w:val="18"/>
                <w:szCs w:val="18"/>
              </w:rPr>
              <w:jc w:val="center"/>
              <w:spacing w:after="0" w:lineRule="auto" w:line="240"/>
            </w:pPr>
            <w:r>
              <w:rPr>
                <w:rFonts w:cs="Arial"/>
              </w:rPr>
              <w:t>Data Attribute </w:t>
            </w:r>
          </w:p>
        </w:tc>
        <w:tc>
          <w:tcPr>
            <w:shd w:val="clear" w:fill="B2ECFB"/>
            <w:tcW w:type="dxa" w:w="2160"/>
            <w:vAlign w:val="center"/>
            <w:tcBorders>
              <w:left w:val="single" w:sz="6" w:space="0" w:color="auto"/>
              <w:top w:val="single" w:sz="6" w:space="0" w:color="auto"/>
              <w:right w:val="single" w:sz="6" w:space="0" w:color="auto"/>
              <w:bottom w:val="single" w:sz="6" w:space="0" w:color="auto"/>
            </w:tcBorders>
          </w:tcPr>
          <w:p>
            <w:pPr>
              <w:rPr>
                <w:rFonts w:ascii="Segoe UI" w:hAnsi="Segoe UI" w:cs="Segoe UI"/>
                <w:sz w:val="18"/>
                <w:szCs w:val="18"/>
              </w:rPr>
              <w:jc w:val="center"/>
              <w:spacing w:after="0" w:lineRule="auto" w:line="240"/>
            </w:pPr>
            <w:r>
              <w:rPr>
                <w:rFonts w:cs="Arial"/>
              </w:rPr>
              <w:t>Hierarchy or Format </w:t>
            </w:r>
          </w:p>
          <w:p>
            <w:pPr>
              <w:rPr>
                <w:rFonts w:ascii="Segoe UI" w:hAnsi="Segoe UI" w:cs="Segoe UI"/>
                <w:sz w:val="18"/>
                <w:szCs w:val="18"/>
              </w:rPr>
              <w:jc w:val="center"/>
              <w:spacing w:after="0" w:lineRule="auto" w:line="240"/>
            </w:pPr>
            <w:r>
              <w:rPr>
                <w:rFonts w:cs="Arial"/>
              </w:rPr>
              <w:t>Agreed </w:t>
            </w:r>
          </w:p>
        </w:tc>
      </w:tr>
      <w:tr>
        <w:trPr>
          <w:trHeight w:hRule="atLeast" w:val="390"/>
        </w:trPr>
        <w:tc>
          <w:tcPr>
            <w:shd w:val="clear" w:fill="FFFFFF"/>
            <w:tcW w:type="dxa" w:w="960"/>
            <w:vAlign w:val="center"/>
            <w:tcBorders>
              <w:left w:val="single" w:sz="6" w:space="0" w:color="auto"/>
              <w:top w:val="single" w:sz="6" w:space="0" w:color="auto"/>
              <w:right w:val="single" w:sz="6" w:space="0" w:color="auto"/>
              <w:bottom w:val="single" w:sz="6" w:space="0" w:color="auto"/>
            </w:tcBorders>
          </w:tcPr>
          <w:p>
            <w:pPr>
              <w:rPr>
                <w:rFonts w:cs="Arial"/>
              </w:rPr>
              <w:jc w:val="center"/>
              <w:spacing w:after="0" w:lineRule="auto" w:line="240"/>
            </w:pPr>
            <w:r>
              <w:rPr>
                <w:rFonts w:cs="Arial"/>
              </w:rPr>
              <w:t>None</w:t>
            </w:r>
          </w:p>
        </w:tc>
        <w:tc>
          <w:tcPr>
            <w:shd w:val="clear" w:fill="FFFFFF"/>
            <w:tcW w:type="dxa" w:w="1920"/>
            <w:vAlign w:val="center"/>
            <w:tcBorders>
              <w:left w:val="single" w:sz="6" w:space="0" w:color="auto"/>
              <w:top w:val="single" w:sz="6" w:space="0" w:color="auto"/>
              <w:right w:val="single" w:sz="6" w:space="0" w:color="auto"/>
              <w:bottom w:val="single" w:sz="6" w:space="0" w:color="auto"/>
            </w:tcBorders>
          </w:tcPr>
          <w:p>
            <w:pPr>
              <w:rPr>
                <w:rFonts w:cs="Arial"/>
              </w:rPr>
              <w:jc w:val="center"/>
              <w:spacing w:after="0" w:lineRule="auto" w:line="240"/>
            </w:pPr>
            <w:r>
              <w:rPr>
                <w:rFonts w:cs="Arial"/>
              </w:rPr>
              <w:t>None</w:t>
            </w:r>
          </w:p>
        </w:tc>
        <w:tc>
          <w:tcPr>
            <w:shd w:val="clear" w:fill="FFFFFF"/>
            <w:tcW w:type="dxa" w:w="1800"/>
            <w:vAlign w:val="center"/>
            <w:tcBorders>
              <w:left w:val="single" w:sz="6" w:space="0" w:color="auto"/>
              <w:top w:val="single" w:sz="6" w:space="0" w:color="auto"/>
              <w:right w:val="single" w:sz="6" w:space="0" w:color="auto"/>
              <w:bottom w:val="single" w:sz="6" w:space="0" w:color="auto"/>
            </w:tcBorders>
          </w:tcPr>
          <w:p>
            <w:pPr>
              <w:rPr>
                <w:rFonts w:cs="Arial"/>
              </w:rPr>
              <w:jc w:val="center"/>
              <w:spacing w:after="0" w:lineRule="auto" w:line="240"/>
            </w:pPr>
            <w:r>
              <w:rPr>
                <w:rFonts w:cs="Arial"/>
              </w:rPr>
              <w:t>None</w:t>
            </w:r>
          </w:p>
        </w:tc>
        <w:tc>
          <w:tcPr>
            <w:shd w:val="clear" w:fill="FFFFFF"/>
            <w:tcW w:type="dxa" w:w="2205"/>
            <w:vAlign w:val="center"/>
            <w:tcBorders>
              <w:left w:val="single" w:sz="6" w:space="0" w:color="auto"/>
              <w:top w:val="single" w:sz="6" w:space="0" w:color="auto"/>
              <w:right w:val="single" w:sz="6" w:space="0" w:color="auto"/>
              <w:bottom w:val="single" w:sz="6" w:space="0" w:color="auto"/>
            </w:tcBorders>
          </w:tcPr>
          <w:p>
            <w:pPr>
              <w:rPr>
                <w:rFonts w:cs="Arial"/>
              </w:rPr>
              <w:jc w:val="center"/>
              <w:spacing w:after="0" w:lineRule="auto" w:line="240"/>
            </w:pPr>
            <w:r>
              <w:rPr>
                <w:rFonts w:cs="Arial"/>
              </w:rPr>
              <w:t>None</w:t>
            </w:r>
          </w:p>
        </w:tc>
        <w:tc>
          <w:tcPr>
            <w:shd w:val="clear" w:fill="FFFFFF"/>
            <w:tcW w:type="dxa" w:w="2160"/>
            <w:vAlign w:val="center"/>
            <w:tcBorders>
              <w:left w:val="single" w:sz="6" w:space="0" w:color="auto"/>
              <w:top w:val="single" w:sz="6" w:space="0" w:color="auto"/>
              <w:right w:val="single" w:sz="6" w:space="0" w:color="auto"/>
              <w:bottom w:val="single" w:sz="6" w:space="0" w:color="auto"/>
            </w:tcBorders>
          </w:tcPr>
          <w:p>
            <w:pPr>
              <w:rPr>
                <w:rFonts w:cs="Arial"/>
              </w:rPr>
              <w:jc w:val="center"/>
              <w:spacing w:after="0" w:lineRule="auto" w:line="240"/>
            </w:pPr>
            <w:r>
              <w:rPr>
                <w:rFonts w:cs="Arial"/>
              </w:rPr>
              <w:t>None</w:t>
            </w:r>
          </w:p>
        </w:tc>
      </w:tr>
    </w:tbl>
    <w:p>
      <w:pPr>
        <w:pStyle w:val="heading 1"/>
      </w:pPr>
      <w:r>
        <w:t xml:space="preserve">Change Design Description </w:t>
      </w:r>
    </w:p>
    <w:tbl>
      <w:tblPr>
        <w:tblStyle w:val="Table Grid"/>
        <w:tblLayout w:type="fixed"/>
        <w:tblW w:type="pct" w:w="5000"/>
        <w:tblLook w:firstColumn="1" w:firstRow="1" w:lastColumn="0" w:lastRow="0" w:noHBand="0" w:noVBand="1"/>
      </w:tblPr>
      <w:tblGrid>
        <w:gridCol w:w="9016"/>
      </w:tblGrid>
      <w:tr>
        <w:trPr>
          <w:trHeight w:hRule="atLeast" w:val="403"/>
        </w:trPr>
        <w:tc>
          <w:tcPr>
            <w:tcW w:type="pct" w:w="5000"/>
            <w:vAlign w:val="center"/>
          </w:tcPr>
          <w:p>
            <w:pPr>
              <w:rPr>
                <w:b w:val="1"/>
                <w:bCs w:val="1"/>
                <w:u w:val="single"/>
              </w:rPr>
              <w:jc w:val="both"/>
              <w:spacing w:lineRule="auto" w:line="276"/>
            </w:pPr>
            <w:r>
              <w:rPr>
                <w:b w:val="1"/>
                <w:bCs w:val="1"/>
                <w:u w:val="single"/>
              </w:rPr>
              <w:t xml:space="preserve">Overview of Current </w:t>
            </w:r>
            <w:r>
              <w:rPr>
                <w:b w:val="1"/>
                <w:bCs w:val="1"/>
                <w:color w:val="242424"/>
                <w:u w:val="single"/>
              </w:rPr>
              <w:t>Process</w:t>
            </w:r>
            <w:r>
              <w:rPr>
                <w:b w:val="1"/>
                <w:bCs w:val="1"/>
                <w:color w:val="242424"/>
                <w:u w:val="single"/>
              </w:rPr>
              <w:t>es in the Existing CMS</w:t>
            </w:r>
            <w:r>
              <w:rPr>
                <w:b w:val="1"/>
                <w:bCs w:val="1"/>
                <w:u w:val="single"/>
              </w:rPr>
              <w:t>:</w:t>
            </w:r>
          </w:p>
          <w:p>
            <w:pPr>
              <w:jc w:val="both"/>
              <w:shd w:val="clear" w:fill="FFFFFF"/>
              <w:spacing w:lineRule="auto" w:line="276"/>
            </w:pPr>
            <w:r>
              <w:t>Under the DTL process, a Shipper will</w:t>
            </w:r>
            <w:r>
              <w:t xml:space="preserve"> raise a contact to the Central Data Service Provider (CDSP) to request to set a Meter Point to ‘</w:t>
            </w:r>
            <w:r>
              <w:t>Live‘ in</w:t>
            </w:r>
            <w:r>
              <w:t xml:space="preserve"> </w:t>
            </w:r>
            <w:r>
              <w:t>UKLink</w:t>
            </w:r>
            <w:r>
              <w:t xml:space="preserve"> where they believe that it has been incorrectly set to ‘Dead’ when it is, in fact, live and flowing gas. There are circa 1,800 DTL contacts rai</w:t>
            </w:r>
            <w:r>
              <w:t>sed per year.</w:t>
            </w:r>
          </w:p>
          <w:p>
            <w:pPr>
              <w:jc w:val="both"/>
              <w:shd w:val="clear" w:fill="FFFFFF"/>
              <w:spacing w:lineRule="auto" w:line="276"/>
            </w:pPr>
          </w:p>
          <w:p>
            <w:pPr>
              <w:jc w:val="both"/>
              <w:spacing w:lineRule="auto" w:line="276"/>
            </w:pPr>
            <w:r>
              <w:rPr>
                <w:color w:val="000000"/>
                <w:rFonts w:cs="Arial" w:eastAsia="Arial"/>
              </w:rPr>
              <w:t xml:space="preserve">For the ISO process, a Shipper will raise a contact to the CDSP to request to set a Meter Point to ‘Dead’ in </w:t>
            </w:r>
            <w:r>
              <w:rPr>
                <w:color w:val="000000"/>
                <w:rFonts w:cs="Arial" w:eastAsia="Arial"/>
              </w:rPr>
              <w:t>UKLink</w:t>
            </w:r>
            <w:r>
              <w:rPr>
                <w:color w:val="000000"/>
                <w:rFonts w:cs="Arial" w:eastAsia="Arial"/>
              </w:rPr>
              <w:t>. This is done where they believe that the service has been removed and is no longer flowing gas, or to request the Meter Poin</w:t>
            </w:r>
            <w:r>
              <w:rPr>
                <w:color w:val="000000"/>
                <w:rFonts w:cs="Arial" w:eastAsia="Arial"/>
              </w:rPr>
              <w:t xml:space="preserve">t status is changed from ‘Capped’ or ‘Clamped’ </w:t>
            </w:r>
            <w:r>
              <w:rPr>
                <w:color w:val="000000"/>
                <w:rFonts w:cs="Arial" w:eastAsia="Arial"/>
              </w:rPr>
              <w:t>to</w:t>
            </w:r>
            <w:r>
              <w:rPr>
                <w:color w:val="000000"/>
                <w:rFonts w:cs="Arial" w:eastAsia="Arial"/>
              </w:rPr>
              <w:t xml:space="preserve"> ‘Live’. There are circa 8,000 ISO contacts raised per year.</w:t>
            </w:r>
          </w:p>
          <w:p>
            <w:pPr>
              <w:jc w:val="both"/>
              <w:shd w:val="clear" w:fill="FFFFFF"/>
              <w:spacing w:lineRule="auto" w:line="276"/>
            </w:pPr>
          </w:p>
          <w:p>
            <w:pPr>
              <w:rPr>
                <w:b w:val="1"/>
                <w:bCs w:val="1"/>
                <w:rFonts w:cs="Arial"/>
              </w:rPr>
              <w:jc w:val="both"/>
              <w:spacing w:lineRule="auto" w:line="276"/>
              <w:contextualSpacing w:val="1"/>
            </w:pPr>
            <w:r>
              <w:rPr>
                <w:b w:val="1"/>
                <w:bCs w:val="1"/>
                <w:rFonts w:cs="Arial"/>
              </w:rPr>
              <w:t>Reason for Change:</w:t>
            </w:r>
          </w:p>
          <w:p>
            <w:pPr>
              <w:jc w:val="both"/>
              <w:spacing w:lineRule="auto" w:line="276"/>
            </w:pPr>
            <w:r>
              <w:t>Resolve pain points identified within the current process, including:</w:t>
            </w:r>
          </w:p>
          <w:p>
            <w:pPr>
              <w:rPr>
                <w:rFonts w:cs="Arial"/>
              </w:rPr>
              <w:jc w:val="both"/>
              <w:spacing w:lineRule="auto" w:line="276"/>
            </w:pPr>
            <w:r>
              <w:rPr>
                <w:rFonts w:cs="Arial"/>
              </w:rPr>
              <w:t xml:space="preserve">The existing version of CMS </w:t>
            </w:r>
            <w:r>
              <w:rPr>
                <w:rFonts w:cs="Arial"/>
              </w:rPr>
              <w:t xml:space="preserve">doesn’t have functionality to: </w:t>
            </w:r>
          </w:p>
          <w:p>
            <w:pPr>
              <w:rPr>
                <w:rFonts w:cs="Arial"/>
              </w:rPr>
              <w:numPr>
                <w:ilvl w:val="0"/>
                <w:numId w:val="2"/>
              </w:numPr>
              <w:pStyle w:val="List Paragraph"/>
              <w:jc w:val="both"/>
            </w:pPr>
            <w:r>
              <w:rPr>
                <w:rFonts w:cs="Arial"/>
              </w:rPr>
              <w:t>Allow a referred to stakeholder (DN or IGT) to contact the contact originator (Shipper) to request clarification on the request or provide extra detail to assist in resolution</w:t>
            </w:r>
          </w:p>
          <w:p>
            <w:pPr>
              <w:numPr>
                <w:ilvl w:val="0"/>
                <w:numId w:val="2"/>
              </w:numPr>
              <w:spacing w:lineRule="auto" w:line="276"/>
            </w:pPr>
            <w:r>
              <w:t>Stop contacts being incorrectly raised as DTL/IS</w:t>
            </w:r>
            <w:r>
              <w:t>O contacts when the scenario is an MPRN creation is required.</w:t>
            </w:r>
          </w:p>
          <w:p>
            <w:pPr>
              <w:numPr>
                <w:ilvl w:val="0"/>
                <w:numId w:val="2"/>
              </w:numPr>
              <w:spacing w:lineRule="auto" w:line="276"/>
            </w:pPr>
            <w:r>
              <w:t xml:space="preserve">Easily provide an alternative address where there may be a discrepancy between the address held on </w:t>
            </w:r>
            <w:r>
              <w:t>UKLink</w:t>
            </w:r>
            <w:r>
              <w:t>/Gas Enquiry System (GES) and the address the Shipper believes the supply point resides</w:t>
            </w:r>
          </w:p>
          <w:p>
            <w:pPr>
              <w:ind w:left="720"/>
              <w:spacing w:lineRule="auto" w:line="276"/>
            </w:pPr>
          </w:p>
          <w:p>
            <w:pPr>
              <w:jc w:val="both"/>
              <w:spacing w:lineRule="auto" w:line="276"/>
            </w:pPr>
            <w:r>
              <w:t xml:space="preserve">In the first scenario, any communication between the referred to stakeholder and the originator </w:t>
            </w:r>
            <w:r>
              <w:t>has to</w:t>
            </w:r>
            <w:r>
              <w:t xml:space="preserve"> take place outside of the contact and Contact Management Service via phone calls and emails. This can have an impact on the time to resolve the contacts,</w:t>
            </w:r>
            <w:r>
              <w:t xml:space="preserve"> </w:t>
            </w:r>
            <w:r>
              <w:t xml:space="preserve">uncertainty of where the contact is within the process and in some cases an unsatisfactory outcome causing the requirement to log the contact again.  </w:t>
            </w:r>
          </w:p>
          <w:p>
            <w:pPr>
              <w:rPr>
                <w:rFonts w:cs="Arial"/>
              </w:rPr>
              <w:jc w:val="both"/>
              <w:spacing w:lineRule="auto" w:line="276"/>
            </w:pPr>
          </w:p>
          <w:p>
            <w:pPr>
              <w:jc w:val="both"/>
              <w:spacing w:lineRule="auto" w:line="276"/>
            </w:pPr>
            <w:r>
              <w:t>In the second scenario, contacts are often logged as a DTL however, it is only during the investigation</w:t>
            </w:r>
            <w:r>
              <w:t xml:space="preserve"> completed by the IGT or DN that it is identified as an incorrect DTL and should be a different contact type. </w:t>
            </w:r>
          </w:p>
          <w:p>
            <w:pPr>
              <w:jc w:val="both"/>
              <w:spacing w:lineRule="auto" w:line="276"/>
            </w:pPr>
          </w:p>
          <w:p>
            <w:pPr>
              <w:rPr>
                <w:b w:val="1"/>
                <w:bCs w:val="1"/>
              </w:rPr>
              <w:jc w:val="both"/>
              <w:spacing w:lineRule="auto" w:line="276"/>
              <w:contextualSpacing w:val="1"/>
            </w:pPr>
            <w:r>
              <w:rPr>
                <w:b w:val="1"/>
                <w:bCs w:val="1"/>
              </w:rPr>
              <w:t>New Processes:</w:t>
            </w:r>
          </w:p>
          <w:p>
            <w:pPr>
              <w:rPr>
                <w:i w:val="1"/>
                <w:iCs w:val="1"/>
              </w:rPr>
              <w:jc w:val="both"/>
              <w:spacing w:lineRule="auto" w:line="276"/>
              <w:contextualSpacing w:val="1"/>
            </w:pPr>
            <w:r>
              <w:t xml:space="preserve">The new business process maps for the DTL and ISO processes be found </w:t>
            </w:r>
            <w:hyperlink r:id="R604a32f7148e4a1c">
              <w:r>
                <w:rPr>
                  <w:rStyle w:val="Hyperlink"/>
                  <w:color w:val="0070C0"/>
                  <w:i w:val="1"/>
                  <w:iCs w:val="1"/>
                </w:rPr>
                <w:t>here</w:t>
              </w:r>
            </w:hyperlink>
          </w:p>
          <w:p>
            <w:pPr>
              <w:jc w:val="both"/>
              <w:spacing w:lineRule="auto" w:line="276"/>
              <w:contextualSpacing w:val="1"/>
            </w:pPr>
            <w:r>
              <w:t>Please note, both process maps are the same but maps for each have been included for clarity and futureproofing. See below for a summary of the process:</w:t>
            </w:r>
          </w:p>
          <w:p>
            <w:pPr>
              <w:rPr>
                <w:rFonts w:cs="Arial"/>
              </w:rPr>
              <w:jc w:val="both"/>
              <w:spacing w:lineRule="auto" w:line="276"/>
              <w:contextualSpacing w:val="1"/>
            </w:pPr>
          </w:p>
          <w:p>
            <w:pPr>
              <w:rPr>
                <w:shd w:val="clear" w:fill="FFFFFF"/>
              </w:rPr>
              <w:numPr>
                <w:ilvl w:val="0"/>
                <w:numId w:val="3"/>
              </w:numPr>
              <w:pStyle w:val="List Paragraph"/>
              <w:jc w:val="both"/>
              <w:spacing w:lineRule="auto" w:line="276"/>
            </w:pPr>
            <w:r>
              <w:rPr>
                <w:shd w:val="clear" w:fill="FFFFFF"/>
              </w:rPr>
              <w:t>A single DTL/ISO contact can be raised via the user inter</w:t>
            </w:r>
            <w:r>
              <w:rPr>
                <w:shd w:val="clear" w:fill="FFFFFF"/>
              </w:rPr>
              <w:t>face in the new version of CMS. When submitted there will be a pop-up window to show if the contact was logged, displaying the Contact Reference Number (CRN), otherwise it will show the rejection reason.</w:t>
            </w:r>
          </w:p>
          <w:p>
            <w:pPr>
              <w:rPr>
                <w:shd w:val="clear" w:fill="FFFFFF"/>
              </w:rPr>
              <w:numPr>
                <w:ilvl w:val="0"/>
                <w:numId w:val="3"/>
              </w:numPr>
              <w:pStyle w:val="List Paragraph"/>
              <w:jc w:val="both"/>
              <w:spacing w:lineRule="auto" w:line="276"/>
            </w:pPr>
            <w:r>
              <w:rPr>
                <w:shd w:val="clear" w:fill="FFFFFF"/>
              </w:rPr>
              <w:t xml:space="preserve">The DTL/ ISO </w:t>
            </w:r>
            <w:r>
              <w:rPr>
                <w:shd w:val="clear" w:fill="FFFFFF"/>
              </w:rPr>
              <w:t>contact can then be investigated, this may involve:</w:t>
            </w:r>
          </w:p>
          <w:p>
            <w:pPr>
              <w:rPr>
                <w:shd w:val="clear" w:fill="FFFFFF"/>
                <w:rFonts w:cs="Arial"/>
              </w:rPr>
              <w:numPr>
                <w:ilvl w:val="1"/>
                <w:numId w:val="4"/>
              </w:numPr>
              <w:pStyle w:val="List Paragraph"/>
              <w:jc w:val="both"/>
              <w:spacing w:lineRule="auto" w:line="276"/>
            </w:pPr>
            <w:r>
              <w:rPr>
                <w:shd w:val="clear" w:fill="FFFFFF"/>
                <w:rFonts w:cs="Arial"/>
              </w:rPr>
              <w:t>Data Clarifications (DCs): a question raised by a CDSP agent to either the originator or a stakeholder.</w:t>
            </w:r>
          </w:p>
          <w:p>
            <w:pPr>
              <w:rPr>
                <w:shd w:val="clear" w:fill="FFFFFF"/>
                <w:rFonts w:cs="Arial"/>
              </w:rPr>
              <w:numPr>
                <w:ilvl w:val="1"/>
                <w:numId w:val="4"/>
              </w:numPr>
              <w:pStyle w:val="List Paragraph"/>
              <w:jc w:val="both"/>
              <w:spacing w:lineRule="auto" w:line="276"/>
            </w:pPr>
            <w:r>
              <w:rPr>
                <w:shd w:val="clear" w:fill="FFFFFF"/>
                <w:rFonts w:cs="Arial"/>
              </w:rPr>
              <w:t xml:space="preserve">Originator Clarification (OC): a question raised by </w:t>
            </w:r>
            <w:r>
              <w:rPr>
                <w:shd w:val="clear" w:fill="FFFFFF"/>
                <w:rFonts w:cs="Arial"/>
              </w:rPr>
              <w:t>a stakeholder who did not raise the contact, to the person who raised the contact.  A dialogue via this may be maintained until agreement to proceed is reached.</w:t>
            </w:r>
          </w:p>
          <w:p>
            <w:pPr>
              <w:rPr>
                <w:shd w:val="clear" w:fill="FFFFFF"/>
              </w:rPr>
              <w:numPr>
                <w:ilvl w:val="1"/>
                <w:numId w:val="4"/>
              </w:numPr>
              <w:pStyle w:val="List Paragraph"/>
              <w:jc w:val="both"/>
              <w:spacing w:lineRule="auto" w:line="276"/>
            </w:pPr>
            <w:r>
              <w:rPr>
                <w:shd w:val="clear" w:fill="FFFFFF"/>
              </w:rPr>
              <w:t>Site Visit request (SV): a request from the CDSP agent to the Gas Transporter to investigate an</w:t>
            </w:r>
            <w:r>
              <w:rPr>
                <w:shd w:val="clear" w:fill="FFFFFF"/>
              </w:rPr>
              <w:t>d confirm if the Meter Point status should be set to 'Live’ for DTL contacts or set to ‘Dead’ for ISOs</w:t>
            </w:r>
          </w:p>
          <w:p>
            <w:pPr>
              <w:rPr>
                <w:shd w:val="clear" w:fill="FFFFFF"/>
              </w:rPr>
              <w:numPr>
                <w:ilvl w:val="0"/>
                <w:numId w:val="3"/>
              </w:numPr>
              <w:pStyle w:val="List Paragraph"/>
              <w:jc w:val="both"/>
              <w:spacing w:lineRule="auto" w:line="276"/>
            </w:pPr>
            <w:r>
              <w:rPr>
                <w:shd w:val="clear" w:fill="FFFFFF"/>
              </w:rPr>
              <w:t>When the contact is resolved an alert will be displayed in the notifications area, and if selected the contact history and outcome (valid or invalid) wil</w:t>
            </w:r>
            <w:r>
              <w:rPr>
                <w:shd w:val="clear" w:fill="FFFFFF"/>
              </w:rPr>
              <w:t>l be displayed.</w:t>
            </w:r>
          </w:p>
          <w:p>
            <w:pPr>
              <w:rPr>
                <w:shd w:val="clear" w:fill="FFFFFF"/>
              </w:rPr>
              <w:numPr>
                <w:ilvl w:val="1"/>
                <w:numId w:val="4"/>
              </w:numPr>
              <w:pStyle w:val="List Paragraph"/>
              <w:jc w:val="both"/>
              <w:spacing w:lineRule="auto" w:line="276"/>
            </w:pPr>
            <w:r>
              <w:rPr>
                <w:shd w:val="clear" w:fill="FFFFFF"/>
              </w:rPr>
              <w:t>In future releases the alert functionality will be expanded, for example it could include an alert when a DC has been sent to you or you have been responded to.</w:t>
            </w:r>
          </w:p>
          <w:p>
            <w:pPr>
              <w:rPr>
                <w:shd w:val="clear" w:fill="FFFFFF"/>
              </w:rPr>
              <w:numPr>
                <w:ilvl w:val="0"/>
                <w:numId w:val="3"/>
              </w:numPr>
              <w:pStyle w:val="List Paragraph"/>
              <w:jc w:val="both"/>
              <w:spacing w:lineRule="auto" w:line="276"/>
            </w:pPr>
            <w:r>
              <w:rPr>
                <w:color w:val="000000"/>
                <w:rFonts w:cs="Arial" w:eastAsia="Arial"/>
              </w:rPr>
              <w:t>There will be the option to provide an alternative address, and this address de</w:t>
            </w:r>
            <w:r>
              <w:rPr>
                <w:color w:val="000000"/>
                <w:rFonts w:cs="Arial" w:eastAsia="Arial"/>
              </w:rPr>
              <w:t xml:space="preserve">tail will utilise the postal address look-up functionality that has previously been delivered as part of the Shipper raised </w:t>
            </w:r>
            <w:r>
              <w:rPr>
                <w:color w:val="000000"/>
                <w:rFonts w:cs="Arial" w:eastAsia="Arial"/>
              </w:rPr>
              <w:t>MNumber</w:t>
            </w:r>
            <w:r>
              <w:rPr>
                <w:color w:val="000000"/>
                <w:rFonts w:cs="Arial" w:eastAsia="Arial"/>
              </w:rPr>
              <w:t xml:space="preserve"> creation (MNC) logging form.</w:t>
            </w:r>
          </w:p>
          <w:p>
            <w:pPr>
              <w:rPr>
                <w:shd w:val="clear" w:fill="FFFFFF"/>
              </w:rPr>
              <w:pStyle w:val="List Paragraph"/>
              <w:jc w:val="both"/>
              <w:ind w:left="360"/>
              <w:spacing w:lineRule="auto" w:line="276"/>
            </w:pPr>
          </w:p>
          <w:p>
            <w:pPr>
              <w:rPr>
                <w:shd w:val="clear" w:fill="FFFFFF"/>
              </w:rPr>
              <w:jc w:val="both"/>
              <w:spacing w:lineRule="auto" w:line="276"/>
            </w:pPr>
            <w:r>
              <w:t xml:space="preserve">To note, these </w:t>
            </w:r>
            <w:r>
              <w:rPr>
                <w:shd w:val="clear" w:fill="FFFFFF"/>
              </w:rPr>
              <w:t>process</w:t>
            </w:r>
            <w:r>
              <w:t>es</w:t>
            </w:r>
            <w:r>
              <w:rPr>
                <w:shd w:val="clear" w:fill="FFFFFF"/>
              </w:rPr>
              <w:t xml:space="preserve"> do not require file upload/downloads. In a future CMS release the abi</w:t>
            </w:r>
            <w:r>
              <w:rPr>
                <w:shd w:val="clear" w:fill="FFFFFF"/>
              </w:rPr>
              <w:t>lity to upload a file of DTL</w:t>
            </w:r>
            <w:r>
              <w:t xml:space="preserve">/ ISO </w:t>
            </w:r>
            <w:r>
              <w:rPr>
                <w:shd w:val="clear" w:fill="FFFFFF"/>
              </w:rPr>
              <w:t>Contacts will be included.</w:t>
            </w:r>
          </w:p>
          <w:p>
            <w:pPr>
              <w:rPr>
                <w:shd w:val="clear" w:fill="FFFFFF"/>
              </w:rPr>
              <w:jc w:val="both"/>
              <w:spacing w:lineRule="auto" w:line="276"/>
            </w:pPr>
            <w:r>
              <w:rPr>
                <w:shd w:val="clear" w:fill="FFFFFF"/>
              </w:rPr>
              <w:t xml:space="preserve"> </w:t>
            </w:r>
          </w:p>
          <w:p>
            <w:pPr>
              <w:rPr>
                <w:shd w:val="clear" w:fill="FFFFFF"/>
              </w:rPr>
              <w:jc w:val="both"/>
              <w:spacing w:lineRule="auto" w:line="276"/>
            </w:pPr>
            <w:r>
              <w:rPr>
                <w:shd w:val="clear" w:fill="FFFFFF"/>
              </w:rPr>
              <w:t xml:space="preserve">A training guide will be provided in line with the release for the new processes, along with standard help and FAQs that will be published on the </w:t>
            </w:r>
            <w:hyperlink r:id="R315ebee39f8c4ffb">
              <w:r>
                <w:rPr>
                  <w:rStyle w:val="Hyperlink"/>
                </w:rPr>
                <w:t>CMS Rebuild Page</w:t>
              </w:r>
            </w:hyperlink>
            <w:r>
              <w:rPr>
                <w:shd w:val="clear" w:fill="FFFFFF"/>
              </w:rPr>
              <w:t>.</w:t>
            </w:r>
          </w:p>
          <w:p>
            <w:pPr>
              <w:rPr>
                <w:shd w:val="clear" w:fill="FFFFFF"/>
              </w:rPr>
              <w:jc w:val="both"/>
              <w:spacing w:lineRule="auto" w:line="276"/>
            </w:pPr>
          </w:p>
          <w:p>
            <w:pPr>
              <w:rPr>
                <w:shd w:val="clear" w:fill="FFFFFF"/>
                <w:rFonts w:cs="Arial"/>
              </w:rPr>
              <w:jc w:val="both"/>
              <w:spacing w:lineRule="auto" w:line="276"/>
            </w:pPr>
            <w:r>
              <w:rPr>
                <w:shd w:val="clear" w:fill="FFFFFF"/>
                <w:rFonts w:cs="Arial"/>
              </w:rPr>
              <w:t>The new version of CMS will make system/process improvements to increase transparency, reduce customer effort, increase collaboration, and remove barriers to the inv</w:t>
            </w:r>
            <w:r>
              <w:rPr>
                <w:shd w:val="clear" w:fill="FFFFFF"/>
                <w:rFonts w:cs="Arial"/>
              </w:rPr>
              <w:t>estigation and resolution of the contact with the introduction of the following functionality:</w:t>
            </w:r>
          </w:p>
          <w:p>
            <w:pPr>
              <w:rPr>
                <w:shd w:val="clear" w:fill="FFFFFF"/>
              </w:rPr>
              <w:numPr>
                <w:ilvl w:val="0"/>
                <w:numId w:val="5"/>
              </w:numPr>
              <w:pStyle w:val="List Paragraph"/>
              <w:jc w:val="both"/>
              <w:spacing w:lineRule="auto" w:line="276"/>
            </w:pPr>
            <w:r>
              <w:rPr>
                <w:shd w:val="clear" w:fill="FFFFFF"/>
                <w:b w:val="1"/>
                <w:bCs w:val="1"/>
              </w:rPr>
              <w:t>Transparency:</w:t>
            </w:r>
            <w:r>
              <w:rPr>
                <w:shd w:val="clear" w:fill="FFFFFF"/>
              </w:rPr>
              <w:t xml:space="preserve"> The full history of a contact can be seen within one screen, including Current Status, Site Visit (SV) requests/responses, Data Clarification (DC) </w:t>
            </w:r>
            <w:r>
              <w:rPr>
                <w:shd w:val="clear" w:fill="FFFFFF"/>
              </w:rPr>
              <w:t>requests/responses, Contact Originator (CO) requests/responses, and update dates and times.</w:t>
            </w:r>
          </w:p>
          <w:p>
            <w:pPr>
              <w:rPr>
                <w:shd w:val="clear" w:fill="FFFFFF"/>
                <w:rFonts w:cs="Arial"/>
              </w:rPr>
              <w:numPr>
                <w:ilvl w:val="0"/>
                <w:numId w:val="5"/>
              </w:numPr>
              <w:pStyle w:val="List Paragraph"/>
              <w:jc w:val="both"/>
              <w:spacing w:lineRule="auto" w:line="276"/>
            </w:pPr>
            <w:r>
              <w:rPr>
                <w:shd w:val="clear" w:fill="FFFFFF"/>
                <w:b w:val="1"/>
                <w:bCs w:val="1"/>
                <w:rFonts w:cs="Arial"/>
              </w:rPr>
              <w:t>Transparency:</w:t>
            </w:r>
            <w:r>
              <w:rPr>
                <w:shd w:val="clear" w:fill="FFFFFF"/>
                <w:rFonts w:cs="Arial"/>
              </w:rPr>
              <w:t xml:space="preserve"> The detail (where relevant) of the contact can be viewed by all stakeholders involved in the contact</w:t>
            </w:r>
          </w:p>
          <w:p>
            <w:pPr>
              <w:rPr>
                <w:shd w:val="clear" w:fill="FFFFFF"/>
              </w:rPr>
              <w:numPr>
                <w:ilvl w:val="0"/>
                <w:numId w:val="5"/>
              </w:numPr>
              <w:pStyle w:val="List Paragraph"/>
              <w:jc w:val="both"/>
              <w:spacing w:lineRule="auto" w:line="276"/>
            </w:pPr>
            <w:r>
              <w:rPr>
                <w:shd w:val="clear" w:fill="FFFFFF"/>
                <w:b w:val="1"/>
                <w:bCs w:val="1"/>
              </w:rPr>
              <w:t>Reduction of customer effort:</w:t>
            </w:r>
            <w:r>
              <w:rPr>
                <w:shd w:val="clear" w:fill="FFFFFF"/>
              </w:rPr>
              <w:t xml:space="preserve"> Alternative address</w:t>
            </w:r>
            <w:r>
              <w:rPr>
                <w:shd w:val="clear" w:fill="FFFFFF"/>
              </w:rPr>
              <w:t xml:space="preserve"> to that currently held on </w:t>
            </w:r>
            <w:r>
              <w:rPr>
                <w:shd w:val="clear" w:fill="FFFFFF"/>
              </w:rPr>
              <w:t>UKLink</w:t>
            </w:r>
            <w:r>
              <w:rPr>
                <w:shd w:val="clear" w:fill="FFFFFF"/>
              </w:rPr>
              <w:t xml:space="preserve"> can be provided to assist the Gas Transporter to whom the contact has been referred</w:t>
            </w:r>
          </w:p>
          <w:p>
            <w:pPr>
              <w:rPr>
                <w:shd w:val="clear" w:fill="FFFFFF"/>
              </w:rPr>
              <w:numPr>
                <w:ilvl w:val="0"/>
                <w:numId w:val="5"/>
              </w:numPr>
              <w:pStyle w:val="List Paragraph"/>
              <w:jc w:val="both"/>
              <w:spacing w:lineRule="auto" w:line="276"/>
            </w:pPr>
            <w:r>
              <w:rPr>
                <w:shd w:val="clear" w:fill="FFFFFF"/>
                <w:b w:val="1"/>
                <w:bCs w:val="1"/>
              </w:rPr>
              <w:t>Increased systemised collaboration:</w:t>
            </w:r>
            <w:r>
              <w:rPr>
                <w:shd w:val="clear" w:fill="FFFFFF"/>
              </w:rPr>
              <w:t xml:space="preserve"> Where a stakeholder receives a referral (SV), they can directly communicate with the originator via th</w:t>
            </w:r>
            <w:r>
              <w:rPr>
                <w:shd w:val="clear" w:fill="FFFFFF"/>
              </w:rPr>
              <w:t>e Originator Clarification (OC) functionality.</w:t>
            </w:r>
          </w:p>
          <w:p>
            <w:pPr>
              <w:rPr>
                <w:shd w:val="clear" w:fill="FFFFFF"/>
                <w:b w:val="1"/>
                <w:bCs w:val="1"/>
                <w:rFonts w:cs="Arial"/>
              </w:rPr>
              <w:jc w:val="both"/>
              <w:spacing w:lineRule="auto" w:line="276"/>
            </w:pPr>
          </w:p>
          <w:p>
            <w:pPr>
              <w:rPr>
                <w:shd w:val="clear" w:fill="FFFFFF"/>
                <w:b w:val="1"/>
                <w:bCs w:val="1"/>
                <w:rFonts w:cs="Arial"/>
              </w:rPr>
              <w:jc w:val="both"/>
              <w:spacing w:lineRule="auto" w:line="276"/>
            </w:pPr>
            <w:r>
              <w:rPr>
                <w:shd w:val="clear" w:fill="FFFFFF"/>
                <w:b w:val="1"/>
                <w:bCs w:val="1"/>
                <w:rFonts w:cs="Arial"/>
              </w:rPr>
              <w:t>Transition:</w:t>
            </w:r>
          </w:p>
          <w:p>
            <w:pPr>
              <w:rPr>
                <w:shd w:val="clear" w:fill="FFFFFF"/>
              </w:rPr>
              <w:jc w:val="both"/>
              <w:spacing w:lineRule="auto" w:line="276"/>
            </w:pPr>
            <w:r>
              <w:rPr>
                <w:shd w:val="clear" w:fill="FFFFFF"/>
              </w:rPr>
              <w:t xml:space="preserve">A cut-off date will be communicated when DTL/ISO </w:t>
            </w:r>
            <w:r>
              <w:rPr>
                <w:shd w:val="clear" w:fill="FFFFFF"/>
              </w:rPr>
              <w:t>Contacts should no longer be raised via the existing version of CMS, and instead raised in the new version of CMS.</w:t>
            </w:r>
          </w:p>
          <w:p>
            <w:pPr>
              <w:rPr>
                <w:shd w:val="clear" w:fill="FFFFFF"/>
              </w:rPr>
              <w:jc w:val="both"/>
              <w:spacing w:lineRule="auto" w:line="276"/>
            </w:pPr>
          </w:p>
          <w:p>
            <w:pPr>
              <w:rPr>
                <w:shd w:val="clear" w:fill="FFFFFF"/>
              </w:rPr>
              <w:jc w:val="both"/>
              <w:spacing w:lineRule="auto" w:line="276"/>
            </w:pPr>
            <w:r>
              <w:rPr>
                <w:shd w:val="clear" w:fill="FFFFFF"/>
              </w:rPr>
              <w:t>For the avoidance of doubt, there will be no data migration. Any contacts in progress before the cut-over date will continue to be progresse</w:t>
            </w:r>
            <w:r>
              <w:rPr>
                <w:shd w:val="clear" w:fill="FFFFFF"/>
              </w:rPr>
              <w:t>d to resolution in the existing version of CMS.</w:t>
            </w:r>
          </w:p>
          <w:p>
            <w:pPr>
              <w:jc w:val="both"/>
              <w:spacing w:lineRule="auto" w:line="276"/>
            </w:pPr>
          </w:p>
          <w:p>
            <w:pPr>
              <w:rPr>
                <w:shd w:val="clear" w:fill="FFFFFF"/>
                <w:b w:val="1"/>
                <w:bCs w:val="1"/>
                <w:rFonts w:cs="Arial"/>
              </w:rPr>
              <w:jc w:val="both"/>
              <w:spacing w:lineRule="auto" w:line="276"/>
            </w:pPr>
            <w:r>
              <w:rPr>
                <w:shd w:val="clear" w:fill="FFFFFF"/>
                <w:b w:val="1"/>
                <w:bCs w:val="1"/>
                <w:rFonts w:cs="Arial"/>
              </w:rPr>
              <w:t>Accessing the new Version of CMS:</w:t>
            </w:r>
          </w:p>
          <w:p>
            <w:pPr>
              <w:rPr>
                <w:shd w:val="clear" w:fill="FFFFFF"/>
                <w:rFonts w:cs="Arial"/>
              </w:rPr>
              <w:jc w:val="both"/>
              <w:spacing w:lineRule="auto" w:line="276"/>
            </w:pPr>
            <w:r>
              <w:rPr>
                <w:shd w:val="clear" w:fill="FFFFFF"/>
                <w:rFonts w:cs="Arial"/>
              </w:rPr>
              <w:t xml:space="preserve">Please refer to the training guides published here </w:t>
            </w:r>
            <w:hyperlink r:id="Rfaa0547e3c0344e5">
              <w:r>
                <w:rPr>
                  <w:rStyle w:val="Hyperlink"/>
                </w:rPr>
                <w:t>New Contact Management Service (CMS)</w:t>
              </w:r>
              <w:r>
                <w:rPr>
                  <w:rStyle w:val="Hyperlink"/>
                </w:rPr>
                <w:t xml:space="preserve"> - Overview | Rise 360 (articulate.com)</w:t>
              </w:r>
            </w:hyperlink>
          </w:p>
          <w:p>
            <w:pPr>
              <w:rPr>
                <w:rFonts w:cs="Arial"/>
              </w:rPr>
              <w:jc w:val="both"/>
              <w:spacing w:lineRule="auto" w:line="276"/>
              <w:contextualSpacing w:val="1"/>
            </w:pPr>
          </w:p>
        </w:tc>
      </w:tr>
    </w:tbl>
    <w:p>
      <w:pPr>
        <w:pStyle w:val="heading 1"/>
      </w:pPr>
      <w:r>
        <w:t>Associated Changes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spacing w:lineRule="auto" w:line="276"/>
            </w:pPr>
            <w:r>
              <w:rPr>
                <w:rFonts w:cs="Arial"/>
              </w:rPr>
              <w:t>Associated Change(s) and Title(s):</w:t>
            </w:r>
          </w:p>
        </w:tc>
        <w:tc>
          <w:tcPr>
            <w:tcW w:type="pct" w:w="3777"/>
            <w:vAlign w:val="center"/>
          </w:tcPr>
          <w:p>
            <w:pPr>
              <w:rPr>
                <w:rFonts w:ascii="Calibri" w:hAnsi="Calibri" w:cs="Calibri"/>
              </w:rPr>
              <w:pBdr>
                <w:bottom w:val="single" w:sz="6" w:space="7" w:color="EEEEEE"/>
              </w:pBdr>
            </w:pPr>
            <w:r>
              <w:rPr>
                <w:rFonts w:cs="Arial"/>
              </w:rPr>
              <w:t>XRN5556 CMS Rebuild parent</w:t>
            </w:r>
          </w:p>
        </w:tc>
      </w:tr>
    </w:tbl>
    <w:p>
      <w:pPr>
        <w:pStyle w:val="heading 1"/>
      </w:pPr>
      <w:r>
        <w:t>DSG</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sdt>
            <w:sdtPr>
              <w:rPr>
                <w:rFonts w:cs="Arial"/>
              </w:rPr>
              <w:id w:val="165912924"/>
              <w:date w:fullDate="2023-02-20T00:00:00Z">
                <w:dateFormat w:val="dd/MM/yyyy"/>
                <w:lid w:val="en-GB"/>
                <w:storeMappedDataAs w:val="dateTime"/>
                <w:calendar w:val="gregorian"/>
              </w:date>
            </w:sdtPr>
            <w:sdtContent>
              <w:p>
                <w:pPr/>
                <w:r>
                  <w:rPr>
                    <w:rFonts w:cs="Arial"/>
                  </w:rPr>
                  <w:t>20/02/2023</w:t>
                </w:r>
              </w:p>
            </w:sdtContent>
          </w:sdt>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rFonts w:cs="Arial"/>
              </w:rPr>
            </w:pPr>
            <w:r>
              <w:rPr>
                <w:rFonts w:cs="Arial"/>
              </w:rPr>
              <w:t>None</w:t>
            </w:r>
          </w:p>
        </w:tc>
      </w:tr>
    </w:tbl>
    <w:p>
      <w:pPr>
        <w:pStyle w:val="heading 1"/>
      </w:pPr>
      <w:r>
        <w:t>Implementation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Release:</w:t>
            </w:r>
          </w:p>
        </w:tc>
        <w:tc>
          <w:tcPr>
            <w:shd w:val="clear" w:fill="FFFFFF"/>
            <w:tcW w:type="pct" w:w="3777"/>
            <w:vAlign w:val="center"/>
          </w:tcPr>
          <w:p>
            <w:pPr>
              <w:rPr>
                <w:color w:val="FF0000"/>
                <w:rFonts w:cs="Arial"/>
              </w:rPr>
            </w:pPr>
            <w:r>
              <w:rPr>
                <w:rFonts w:cs="Arial"/>
              </w:rPr>
              <w:t>April 24</w:t>
            </w:r>
            <w:r>
              <w:rPr>
                <w:rFonts w:cs="Arial"/>
                <w:vertAlign w:val="superscript"/>
              </w:rPr>
              <w:t>th</w:t>
            </w:r>
            <w:r>
              <w:rPr>
                <w:rFonts w:cs="Arial"/>
              </w:rPr>
              <w:t xml:space="preserve"> 2023</w:t>
            </w:r>
          </w:p>
        </w:tc>
      </w:tr>
      <w:tr>
        <w:trPr>
          <w:trHeight w:hRule="atLeast" w:val="403"/>
        </w:trPr>
        <w:tc>
          <w:tcPr>
            <w:shd w:val="clear" w:fill="B3EDFB"/>
            <w:tcW w:type="pct" w:w="1223"/>
            <w:vAlign w:val="center"/>
          </w:tcPr>
          <w:p>
            <w:pPr>
              <w:rPr>
                <w:rFonts w:cs="Arial"/>
              </w:rPr>
              <w:jc w:val="right"/>
            </w:pPr>
            <w:r>
              <w:rPr>
                <w:rFonts w:cs="Arial"/>
              </w:rPr>
              <w:t>Status:</w:t>
            </w:r>
          </w:p>
        </w:tc>
        <w:tc>
          <w:tcPr>
            <w:tcW w:type="pct" w:w="3777"/>
            <w:vAlign w:val="center"/>
          </w:tcPr>
          <w:p>
            <w:pPr>
              <w:rPr>
                <w:rFonts w:cs="Arial"/>
              </w:rPr>
            </w:pPr>
            <w:r>
              <w:rPr>
                <w:rFonts w:cs="Arial"/>
              </w:rPr>
              <w:t>For approval</w:t>
            </w:r>
          </w:p>
        </w:tc>
      </w:tr>
    </w:tbl>
    <w:p>
      <w:pPr/>
    </w:p>
    <w:p>
      <w:pPr/>
      <w:r>
        <w:t xml:space="preserve">Please see the following page for representation comments template; responses to </w:t>
      </w:r>
      <w:hyperlink r:id="R53d8ba79993e4b38">
        <w:r>
          <w:rPr>
            <w:rStyle w:val="Hyperlink"/>
          </w:rPr>
          <w:t>uklink@xoserve.com</w:t>
        </w:r>
      </w:hyperlink>
      <w:r>
        <w:t xml:space="preserve"> </w:t>
      </w:r>
    </w:p>
    <w:p>
      <w:pPr/>
      <w:r>
        <w:br w:type="page"/>
      </w:r>
    </w:p>
    <w:p>
      <w:pPr>
        <w:pStyle w:val="Title"/>
      </w:pPr>
      <w:r>
        <w:t>Industry Response Detailed Design Review</w:t>
      </w:r>
    </w:p>
    <w:p>
      <w:pPr/>
      <w:r>
        <w:br w:type="textWrapping"/>
      </w:r>
      <w:r>
        <w:br w:type="textWrapping"/>
      </w:r>
      <w:r>
        <w:rPr>
          <w:rStyle w:val="Heading 1 Char"/>
        </w:rPr>
        <w:t>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SGN</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Sally-Ann Hardman</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sally.hardman@sgn.co.uk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07970019027</w:t>
            </w:r>
          </w:p>
        </w:tc>
      </w:tr>
      <w:tr>
        <w:trPr>
          <w:trHeight w:hRule="atLeast" w:val="403"/>
        </w:trPr>
        <w:tc>
          <w:tcPr>
            <w:shd w:val="clear" w:fill="B3EDFB"/>
            <w:tcW w:type="pct" w:w="1223"/>
            <w:vAlign w:val="center"/>
          </w:tcPr>
          <w:p>
            <w:pPr>
              <w:rPr>
                <w:rFonts w:cs="Arial"/>
              </w:rPr>
              <w:jc w:val="right"/>
            </w:pPr>
            <w:r>
              <w:rPr>
                <w:rFonts w:cs="Arial"/>
              </w:rPr>
              <w:t>Representation Status:</w:t>
            </w:r>
          </w:p>
        </w:tc>
        <w:tc>
          <w:tcPr>
            <w:tcW w:type="pct" w:w="3777"/>
            <w:vAlign w:val="center"/>
            <w:gridSpan w:val="3"/>
          </w:tcPr>
          <w:p>
            <w:pPr>
              <w:rPr>
                <w:rFonts w:cs="Arial"/>
              </w:rPr>
            </w:pPr>
            <w:r>
              <w:rPr>
                <w:rFonts w:cs="Arial"/>
              </w:rPr>
              <w:t>Support</w:t>
            </w:r>
          </w:p>
        </w:tc>
      </w:tr>
      <w:tr>
        <w:trPr>
          <w:trHeight w:hRule="atLeast" w:val="403"/>
        </w:trPr>
        <w:tc>
          <w:tcPr>
            <w:shd w:val="clear" w:fill="B3EDFB"/>
            <w:tcW w:type="pct" w:w="1223"/>
            <w:vAlign w:val="center"/>
          </w:tcPr>
          <w:p>
            <w:pPr>
              <w:rPr>
                <w:rFonts w:cs="Arial"/>
              </w:rPr>
              <w:jc w:val="right"/>
            </w:pPr>
            <w:r>
              <w:rPr>
                <w:rFonts w:cs="Arial"/>
              </w:rPr>
              <w:t>Representation Publication:</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 Comments:</w:t>
            </w:r>
          </w:p>
        </w:tc>
        <w:tc>
          <w:tcPr>
            <w:tcW w:type="pct" w:w="3777"/>
            <w:vAlign w:val="center"/>
            <w:gridSpan w:val="3"/>
          </w:tcPr>
          <w:p>
            <w:pPr>
              <w:rPr>
                <w:rFonts w:cs="Arial"/>
              </w:rPr>
            </w:pPr>
            <w:r>
              <w:rPr>
                <w:rFonts w:cs="Arial"/>
              </w:rPr>
              <w:t>SGN supports the continued migration of CMS processes and the new processes set out for DTL and ISO.</w:t>
            </w:r>
          </w:p>
        </w:tc>
      </w:tr>
      <w:tr>
        <w:trPr>
          <w:trHeight w:hRule="atLeast" w:val="403"/>
        </w:trPr>
        <w:tc>
          <w:tcPr>
            <w:shd w:val="clear" w:fill="B3EDFB"/>
            <w:tcW w:type="pct" w:w="1223"/>
            <w:vAlign w:val="center"/>
          </w:tcPr>
          <w:p>
            <w:pPr>
              <w:rPr>
                <w:rFonts w:cs="Arial"/>
              </w:rPr>
              <w:jc w:val="right"/>
            </w:pPr>
            <w:r>
              <w:rPr>
                <w:rFonts w:cs="Arial"/>
              </w:rPr>
              <w:t>Confirm Target Release Date?</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w:t>
            </w:r>
            <w:r>
              <w:rPr>
                <w:rFonts w:cs="Arial"/>
              </w:rPr>
              <w:t>rDataAlternative»</w:t>
            </w:r>
            <w:r>
              <w:rPr>
                <w:rFonts w:cs="Arial"/>
              </w:rPr>
              <w:fldChar w:fldCharType="end"/>
            </w:r>
          </w:p>
        </w:tc>
      </w:tr>
    </w:tbl>
    <w:p>
      <w:pPr/>
    </w:p>
    <w:p>
      <w:pPr>
        <w:pStyle w:val="heading 1"/>
      </w:pP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 Response to Organisations Comments:</w:t>
            </w:r>
          </w:p>
        </w:tc>
        <w:tc>
          <w:tcPr>
            <w:tcW w:type="pct" w:w="3777"/>
            <w:vAlign w:val="center"/>
          </w:tcPr>
          <w:p>
            <w:pPr>
              <w:rPr>
                <w:rFonts w:cs="Arial"/>
              </w:rPr>
            </w:pPr>
            <w:r>
              <w:rPr>
                <w:rFonts w:cs="Arial"/>
              </w:rPr>
              <w:t xml:space="preserve">Thank you for your representation, we will feed this into </w:t>
            </w:r>
            <w:r>
              <w:rPr>
                <w:rFonts w:cs="Arial"/>
              </w:rPr>
              <w:t>ChMC</w:t>
            </w:r>
            <w:r>
              <w:rPr>
                <w:rFonts w:cs="Arial"/>
              </w:rPr>
              <w:t xml:space="preserve"> for a final decision.</w:t>
            </w:r>
          </w:p>
        </w:tc>
      </w:tr>
    </w:tbl>
    <w:p>
      <w:pPr/>
    </w:p>
    <w:p>
      <w:pPr/>
      <w:r>
        <w:t xml:space="preserve">Please send the completed representation response to </w:t>
      </w:r>
      <w:hyperlink r:id="Rc1af18def2294764">
        <w:r>
          <w:rPr>
            <w:rStyle w:val="Hyperlink"/>
          </w:rPr>
          <w:t>uklink@xoserve.com</w:t>
        </w:r>
      </w:hyperlink>
      <w:r>
        <w:t xml:space="preserve"> </w:t>
      </w:r>
    </w:p>
    <w:p>
      <w:pPr/>
    </w:p>
    <w:p>
      <w:pPr>
        <w:rPr>
          <w:rFonts w:cs="Arial"/>
        </w:rPr>
        <w:spacing w:after="0" w:lineRule="auto" w:line="240"/>
      </w:pPr>
    </w:p>
    <w:p>
      <w:pPr>
        <w:rPr>
          <w:rFonts w:cs="Arial"/>
        </w:rPr>
        <w:spacing w:after="0" w:lineRule="auto" w:line="240"/>
      </w:pPr>
    </w:p>
    <w:p>
      <w:pPr>
        <w:rPr>
          <w:rFonts w:cs="Arial"/>
        </w:rPr>
        <w:spacing w:after="0" w:lineRule="auto" w:line="240"/>
      </w:pPr>
    </w:p>
    <w:p>
      <w:pPr>
        <w:rPr>
          <w:rFonts w:cs="Arial"/>
        </w:rPr>
        <w:spacing w:after="0" w:lineRule="auto" w:line="240"/>
      </w:pPr>
    </w:p>
    <w:p>
      <w:pPr>
        <w:rPr>
          <w:rFonts w:cs="Arial"/>
        </w:rPr>
        <w:spacing w:after="0" w:lineRule="auto" w:line="240"/>
      </w:pPr>
    </w:p>
    <w:p>
      <w:pPr>
        <w:rPr>
          <w:rFonts w:cs="Arial"/>
        </w:rPr>
        <w:spacing w:after="0" w:lineRule="auto" w:line="240"/>
      </w:pPr>
    </w:p>
    <w:p>
      <w:pPr>
        <w:rPr>
          <w:rFonts w:cs="Arial"/>
        </w:rPr>
        <w:spacing w:after="0" w:lineRule="auto" w:line="240"/>
      </w:pPr>
    </w:p>
    <w:p>
      <w:pPr>
        <w:rPr>
          <w:rFonts w:cs="Arial"/>
        </w:rPr>
        <w:spacing w:after="0" w:lineRule="auto" w:line="240"/>
      </w:pPr>
    </w:p>
    <w:p>
      <w:pPr>
        <w:rPr>
          <w:rFonts w:cs="Arial"/>
        </w:rPr>
        <w:spacing w:after="0" w:lineRule="auto" w:line="240"/>
      </w:pPr>
    </w:p>
    <w:p>
      <w:pPr>
        <w:rPr>
          <w:rFonts w:cs="Arial"/>
        </w:rPr>
        <w:spacing w:after="0" w:lineRule="auto" w:line="240"/>
      </w:pPr>
    </w:p>
    <w:p>
      <w:pPr>
        <w:rPr>
          <w:rFonts w:cs="Arial"/>
        </w:rPr>
        <w:spacing w:after="0" w:lineRule="auto" w:line="240"/>
      </w:pPr>
    </w:p>
    <w:p>
      <w:pPr>
        <w:rPr>
          <w:rFonts w:cs="Arial"/>
        </w:rPr>
        <w:spacing w:after="0" w:lineRule="auto" w:line="240"/>
      </w:pPr>
    </w:p>
    <w:p>
      <w:pPr>
        <w:rPr>
          <w:rFonts w:cs="Arial"/>
        </w:rPr>
        <w:spacing w:after="0" w:lineRule="auto" w:line="240"/>
      </w:pPr>
    </w:p>
    <w:p>
      <w:pPr>
        <w:rPr>
          <w:rFonts w:ascii="Segoe UI" w:hAnsi="Segoe UI" w:cs="Segoe UI"/>
          <w:sz w:val="18"/>
          <w:szCs w:val="18"/>
        </w:rPr>
        <w:spacing w:after="0" w:lineRule="auto" w:line="240"/>
      </w:pPr>
    </w:p>
    <w:p>
      <w:pPr>
        <w:pStyle w:val="Title"/>
      </w:pPr>
      <w:r>
        <w:t>Change Management Committee Outcome</w:t>
      </w:r>
    </w:p>
    <w:tbl>
      <w:tblPr>
        <w:tblStyle w:val="Table Grid"/>
        <w:tblLayout w:type="fixed"/>
        <w:tblInd w:type="dxa" w:w="-34"/>
        <w:tblW w:type="pct" w:w="5018"/>
        <w:tblLook w:firstColumn="1" w:firstRow="1" w:lastColumn="0" w:lastRow="0" w:noHBand="0" w:noVBand="1"/>
      </w:tblPr>
      <w:tblGrid>
        <w:gridCol w:w="2219"/>
        <w:gridCol w:w="2276"/>
        <w:gridCol w:w="1140"/>
        <w:gridCol w:w="592"/>
        <w:gridCol w:w="546"/>
        <w:gridCol w:w="2275"/>
      </w:tblGrid>
      <w:tr>
        <w:trPr>
          <w:trHeight w:hRule="atLeast" w:val="403"/>
        </w:trPr>
        <w:tc>
          <w:tcPr>
            <w:shd w:val="clear" w:fill="B3EDFB"/>
            <w:tcW w:type="pct" w:w="1226"/>
            <w:vAlign w:val="center"/>
          </w:tcPr>
          <w:p>
            <w:pPr>
              <w:rPr>
                <w:rFonts w:cs="Arial"/>
              </w:rPr>
              <w:jc w:val="right"/>
            </w:pPr>
            <w:r>
              <w:rPr>
                <w:rFonts w:cs="Arial"/>
              </w:rPr>
              <w:t>Change Status:</w:t>
            </w:r>
          </w:p>
        </w:tc>
        <w:tc>
          <w:tcPr>
            <w:tcW w:type="pct" w:w="1258"/>
            <w:vAlign w:val="center"/>
          </w:tcPr>
          <w:p>
            <w:pPr>
              <w:rPr>
                <w:rFonts w:cs="Arial"/>
              </w:rPr>
            </w:pPr>
            <w:sdt>
              <w:sdtPr>
                <w:rPr>
                  <w:rFonts w:cs="Arial"/>
                </w:rPr>
                <w:id w:val="92291494"/>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Approve</w:t>
            </w:r>
          </w:p>
        </w:tc>
        <w:tc>
          <w:tcPr>
            <w:tcW w:type="pct" w:w="1259"/>
            <w:vAlign w:val="center"/>
            <w:gridSpan w:val="3"/>
          </w:tcPr>
          <w:p>
            <w:pPr>
              <w:rPr>
                <w:rFonts w:cs="Arial"/>
              </w:rPr>
            </w:pPr>
            <w:sdt>
              <w:sdtPr>
                <w:rPr>
                  <w:rFonts w:cs="Arial"/>
                </w:rPr>
                <w:id w:val="-92495108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Reject</w:t>
            </w:r>
          </w:p>
        </w:tc>
        <w:tc>
          <w:tcPr>
            <w:tcW w:type="pct" w:w="1257"/>
            <w:vAlign w:val="center"/>
          </w:tcPr>
          <w:p>
            <w:pPr>
              <w:rPr>
                <w:rFonts w:cs="Arial"/>
              </w:rPr>
            </w:pPr>
            <w:sdt>
              <w:sdtPr>
                <w:rPr>
                  <w:rFonts w:cs="Arial"/>
                </w:rPr>
                <w:id w:val="1974326579"/>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Defer</w:t>
            </w:r>
          </w:p>
        </w:tc>
      </w:tr>
      <w:tr>
        <w:trPr>
          <w:trHeight w:hRule="atLeast" w:val="403"/>
        </w:trPr>
        <w:tc>
          <w:tcPr>
            <w:shd w:val="clear" w:fill="B3EDFB"/>
            <w:tcW w:type="pct" w:w="1226"/>
            <w:vAlign w:val="center"/>
            <w:vMerge w:val="restart"/>
          </w:tcPr>
          <w:p>
            <w:pPr>
              <w:rPr>
                <w:rFonts w:cs="Arial"/>
              </w:rPr>
              <w:jc w:val="right"/>
            </w:pPr>
            <w:r>
              <w:rPr>
                <w:rFonts w:cs="Arial"/>
              </w:rPr>
              <w:t>Industry Consultation:</w:t>
            </w:r>
          </w:p>
        </w:tc>
        <w:tc>
          <w:tcPr>
            <w:tcW w:type="pct" w:w="1888"/>
            <w:vAlign w:val="center"/>
            <w:gridSpan w:val="2"/>
          </w:tcPr>
          <w:p>
            <w:pPr>
              <w:rPr>
                <w:rFonts w:cs="Arial"/>
              </w:rPr>
            </w:pPr>
            <w:sdt>
              <w:sdtPr>
                <w:rPr>
                  <w:rFonts w:cs="Arial"/>
                </w:rPr>
                <w:id w:val="1199442173"/>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10 Working Days</w:t>
            </w:r>
          </w:p>
        </w:tc>
        <w:tc>
          <w:tcPr>
            <w:tcW w:type="pct" w:w="1886"/>
            <w:vAlign w:val="center"/>
            <w:gridSpan w:val="3"/>
          </w:tcPr>
          <w:p>
            <w:pPr>
              <w:rPr>
                <w:rFonts w:cs="Arial"/>
              </w:rPr>
            </w:pPr>
            <w:sdt>
              <w:sdtPr>
                <w:rPr>
                  <w:rFonts w:cs="Arial"/>
                </w:rPr>
                <w:id w:val="733365445"/>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15 Working Days</w:t>
            </w:r>
          </w:p>
        </w:tc>
      </w:tr>
      <w:tr>
        <w:trPr>
          <w:trHeight w:hRule="atLeast" w:val="403"/>
        </w:trPr>
        <w:tc>
          <w:tcPr>
            <w:shd w:val="clear" w:fill="B3EDFB"/>
            <w:tcW w:type="pct" w:w="1226"/>
            <w:vAlign w:val="center"/>
            <w:vMerge w:val="continue"/>
          </w:tcPr>
          <w:p/>
        </w:tc>
        <w:tc>
          <w:tcPr>
            <w:tcW w:type="pct" w:w="1888"/>
            <w:vAlign w:val="center"/>
            <w:gridSpan w:val="2"/>
          </w:tcPr>
          <w:p>
            <w:pPr>
              <w:rPr>
                <w:rFonts w:cs="Arial"/>
              </w:rPr>
            </w:pPr>
            <w:sdt>
              <w:sdtPr>
                <w:rPr>
                  <w:rFonts w:cs="Arial"/>
                </w:rPr>
                <w:id w:val="-194838644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20 Working Days</w:t>
            </w:r>
          </w:p>
        </w:tc>
        <w:tc>
          <w:tcPr>
            <w:tcW w:type="pct" w:w="1886"/>
            <w:vAlign w:val="center"/>
            <w:gridSpan w:val="3"/>
          </w:tcPr>
          <w:p>
            <w:pPr>
              <w:rPr>
                <w:rFonts w:cs="Arial"/>
              </w:rPr>
            </w:pPr>
            <w:sdt>
              <w:sdtPr>
                <w:rPr>
                  <w:rFonts w:cs="Arial"/>
                </w:rPr>
                <w:id w:val="-2068944347"/>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Other [Specify Here]</w:t>
            </w:r>
          </w:p>
        </w:tc>
      </w:tr>
      <w:tr>
        <w:trPr>
          <w:trHeight w:hRule="atLeast" w:val="403"/>
        </w:trPr>
        <w:tc>
          <w:tcPr>
            <w:shd w:val="clear" w:fill="B3EDFB"/>
            <w:tcW w:type="pct" w:w="1226"/>
            <w:vAlign w:val="center"/>
          </w:tcPr>
          <w:p>
            <w:pPr>
              <w:rPr>
                <w:rFonts w:cs="Arial"/>
              </w:rPr>
              <w:jc w:val="right"/>
            </w:pPr>
            <w:r>
              <w:rPr>
                <w:rFonts w:cs="Arial"/>
              </w:rPr>
              <w:t>Date Issued:</w:t>
            </w:r>
          </w:p>
        </w:tc>
        <w:tc>
          <w:tcPr>
            <w:tcW w:type="pct" w:w="3774"/>
            <w:vAlign w:val="center"/>
            <w:gridSpan w:val="5"/>
          </w:tcPr>
          <w:sdt>
            <w:sdtPr>
              <w:rPr>
                <w:rFonts w:cs="Arial"/>
              </w:rPr>
              <w:id w:val="-342008601"/>
              <w:placeholder>
                <w:docPart w:val="DDDED1779F6A45C091AB6C1D2CF1B5F9"/>
              </w:placeholder>
              <w:date w:fullDate="2023-02-13T00:00:00Z">
                <w:dateFormat w:val="dd/MM/yyyy"/>
                <w:lid w:val="en-GB"/>
                <w:storeMappedDataAs w:val="dateTime"/>
                <w:calendar w:val="gregorian"/>
              </w:date>
            </w:sdtPr>
            <w:sdtContent>
              <w:p>
                <w:pPr/>
                <w:r>
                  <w:rPr>
                    <w:rFonts w:cs="Arial"/>
                  </w:rPr>
                  <w:t>13/02/2023</w:t>
                </w:r>
              </w:p>
            </w:sdtContent>
          </w:sdt>
        </w:tc>
      </w:tr>
      <w:tr>
        <w:trPr>
          <w:trHeight w:hRule="atLeast" w:val="403"/>
        </w:trPr>
        <w:tc>
          <w:tcPr>
            <w:shd w:val="clear" w:fill="B3EDFB"/>
            <w:tcW w:type="pct" w:w="1226"/>
            <w:vAlign w:val="center"/>
          </w:tcPr>
          <w:p>
            <w:pPr>
              <w:rPr>
                <w:rFonts w:cs="Arial"/>
              </w:rPr>
              <w:jc w:val="right"/>
            </w:pPr>
            <w:r>
              <w:rPr>
                <w:rFonts w:cs="Arial"/>
              </w:rPr>
              <w:t>Comms Ref(s):</w:t>
            </w:r>
          </w:p>
        </w:tc>
        <w:tc>
          <w:tcPr>
            <w:tcW w:type="pct" w:w="3774"/>
            <w:vAlign w:val="center"/>
            <w:gridSpan w:val="5"/>
          </w:tcPr>
          <w:p>
            <w:pPr>
              <w:rPr>
                <w:rFonts w:cs="Arial"/>
              </w:rPr>
            </w:pPr>
            <w:r>
              <w:rPr>
                <w:rFonts w:cs="Arial"/>
              </w:rPr>
              <w:t>3139.6 - VO - PO</w:t>
            </w:r>
          </w:p>
        </w:tc>
      </w:tr>
      <w:tr>
        <w:trPr>
          <w:trHeight w:hRule="atLeast" w:val="403"/>
        </w:trPr>
        <w:tc>
          <w:tcPr>
            <w:shd w:val="clear" w:fill="B3EDFB"/>
            <w:tcW w:type="pct" w:w="1226"/>
            <w:vAlign w:val="center"/>
          </w:tcPr>
          <w:p>
            <w:pPr>
              <w:rPr>
                <w:rFonts w:cs="Arial"/>
              </w:rPr>
              <w:jc w:val="right"/>
            </w:pPr>
            <w:r>
              <w:rPr>
                <w:rFonts w:cs="Arial"/>
              </w:rPr>
              <w:t>Number of Responses:</w:t>
            </w:r>
          </w:p>
        </w:tc>
        <w:tc>
          <w:tcPr>
            <w:tcW w:type="pct" w:w="3774"/>
            <w:vAlign w:val="center"/>
            <w:gridSpan w:val="5"/>
          </w:tcPr>
          <w:p>
            <w:pPr>
              <w:rPr>
                <w:rFonts w:cs="Arial"/>
              </w:rPr>
            </w:pPr>
            <w:r>
              <w:rPr>
                <w:rFonts w:cs="Arial"/>
              </w:rPr>
              <w:t>1</w:t>
            </w:r>
          </w:p>
        </w:tc>
      </w:tr>
      <w:tr>
        <w:trPr>
          <w:trHeight w:hRule="atLeast" w:val="403"/>
        </w:trPr>
        <w:tc>
          <w:tcPr>
            <w:shd w:val="clear" w:fill="B3EDFB"/>
            <w:tcW w:type="pct" w:w="1226"/>
            <w:vAlign w:val="center"/>
            <w:vMerge w:val="restart"/>
          </w:tcPr>
          <w:p>
            <w:pPr>
              <w:rPr>
                <w:rFonts w:cs="Arial"/>
              </w:rPr>
              <w:jc w:val="right"/>
            </w:pPr>
            <w:r>
              <w:rPr>
                <w:rFonts w:cs="Arial"/>
              </w:rPr>
              <w:t>Solution Voting:</w:t>
            </w:r>
          </w:p>
        </w:tc>
        <w:tc>
          <w:tcPr>
            <w:tcW w:type="pct" w:w="2215"/>
            <w:vAlign w:val="center"/>
            <w:gridSpan w:val="3"/>
          </w:tcPr>
          <w:p>
            <w:pPr>
              <w:rPr>
                <w:rFonts w:cs="Arial"/>
              </w:rPr>
            </w:pPr>
            <w:sdt>
              <w:sdtPr>
                <w:rPr>
                  <w:rFonts w:cs="Arial"/>
                </w:rPr>
                <w:id w:val="1430934478"/>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Shipper</w:t>
            </w:r>
          </w:p>
        </w:tc>
        <w:tc>
          <w:tcPr>
            <w:tcW w:type="pct" w:w="1559"/>
            <w:vAlign w:val="center"/>
            <w:gridSpan w:val="2"/>
          </w:tcPr>
          <w:sdt>
            <w:sdtPr>
              <w:rPr>
                <w:rFonts w:cs="Arial"/>
              </w:rPr>
              <w:alias w:val="Voting"/>
              <w:showingPlcHdr/>
              <w:tag w:val="Voting"/>
              <w:id w:val="973639804"/>
              <w:comboBox>
                <w:listItem w:displayText="Approve" w:value="Approve"/>
                <w:listItem w:displayText="Reject" w:value="Reject"/>
                <w:listItem w:displayText="N/A" w:value="N/A"/>
                <w:listItem w:displayText="Abstain" w:value="Abstain"/>
              </w:comboBox>
            </w:sdtPr>
            <w:sdtContent>
              <w:p>
                <w:pPr>
                  <w:rPr>
                    <w:rFonts w:cs="Arial"/>
                  </w:rPr>
                </w:pPr>
                <w:r>
                  <w:rPr>
                    <w:rStyle w:val="Placeholder Text"/>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cs="Arial"/>
              </w:rPr>
            </w:pPr>
            <w:sdt>
              <w:sdtPr>
                <w:rPr>
                  <w:rFonts w:cs="Arial"/>
                </w:rPr>
                <w:id w:val="1356080623"/>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National Grid Transmission</w:t>
            </w:r>
          </w:p>
        </w:tc>
        <w:tc>
          <w:tcPr>
            <w:tcW w:type="pct" w:w="1559"/>
            <w:vAlign w:val="center"/>
            <w:gridSpan w:val="2"/>
          </w:tcPr>
          <w:sdt>
            <w:sdtPr>
              <w:rPr>
                <w:rFonts w:cs="Arial"/>
              </w:rPr>
              <w:alias w:val="Voting"/>
              <w:showingPlcHdr/>
              <w:tag w:val="Voting"/>
              <w:id w:val="495002450"/>
              <w:comboBox>
                <w:listItem w:displayText="Approve" w:value="Approve"/>
                <w:listItem w:displayText="Reject" w:value="Reject"/>
                <w:listItem w:displayText="N/A" w:value="N/A"/>
                <w:listItem w:displayText="Abstain" w:value="Abstain"/>
              </w:comboBox>
            </w:sdtPr>
            <w:sdtContent>
              <w:p>
                <w:pPr>
                  <w:rPr>
                    <w:rFonts w:cs="Arial"/>
                  </w:rPr>
                </w:pPr>
                <w:r>
                  <w:rPr>
                    <w:rStyle w:val="Placeholder Text"/>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cs="Arial"/>
              </w:rPr>
            </w:pPr>
            <w:sdt>
              <w:sdtPr>
                <w:rPr>
                  <w:rFonts w:cs="Arial"/>
                </w:rPr>
                <w:id w:val="-1545287321"/>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Distribution Network Operator</w:t>
            </w:r>
          </w:p>
        </w:tc>
        <w:tc>
          <w:tcPr>
            <w:tcW w:type="pct" w:w="1559"/>
            <w:vAlign w:val="center"/>
            <w:gridSpan w:val="2"/>
          </w:tcPr>
          <w:sdt>
            <w:sdtPr>
              <w:rPr>
                <w:rFonts w:cs="Arial"/>
              </w:rPr>
              <w:alias w:val="Voting"/>
              <w:showingPlcHdr/>
              <w:tag w:val="Voting"/>
              <w:id w:val="436720914"/>
              <w:comboBox>
                <w:listItem w:displayText="Approve" w:value="Approve"/>
                <w:listItem w:displayText="Reject" w:value="Reject"/>
                <w:listItem w:displayText="N/A" w:value="N/A"/>
                <w:listItem w:displayText="Abstain" w:value="Abstain"/>
              </w:comboBox>
            </w:sdtPr>
            <w:sdtContent>
              <w:p>
                <w:pPr>
                  <w:rPr>
                    <w:rFonts w:cs="Arial"/>
                  </w:rPr>
                </w:pPr>
                <w:r>
                  <w:rPr>
                    <w:rStyle w:val="Placeholder Text"/>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cs="Arial"/>
              </w:rPr>
            </w:pPr>
            <w:sdt>
              <w:sdtPr>
                <w:rPr>
                  <w:rFonts w:cs="Arial"/>
                </w:rPr>
                <w:id w:val="-679510400"/>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IGT</w:t>
            </w:r>
          </w:p>
        </w:tc>
        <w:tc>
          <w:tcPr>
            <w:tcW w:type="pct" w:w="1559"/>
            <w:vAlign w:val="center"/>
            <w:gridSpan w:val="2"/>
          </w:tcPr>
          <w:sdt>
            <w:sdtPr>
              <w:rPr>
                <w:rFonts w:cs="Arial"/>
              </w:rPr>
              <w:alias w:val="Voting"/>
              <w:showingPlcHdr/>
              <w:tag w:val="Voting"/>
              <w:id w:val="-771619236"/>
              <w:comboBox>
                <w:listItem w:displayText="Approve" w:value="Approve"/>
                <w:listItem w:displayText="Reject" w:value="Reject"/>
                <w:listItem w:displayText="N/A" w:value="N/A"/>
                <w:listItem w:displayText="Abstain" w:value="Abstain"/>
              </w:comboBox>
            </w:sdtPr>
            <w:sdtContent>
              <w:p>
                <w:pPr>
                  <w:rPr>
                    <w:rFonts w:cs="Arial"/>
                  </w:rPr>
                </w:pPr>
                <w:r>
                  <w:rPr>
                    <w:rStyle w:val="Placeholder Text"/>
                  </w:rPr>
                  <w:t>Please select.</w:t>
                </w:r>
              </w:p>
            </w:sdtContent>
          </w:sdt>
        </w:tc>
      </w:tr>
      <w:tr>
        <w:trPr>
          <w:trHeight w:hRule="atLeast" w:val="403"/>
        </w:trPr>
        <w:tc>
          <w:tcPr>
            <w:shd w:val="clear" w:fill="B3EDFB"/>
            <w:tcW w:type="pct" w:w="1226"/>
            <w:vAlign w:val="center"/>
          </w:tcPr>
          <w:p>
            <w:pPr>
              <w:rPr>
                <w:rFonts w:cs="Arial"/>
              </w:rPr>
              <w:jc w:val="right"/>
            </w:pPr>
            <w:r>
              <w:rPr>
                <w:rFonts w:cs="Arial"/>
              </w:rPr>
              <w:t>Meeting Date:</w:t>
            </w:r>
          </w:p>
        </w:tc>
        <w:tc>
          <w:tcPr>
            <w:tcW w:type="pct" w:w="3774"/>
            <w:vAlign w:val="center"/>
            <w:gridSpan w:val="5"/>
          </w:tcPr>
          <w:sdt>
            <w:sdtPr>
              <w:rPr>
                <w:rFonts w:cs="Arial"/>
              </w:rPr>
              <w:id w:val="626280683"/>
              <w:date w:fullDate="2023-03-08T00:00:00Z">
                <w:dateFormat w:val="dd/MM/yyyy"/>
                <w:lid w:val="en-GB"/>
                <w:storeMappedDataAs w:val="dateTime"/>
                <w:calendar w:val="gregorian"/>
              </w:date>
            </w:sdtPr>
            <w:sdtContent>
              <w:p>
                <w:pPr/>
                <w:r>
                  <w:rPr>
                    <w:rFonts w:cs="Arial"/>
                  </w:rPr>
                  <w:t>08/03/2023</w:t>
                </w:r>
              </w:p>
            </w:sdtContent>
          </w:sdt>
        </w:tc>
      </w:tr>
      <w:tr>
        <w:trPr>
          <w:trHeight w:hRule="atLeast" w:val="403"/>
        </w:trPr>
        <w:tc>
          <w:tcPr>
            <w:shd w:val="clear" w:fill="B3EDFB"/>
            <w:tcW w:type="pct" w:w="1226"/>
            <w:vAlign w:val="center"/>
          </w:tcPr>
          <w:p>
            <w:pPr>
              <w:rPr>
                <w:rFonts w:cs="Arial"/>
              </w:rPr>
              <w:jc w:val="right"/>
            </w:pPr>
            <w:r>
              <w:rPr>
                <w:rFonts w:cs="Arial"/>
              </w:rPr>
              <w:t>Release Date:</w:t>
            </w:r>
          </w:p>
        </w:tc>
        <w:tc>
          <w:tcPr>
            <w:tcW w:type="pct" w:w="3774"/>
            <w:vAlign w:val="center"/>
            <w:gridSpan w:val="5"/>
          </w:tcPr>
          <w:p>
            <w:pPr>
              <w:rPr>
                <w:rFonts w:cs="Arial"/>
              </w:rPr>
            </w:pPr>
            <w:r>
              <w:rPr>
                <w:rFonts w:cs="Arial"/>
              </w:rPr>
              <w:t>Adhoc</w:t>
            </w:r>
          </w:p>
        </w:tc>
      </w:tr>
    </w:tbl>
    <w:p>
      <w:pPr/>
    </w:p>
    <w:p>
      <w:pPr/>
    </w:p>
    <w:p>
      <w:pPr/>
      <w:r>
        <w:t xml:space="preserve">Please send the completed representation response to </w:t>
      </w:r>
      <w:hyperlink r:id="R4d9d2d1591b04ced">
        <w:r>
          <w:rPr>
            <w:rStyle w:val="Hyperlink"/>
          </w:rPr>
          <w:t>uklink@xoserve.com</w:t>
        </w:r>
      </w:hyperlink>
      <w:r>
        <w:t xml:space="preserve"> </w:t>
      </w:r>
    </w:p>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fdce50c2e061414d"/>
      <w:footerReference w:type="default" r:id="Rb088e852e23a4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 w:name="Segoe UI">
    <w:panose1 w:val="020B0502040204020203"/>
    <w:charset w:val="01"/>
    <w:family w:val="auto"/>
    <w:notTrueType w:val="off"/>
    <w:pitch w:val="variable"/>
    <w:sig w:usb0="E4002EFF" w:usb1="C000E47F" w:usb2="00000009" w:usb3="00000000" w:csb0="200001FF" w:csb1="00000000"/>
  </w:font>
  <w:font w:name="Times New Roman">
    <w:panose1 w:val="02020603050405020304"/>
    <w:charset w:val="01"/>
    <w:family w:val="auto"/>
    <w:notTrueType w:val="off"/>
    <w:pitch w:val="variable"/>
    <w:sig w:usb0="E0002EFF" w:usb1="C000785B" w:usb2="00000009" w:usb3="00000000" w:csb0="400001FF" w:csb1="FFFF0000"/>
  </w:font>
  <w:font w:name="Calibri">
    <w:panose1 w:val="020F0502020204030204"/>
    <w:charset w:val="01"/>
    <w:family w:val="auto"/>
    <w:notTrueType w:val="off"/>
    <w:pitch w:val="variable"/>
    <w:sig w:usb0="E0002AFF" w:usb1="C000247B" w:usb2="00000009" w:usb3="00000000" w:csb0="200001FF" w:csb1="00000000"/>
  </w:font>
  <w:font w:name="MS Gothic">
    <w:panose1 w:val="020B0609070205080204"/>
    <w:charset w:val="01"/>
    <w:family w:val="auto"/>
    <w:notTrueType w:val="off"/>
    <w:pitch w:val="fixed"/>
    <w:sig w:usb0="E00002FF" w:usb1="6AC7FDFB" w:usb2="08000012" w:usb3="00000000" w:csb0="4002009F" w:csb1="DFD70000"/>
    <w:altName w:val="ＭＳ ゴシック"/>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v1.0</w:t>
    </w:r>
  </w:p>
  <w:p>
    <w:pPr>
      <w:pStyle w:val="footer"/>
    </w:pPr>
  </w:p>
  <w:p>
    <w:pPr>
      <w:rPr>
        <w:rFonts w:ascii="Calibri" w:hAnsi="Calibri" w:cs="Calibri"/>
      </w:rPr>
      <w:pStyle w:val="footer"/>
    </w:pPr>
    <w:r>
      <w:t>*</w:t>
    </w:r>
    <w:r>
      <w:rPr>
        <w:sz w:val="20"/>
        <w:szCs w:val="20"/>
      </w:rPr>
      <w:t>Assumed impacted parties of the proposed change, all parties are encouraged to review</w:t>
    </w:r>
    <w:r>
      <mc:AlternateContent>
        <mc:Choice Requires="wps">
          <w:drawing>
            <wp:anchor allowOverlap="1" layoutInCell="1" relativeHeight="251658245"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6"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f8a1058f48854b26"/>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4"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2"/>
    <w:multiLevelType w:val="hybridMultilevel"/>
    <w:name w:val="ListStyle2"/>
    <w:lvl w:ilvl="0">
      <w:numFmt w:val="decimal"/>
      <w:start w:val="1"/>
      <w:lvlText w:val="%1."/>
      <w:lvlJc w:val="left"/>
      <w:pPr>
        <w:tabs>
          <w:tab w:val="num" w:leader="none" w:pos="720"/>
        </w:tabs>
        <w:ind w:hanging="360" w:left="720"/>
      </w:pPr>
    </w:lvl>
    <w:lvl w:ilvl="1">
      <w:numFmt w:val="decimal"/>
      <w:start w:val="1"/>
      <w:lvlText w:val="%2."/>
      <w:lvlJc w:val="left"/>
      <w:pPr>
        <w:tabs>
          <w:tab w:val="num" w:leader="none" w:pos="1440"/>
        </w:tabs>
        <w:ind w:hanging="360" w:left="1440"/>
      </w:pPr>
    </w:lvl>
    <w:lvl w:ilvl="2">
      <w:numFmt w:val="decimal"/>
      <w:start w:val="1"/>
      <w:lvlText w:val="%3."/>
      <w:lvlJc w:val="left"/>
      <w:pPr>
        <w:tabs>
          <w:tab w:val="num" w:leader="none" w:pos="2160"/>
        </w:tabs>
        <w:ind w:hanging="360" w:left="2160"/>
      </w:pPr>
    </w:lvl>
    <w:lvl w:ilvl="3">
      <w:numFmt w:val="decimal"/>
      <w:start w:val="1"/>
      <w:lvlText w:val="%4."/>
      <w:lvlJc w:val="left"/>
      <w:pPr>
        <w:tabs>
          <w:tab w:val="num" w:leader="none" w:pos="2880"/>
        </w:tabs>
        <w:ind w:hanging="360" w:left="2880"/>
      </w:pPr>
    </w:lvl>
    <w:lvl w:ilvl="4">
      <w:numFmt w:val="decimal"/>
      <w:start w:val="1"/>
      <w:lvlText w:val="%5."/>
      <w:lvlJc w:val="left"/>
      <w:pPr>
        <w:tabs>
          <w:tab w:val="num" w:leader="none" w:pos="3600"/>
        </w:tabs>
        <w:ind w:hanging="360" w:left="3600"/>
      </w:pPr>
    </w:lvl>
    <w:lvl w:ilvl="5">
      <w:numFmt w:val="decimal"/>
      <w:start w:val="1"/>
      <w:lvlText w:val="%6."/>
      <w:lvlJc w:val="left"/>
      <w:pPr>
        <w:tabs>
          <w:tab w:val="num" w:leader="none" w:pos="4320"/>
        </w:tabs>
        <w:ind w:hanging="360" w:left="4320"/>
      </w:pPr>
    </w:lvl>
    <w:lvl w:ilvl="6">
      <w:numFmt w:val="decimal"/>
      <w:start w:val="1"/>
      <w:lvlText w:val="%7."/>
      <w:lvlJc w:val="left"/>
      <w:pPr>
        <w:tabs>
          <w:tab w:val="num" w:leader="none" w:pos="5040"/>
        </w:tabs>
        <w:ind w:hanging="360" w:left="5040"/>
      </w:pPr>
    </w:lvl>
    <w:lvl w:ilvl="7">
      <w:numFmt w:val="decimal"/>
      <w:start w:val="1"/>
      <w:lvlText w:val="%8."/>
      <w:lvlJc w:val="left"/>
      <w:pPr>
        <w:tabs>
          <w:tab w:val="num" w:leader="none" w:pos="5760"/>
        </w:tabs>
        <w:ind w:hanging="360" w:left="5760"/>
      </w:pPr>
    </w:lvl>
    <w:lvl w:ilvl="8">
      <w:numFmt w:val="decimal"/>
      <w:start w:val="1"/>
      <w:lvlText w:val="%9."/>
      <w:lvlJc w:val="left"/>
      <w:pPr>
        <w:tabs>
          <w:tab w:val="num" w:leader="none" w:pos="6480"/>
        </w:tabs>
        <w:ind w:hanging="360" w:left="6480"/>
      </w:pPr>
    </w:lvl>
  </w:abstractNum>
  <w:abstractNum w:abstractNumId="1">
    <w:styleLink w:val="ListStyle3"/>
    <w:multiLevelType w:val="hybridMultilevel"/>
    <w:name w:val="ListStyle3"/>
    <w:lvl w:ilvl="0">
      <w:numFmt w:val="bullet"/>
      <w:start w:val="1"/>
      <w:lvlText w:val=""/>
      <w:lvlJc w:val="left"/>
      <w:pPr>
        <w:ind w:hanging="360" w:left="1080"/>
      </w:pPr>
      <w:rPr>
        <w:rFonts w:ascii="Symbol" w:hAnsi="Symbol"/>
      </w:rPr>
    </w:lvl>
    <w:lvl w:ilvl="1">
      <w:numFmt w:val="bullet"/>
      <w:start w:val="1"/>
      <w:lvlText w:val="o"/>
      <w:lvlJc w:val="left"/>
      <w:pPr>
        <w:ind w:hanging="360" w:left="1800"/>
      </w:pPr>
      <w:rPr>
        <w:rFonts w:ascii="Courier New" w:hAnsi="Courier New" w:cs="Courier New"/>
      </w:rPr>
    </w:lvl>
    <w:lvl w:ilvl="2">
      <w:numFmt w:val="bullet"/>
      <w:start w:val="1"/>
      <w:lvlText w:val=""/>
      <w:lvlJc w:val="left"/>
      <w:pPr>
        <w:ind w:hanging="360" w:left="2520"/>
      </w:pPr>
      <w:rPr>
        <w:rFonts w:ascii="Wingdings" w:hAnsi="Wingdings"/>
      </w:rPr>
    </w:lvl>
    <w:lvl w:ilvl="3">
      <w:numFmt w:val="bullet"/>
      <w:start w:val="1"/>
      <w:lvlText w:val=""/>
      <w:lvlJc w:val="left"/>
      <w:pPr>
        <w:ind w:hanging="360" w:left="3240"/>
      </w:pPr>
      <w:rPr>
        <w:rFonts w:ascii="Symbol" w:hAnsi="Symbol"/>
      </w:rPr>
    </w:lvl>
    <w:lvl w:ilvl="4">
      <w:numFmt w:val="bullet"/>
      <w:start w:val="1"/>
      <w:lvlText w:val="o"/>
      <w:lvlJc w:val="left"/>
      <w:pPr>
        <w:ind w:hanging="360" w:left="3960"/>
      </w:pPr>
      <w:rPr>
        <w:rFonts w:ascii="Courier New" w:hAnsi="Courier New" w:cs="Courier New"/>
      </w:rPr>
    </w:lvl>
    <w:lvl w:ilvl="5">
      <w:numFmt w:val="bullet"/>
      <w:start w:val="1"/>
      <w:lvlText w:val=""/>
      <w:lvlJc w:val="left"/>
      <w:pPr>
        <w:ind w:hanging="360" w:left="4680"/>
      </w:pPr>
      <w:rPr>
        <w:rFonts w:ascii="Wingdings" w:hAnsi="Wingdings"/>
      </w:rPr>
    </w:lvl>
    <w:lvl w:ilvl="6">
      <w:numFmt w:val="bullet"/>
      <w:start w:val="1"/>
      <w:lvlText w:val=""/>
      <w:lvlJc w:val="left"/>
      <w:pPr>
        <w:ind w:hanging="360" w:left="5400"/>
      </w:pPr>
      <w:rPr>
        <w:rFonts w:ascii="Symbol" w:hAnsi="Symbol"/>
      </w:rPr>
    </w:lvl>
    <w:lvl w:ilvl="7">
      <w:numFmt w:val="bullet"/>
      <w:start w:val="1"/>
      <w:lvlText w:val="o"/>
      <w:lvlJc w:val="left"/>
      <w:pPr>
        <w:ind w:hanging="360" w:left="6120"/>
      </w:pPr>
      <w:rPr>
        <w:rFonts w:ascii="Courier New" w:hAnsi="Courier New" w:cs="Courier New"/>
      </w:rPr>
    </w:lvl>
    <w:lvl w:ilvl="8">
      <w:numFmt w:val="bullet"/>
      <w:start w:val="1"/>
      <w:lvlText w:val=""/>
      <w:lvlJc w:val="left"/>
      <w:pPr>
        <w:ind w:hanging="360" w:left="6840"/>
      </w:pPr>
      <w:rPr>
        <w:rFonts w:ascii="Wingdings" w:hAnsi="Wingdings"/>
      </w:rPr>
    </w:lvl>
  </w:abstractNum>
  <w:abstractNum w:abstractNumId="2">
    <w:styleLink w:val="ListStyle5"/>
    <w:multiLevelType w:val="hybridMultilevel"/>
    <w:name w:val="ListStyle5"/>
    <w:lvl w:ilvl="0">
      <w:numFmt w:val="bullet"/>
      <w:start w:val="1"/>
      <w:lvlText w:val=""/>
      <w:lvlJc w:val="left"/>
      <w:pPr>
        <w:ind w:hanging="360" w:left="360"/>
      </w:pPr>
      <w:rPr>
        <w:rFonts w:ascii="Symbol" w:hAnsi="Symbol"/>
      </w:rPr>
    </w:lvl>
    <w:lvl w:ilvl="1">
      <w:numFmt w:val="bullet"/>
      <w:start w:val="1"/>
      <w:lvlText w:val=""/>
      <w:lvlJc w:val="left"/>
      <w:pPr>
        <w:ind w:hanging="360" w:left="1080"/>
      </w:pPr>
      <w:rPr>
        <w:rFonts w:ascii="Symbol" w:hAnsi="Symbol"/>
      </w:rPr>
    </w:lvl>
    <w:lvl w:ilvl="2">
      <w:numFmt w:val="bullet"/>
      <w:start w:val="1"/>
      <w:lvlText w:val=""/>
      <w:lvlJc w:val="left"/>
      <w:pPr>
        <w:ind w:hanging="360" w:left="1800"/>
      </w:pPr>
      <w:rPr>
        <w:rFonts w:ascii="Wingdings" w:hAnsi="Wingdings"/>
      </w:rPr>
    </w:lvl>
    <w:lvl w:ilvl="3">
      <w:numFmt w:val="bullet"/>
      <w:start w:val="1"/>
      <w:lvlText w:val=""/>
      <w:lvlJc w:val="left"/>
      <w:pPr>
        <w:ind w:hanging="360" w:left="2520"/>
      </w:pPr>
      <w:rPr>
        <w:rFonts w:ascii="Symbol" w:hAnsi="Symbol"/>
      </w:rPr>
    </w:lvl>
    <w:lvl w:ilvl="4">
      <w:numFmt w:val="bullet"/>
      <w:start w:val="1"/>
      <w:lvlText w:val="o"/>
      <w:lvlJc w:val="left"/>
      <w:pPr>
        <w:ind w:hanging="360" w:left="3240"/>
      </w:pPr>
      <w:rPr>
        <w:rFonts w:ascii="Courier New" w:hAnsi="Courier New" w:cs="Courier New"/>
      </w:rPr>
    </w:lvl>
    <w:lvl w:ilvl="5">
      <w:numFmt w:val="bullet"/>
      <w:start w:val="1"/>
      <w:lvlText w:val=""/>
      <w:lvlJc w:val="left"/>
      <w:pPr>
        <w:ind w:hanging="360" w:left="3960"/>
      </w:pPr>
      <w:rPr>
        <w:rFonts w:ascii="Wingdings" w:hAnsi="Wingdings"/>
      </w:rPr>
    </w:lvl>
    <w:lvl w:ilvl="6">
      <w:numFmt w:val="bullet"/>
      <w:start w:val="1"/>
      <w:lvlText w:val=""/>
      <w:lvlJc w:val="left"/>
      <w:pPr>
        <w:ind w:hanging="360" w:left="4680"/>
      </w:pPr>
      <w:rPr>
        <w:rFonts w:ascii="Symbol" w:hAnsi="Symbol"/>
      </w:rPr>
    </w:lvl>
    <w:lvl w:ilvl="7">
      <w:numFmt w:val="bullet"/>
      <w:start w:val="1"/>
      <w:lvlText w:val="o"/>
      <w:lvlJc w:val="left"/>
      <w:pPr>
        <w:ind w:hanging="360" w:left="5400"/>
      </w:pPr>
      <w:rPr>
        <w:rFonts w:ascii="Courier New" w:hAnsi="Courier New" w:cs="Courier New"/>
      </w:rPr>
    </w:lvl>
    <w:lvl w:ilvl="8">
      <w:numFmt w:val="bullet"/>
      <w:start w:val="1"/>
      <w:lvlText w:val=""/>
      <w:lvlJc w:val="left"/>
      <w:pPr>
        <w:ind w:hanging="360" w:left="6120"/>
      </w:pPr>
      <w:rPr>
        <w:rFonts w:ascii="Wingdings" w:hAnsi="Wingdings"/>
      </w:rPr>
    </w:lvl>
  </w:abstractNum>
  <w:abstractNum w:abstractNumId="3">
    <w:styleLink w:val="ListStyle4"/>
    <w:multiLevelType w:val="hybridMultilevel"/>
    <w:name w:val="ListStyle4"/>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num w:numId="1">
    <w:abstractNumId w:val="0"/>
  </w:num>
  <w:num w:numId="2">
    <w:abstractNumId w:val="1"/>
  </w:num>
  <w:num w:numId="3">
    <w:abstractNumId w:val="2"/>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Times New Roman" w:eastAsia="Times New Roman"/>
        <w:lang w:val="en-GB"/>
        <w:sz w:val="22"/>
        <w:szCs w:val="22"/>
      </w:rPr>
    </w:rPrDefault>
    <w:pPrDefault>
      <w:pPr>
        <w:spacing w:after="200" w:lineRule="auto" w:line="276"/>
      </w:pPr>
    </w:pPrDefault>
  </w:docDefaults>
  <w:style w:type="paragraph" w:styleId="Normal" w:default="1">
    <w:name w:val="Normal"/>
    <w:qFormat/>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Pr>
  </w:style>
  <w:style w:type="paragraph" w:styleId="heading 4">
    <w:name w:val="heading 4"/>
    <w:qFormat/>
    <w:basedOn w:val="Normal"/>
    <w:pPr>
      <w:keepLines w:val="1"/>
      <w:keepNext w:val="1"/>
      <w:spacing w:before="200" w:after="0"/>
      <w:outlineLvl w:val="3"/>
    </w:pPr>
    <w:rPr>
      <w:b w:val="1"/>
      <w:bCs w:val="1"/>
      <w:color w:val="3E5AA8"/>
      <w:i w:val="1"/>
      <w:iCs w:val="1"/>
    </w:rPr>
  </w:style>
  <w:style w:type="paragraph" w:styleId="heading 5">
    <w:name w:val="heading 5"/>
    <w:qFormat/>
    <w:basedOn w:val="Normal"/>
    <w:pPr>
      <w:keepLines w:val="1"/>
      <w:keepNext w:val="1"/>
      <w:spacing w:before="200" w:after="0"/>
      <w:outlineLvl w:val="4"/>
    </w:pPr>
    <w:rPr>
      <w:color w:val="1F2D54"/>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character" w:styleId="List Paragraph Char">
    <w:name w:val="List Paragraph Char"/>
    <w:qFormat/>
  </w:style>
  <w:style w:type="character" w:styleId="FollowedHyperlink">
    <w:name w:val="FollowedHyperlink"/>
    <w:qFormat/>
    <w:basedOn w:val="Default Paragraph Font"/>
    <w:rPr>
      <w:color w:val="D2232A"/>
      <w:u w:val="single"/>
    </w:rPr>
  </w:style>
  <w:style w:type="paragraph" w:styleId="Normal (Web)">
    <w:name w:val="Normal (Web)"/>
    <w:qFormat/>
    <w:basedOn w:val="Normal"/>
    <w:pPr>
      <w:spacing w:before="100" w:beforeAutospacing="1" w:after="100" w:afterAutospacing="1" w:lineRule="auto" w:line="240"/>
    </w:pPr>
    <w:rPr>
      <w:rFonts w:ascii="Calibri" w:hAnsi="Calibri" w:cs="Calibri"/>
    </w:rPr>
  </w:style>
  <w:style w:type="paragraph" w:styleId="paragraph">
    <w:name w:val="paragraph"/>
    <w:qFormat/>
    <w:basedOn w:val="Normal"/>
    <w:pPr>
      <w:spacing w:before="100" w:beforeAutospacing="1" w:after="100" w:afterAutospacing="1" w:lineRule="auto" w:line="240"/>
    </w:pPr>
    <w:rPr>
      <w:rFonts w:ascii="Times New Roman" w:hAnsi="Times New Roman"/>
      <w:sz w:val="24"/>
      <w:szCs w:val="24"/>
    </w:rPr>
  </w:style>
  <w:style w:type="character" w:styleId="normaltextrun">
    <w:name w:val="normaltextrun"/>
    <w:qFormat/>
    <w:basedOn w:val="Default Paragraph Font"/>
  </w:style>
  <w:style w:type="character" w:styleId="eop">
    <w:name w:val="eop"/>
    <w:qFormat/>
    <w:basedOn w:val="Default Paragraph Font"/>
  </w:style>
  <w:style w:type="paragraph" w:styleId="Revision">
    <w:name w:val="Revision"/>
    <w:qFormat/>
    <w:pPr>
      <w:spacing w:after="0" w:lineRule="auto" w:line="240"/>
    </w:pPr>
  </w:style>
  <w:style w:type="character" w:styleId="Mention">
    <w:name w:val="Mention"/>
    <w:qFormat/>
    <w:basedOn w:val="Default Paragraph Font"/>
    <w:rPr>
      <w:shd w:val="clear" w:fill="E1DFDD"/>
      <w:color w:val="2B579A"/>
    </w:rPr>
  </w:style>
  <w:style w:type="numbering" w:styleId="ListStyle2">
    <w:name w:val="ListStyle2"/>
    <w:qFormat/>
  </w:style>
  <w:style w:type="numbering" w:styleId="ListStyle3">
    <w:name w:val="ListStyle3"/>
    <w:qFormat/>
  </w:style>
  <w:style w:type="numbering" w:styleId="ListStyle5">
    <w:name w:val="ListStyle5"/>
    <w:qFormat/>
  </w:style>
  <w:style w:type="numbering" w:styleId="ListStyle4">
    <w:name w:val="ListStyle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xoserve.com/change/customer-change-register/xrn-5556d-cms-rebuild-version-13/" TargetMode="External" Id="Rc4764b5f1934480f" /><Relationship Type="http://schemas.openxmlformats.org/officeDocument/2006/relationships/hyperlink" Target="mailto:James.Barlow@xoserve.com" TargetMode="External" Id="R7f937154f075473a" /><Relationship Type="http://schemas.openxmlformats.org/officeDocument/2006/relationships/hyperlink" Target="https://www.eventbrite.co.uk/e/cms-rebuild-focus-groups-registration-302607797067" TargetMode="External" Id="Rf00ca68ed3de4e63" /><Relationship Type="http://schemas.openxmlformats.org/officeDocument/2006/relationships/hyperlink" Target="https://www.xoserve.com/products-services/data-products/contact-management-service-cms/cms-rebuild/" TargetMode="External" Id="Re1b2d9b8c15e4612" /><Relationship Type="http://schemas.openxmlformats.org/officeDocument/2006/relationships/hyperlink" Target="https://www.xoserve.com/products-services/data-products/contact-management-service-cms/cms-rebuild/" TargetMode="External" Id="R8a6e95dfb3e84252" /><Relationship Type="http://schemas.openxmlformats.org/officeDocument/2006/relationships/hyperlink" Target="https://www.xoserve.com/change/customer-change-register/xrn-5556-cms-rebuild-parent-xrn/" TargetMode="External" Id="R7e14efddcec84906" /><Relationship Type="http://schemas.openxmlformats.org/officeDocument/2006/relationships/hyperlink" Target="https://www.xoserve.com/change/customer-change-register/xrn-5556d-cms-rebuild-version-13/" TargetMode="External" Id="R51b73e16377d42d2" /><Relationship Type="http://schemas.openxmlformats.org/officeDocument/2006/relationships/hyperlink" Target="https://umbraco.xoserve.com/media/re3fjab4/iso-and-dtl-process-maps-external.pdf" TargetMode="External" Id="R604a32f7148e4a1c" /><Relationship Type="http://schemas.openxmlformats.org/officeDocument/2006/relationships/hyperlink" Target="https://www.xoserve.com/products-services/data-products/contact-management-service-cms/cms-rebuild/" TargetMode="External" Id="R315ebee39f8c4ffb" /><Relationship Type="http://schemas.openxmlformats.org/officeDocument/2006/relationships/hyperlink" Target="https://rise.articulate.com/share/dgQzl3ax38sN6oVrNCenQW1RKMFHStYO" TargetMode="External" Id="Rfaa0547e3c0344e5" /><Relationship Type="http://schemas.openxmlformats.org/officeDocument/2006/relationships/hyperlink" Target="mailto:uklink@xoserve.com" TargetMode="External" Id="R53d8ba79993e4b38" /><Relationship Type="http://schemas.openxmlformats.org/officeDocument/2006/relationships/hyperlink" Target="mailto:uklink@xoserve.com" TargetMode="External" Id="Rc1af18def2294764" /><Relationship Type="http://schemas.openxmlformats.org/officeDocument/2006/relationships/hyperlink" Target="mailto:uklink@xoserve.com" TargetMode="External" Id="R4d9d2d1591b04ced" /><Relationship Type="http://schemas.openxmlformats.org/officeDocument/2006/relationships/header" Target="header1.xml" Id="Rfdce50c2e061414d" /><Relationship Type="http://schemas.openxmlformats.org/officeDocument/2006/relationships/footer" Target="footer1.xml" Id="Rb088e852e23a4473" /><Relationship Type="http://schemas.openxmlformats.org/officeDocument/2006/relationships/customXml" Target="/customXml/item1.xml" Id="Ra443c539efc14973" /><Relationship Type="http://schemas.openxmlformats.org/officeDocument/2006/relationships/customXml" Target="/customXml/item2.xml" Id="R3ff98cbe34b84731" /><Relationship Type="http://schemas.openxmlformats.org/officeDocument/2006/relationships/customXml" Target="/customXml/item3.xml" Id="R2df98994ff1d4b23" /><Relationship Type="http://schemas.openxmlformats.org/officeDocument/2006/relationships/customXml" Target="/customXml/item4.xml" Id="R9d31ff5f0ff54400" /><Relationship Type="http://schemas.openxmlformats.org/officeDocument/2006/relationships/styles" Target="styles.xml" Id="R72a19ea1c14c48df" /><Relationship Type="http://schemas.openxmlformats.org/officeDocument/2006/relationships/fontTable" Target="fontTable.xml" Id="Rd521a34925864f60" /><Relationship Type="http://schemas.openxmlformats.org/officeDocument/2006/relationships/numbering" Target="numbering.xml" Id="Rb2a53b88addb49a0" /><Relationship Type="http://schemas.openxmlformats.org/officeDocument/2006/relationships/settings" Target="settings.xml" Id="R9852a945549e4f9e" /><Relationship Type="http://schemas.openxmlformats.org/officeDocument/2006/relationships/webSettings" Target="webSettings.xml" Id="R076566735e704090" /><Relationship Type="http://schemas.openxmlformats.org/officeDocument/2006/relationships/glossaryDocument" Target="glossary/document.xml" Id="Ra2ce09257c8d45fc" /></Relationships>
</file>

<file path=word/_rels/header1.xml.rels>&#65279;<?xml version="1.0" encoding="utf-8"?><Relationships xmlns="http://schemas.openxmlformats.org/package/2006/relationships"><Relationship Type="http://schemas.openxmlformats.org/officeDocument/2006/relationships/image" Target="media/jnlgnfny.png" Id="Rf8a1058f48854b26" /></Relationships>
</file>

<file path=word/glossary/_rels/document.xml.rels>&#65279;<?xml version="1.0" encoding="utf-8"?><Relationships xmlns="http://schemas.openxmlformats.org/package/2006/relationships"><Relationship Type="http://schemas.openxmlformats.org/officeDocument/2006/relationships/styles" Target="styles.xml" Id="Rf077f2bbfd7f4e54" /><Relationship Type="http://schemas.openxmlformats.org/officeDocument/2006/relationships/fontTable" Target="fontTable.xml" Id="R53a7a9d42dcb4f34" /><Relationship Type="http://schemas.openxmlformats.org/officeDocument/2006/relationships/settings" Target="settings.xml" Id="R1c02c97da44f48d8" /><Relationship Type="http://schemas.openxmlformats.org/officeDocument/2006/relationships/webSettings" Target="webSettings.xml" Id="R3c086ef3329146c9" /></Relationships>
</file>

<file path=word/glossary/document.xml><?xml version="1.0" encoding="utf-8"?>
<w:glossary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docParts>
    <w:docPart>
      <w:docPartPr>
        <w:name w:val="DDDED1779F6A45C091AB6C1D2CF1B5F9"/>
        <w:category>
          <w:name w:val="General"/>
          <w:gallery w:val="placeholder"/>
        </w:category>
        <w:types>
          <w:type w:val="bbPlcHdr"/>
        </w:types>
        <w:behaviors>
          <w:behavior w:val="content"/>
        </w:behaviors>
        <w:guid w:val="{71778E02-5DDC-442E-8C38-BBC79954FB57}"/>
      </w:docPartPr>
      <w:docPartBody>
        <w:p>
          <w:pPr>
            <w:pStyle w:val="DDDED1779F6A45C091AB6C1D2CF1B5F9"/>
          </w:pPr>
          <w:r>
            <w:rPr>
              <w:rStyle w:val="Placeholder 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auto"/>
    <w:notTrueType w:val="off"/>
    <w:pitch w:val="variable"/>
    <w:sig w:usb0="E0002EFF" w:usb1="C000785B" w:usb2="00000009" w:usb3="00000000" w:csb0="4000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cs="Times New Roman" w:eastAsia="Times New Roman"/>
        <w:lang w:val="en-GB"/>
        <w:sz w:val="22"/>
        <w:szCs w:val="22"/>
      </w:rPr>
    </w:rPrDefault>
    <w:pPrDefault>
      <w:pPr>
        <w:spacing w:after="160" w:lineRule="auto" w:line="259"/>
      </w:pPr>
    </w:pPrDefault>
  </w:docDefaults>
  <w:style w:type="paragraph" w:styleId="Normal" w:default="1">
    <w:name w:val="Normal"/>
    <w:qFormat/>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character" w:styleId="Placeholder Text">
    <w:name w:val="Placeholder Text"/>
    <w:qFormat/>
    <w:basedOn w:val="Default Paragraph Font"/>
    <w:rPr>
      <w:color w:val="808080"/>
    </w:rPr>
  </w:style>
  <w:style w:type="paragraph" w:styleId="DDDED1779F6A45C091AB6C1D2CF1B5F9">
    <w:name w:val="DDDED1779F6A45C091AB6C1D2CF1B5F9"/>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customXml/_rels/item1.xml.rels>&#65279;<?xml version="1.0" encoding="utf-8"?><Relationships xmlns="http://schemas.openxmlformats.org/package/2006/relationships"><Relationship Type="http://schemas.openxmlformats.org/officeDocument/2006/relationships/customXmlProps" Target="itemProps1.xml" Id="R082940490b524d2f" /></Relationships>
</file>

<file path=customXml/_rels/item2.xml.rels>&#65279;<?xml version="1.0" encoding="utf-8"?><Relationships xmlns="http://schemas.openxmlformats.org/package/2006/relationships"><Relationship Type="http://schemas.openxmlformats.org/officeDocument/2006/relationships/customXmlProps" Target="itemProps2.xml" Id="Rf57c7ffc9ca145c1" /></Relationships>
</file>

<file path=customXml/_rels/item3.xml.rels>&#65279;<?xml version="1.0" encoding="utf-8"?><Relationships xmlns="http://schemas.openxmlformats.org/package/2006/relationships"><Relationship Type="http://schemas.openxmlformats.org/officeDocument/2006/relationships/customXmlProps" Target="itemProps3.xml" Id="Rf4afe7266c684ebe" /></Relationships>
</file>

<file path=customXml/_rels/item4.xml.rels>&#65279;<?xml version="1.0" encoding="utf-8"?><Relationships xmlns="http://schemas.openxmlformats.org/package/2006/relationships"><Relationship Type="http://schemas.openxmlformats.org/officeDocument/2006/relationships/customXmlProps" Target="itemProps4.xml" Id="R36b6c95cc8524a70"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Props1.xml><?xml version="1.0" encoding="utf-8"?>
<ds:datastoreItem xmlns:ds="http://schemas.openxmlformats.org/officeDocument/2006/customXml" ds:itemID="{60A847F8-D9D8-4329-9E31-309995104790}">
  <ds:schemaRefs>
    <ds:schemaRef ds:uri="http://schemas.openxmlformats.org/officeDocument/2006/bibliography"/>
  </ds:schemaRefs>
</ds:datastoreItem>
</file>

<file path=customXml/itemProps2.xml><?xml version="1.0" encoding="utf-8"?>
<ds:datastoreItem xmlns:ds="http://schemas.openxmlformats.org/officeDocument/2006/customXml" ds:itemID="{A33C3993-4827-4CB1-8C94-FFCA1B800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7</Pages>
  <Words>1738</Words>
  <Characters>9909</Characters>
  <CharactersWithSpaces>11624</CharactersWithSpaces>
  <Lines>82</Lin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Hadfield</dc:creator>
  <cp:lastModifiedBy>Kate Lancaster</cp:lastModifiedBy>
  <dcterms:created xsi:type="dcterms:W3CDTF">2023-03-14T17:05:00Z</dcterms:created>
  <dcterms:modified xsi:type="dcterms:W3CDTF">2023-03-14T17:05:00Z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