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metadata/core-properties" Target="/docProps/core.xml" Id="R09a0fa2aff734e5a" /><Relationship Type="http://schemas.openxmlformats.org/officeDocument/2006/relationships/extended-properties" Target="/docProps/app.xml" Id="R35b95beb79e94ba6" /><Relationship Type="http://schemas.openxmlformats.org/officeDocument/2006/relationships/custom-properties" Target="/docProps/custom.xml" Id="R576df7ac87a049a3"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xml:space="preserve">
  <w:body>
    <w:p>
      <w:pPr>
        <w:rPr>
          <w:sz w:val="32"/>
          <w:szCs w:val="32"/>
        </w:rPr>
        <w:jc w:val="center"/>
      </w:pPr>
    </w:p>
    <w:p>
      <w:pPr>
        <w:rPr>
          <w:sz w:val="32"/>
          <w:szCs w:val="32"/>
        </w:rPr>
        <w:jc w:val="center"/>
      </w:pPr>
    </w:p>
    <w:p>
      <w:pPr>
        <w:rPr>
          <w:rFonts w:ascii="Century Gothic" w:hAnsi="Century Gothic"/>
        </w:rPr>
        <w:pStyle w:val="Title"/>
      </w:pPr>
      <w:r>
        <w:rPr>
          <w:rFonts w:ascii="Century Gothic" w:hAnsi="Century Gothic"/>
        </w:rPr>
        <w:t>High Level Solution Options Change Pack</w:t>
      </w:r>
    </w:p>
    <w:p>
      <w:pPr>
        <w:pStyle w:val="heading 1"/>
      </w:pPr>
      <w:r>
        <w:t>Communication detail</w:t>
      </w:r>
    </w:p>
    <w:tbl>
      <w:tblPr>
        <w:tblStyle w:val="List Table 3"/>
        <w:tblW w:type="dxa" w:w="9093"/>
        <w:tblLook w:firstColumn="1" w:firstRow="1" w:lastColumn="0" w:lastRow="0" w:noHBand="0" w:noVBand="1"/>
      </w:tblPr>
      <w:tblGrid>
        <w:gridCol w:w="2830"/>
        <w:gridCol w:w="6263"/>
      </w:tblGrid>
      <w:tr>
        <w:trPr>
          <w:trHeight w:hRule="atLeast" w:val="444"/>
        </w:trPr>
        <w:tc>
          <w:tcPr>
            <w:shd w:val="clear" w:fill="212133"/>
            <w:tcW w:type="dxa" w:w="2830"/>
            <w:vAlign w:val="center"/>
            <w:tcBorders>
              <w:right w:val="single" w:sz="4" w:space="0" w:color="212133"/>
              <w:bottom w:val="single" w:sz="4" w:space="0" w:color="F5F7FF"/>
            </w:tcBorders>
          </w:tcPr>
          <w:p>
            <w:pPr>
              <w:rPr>
                <w:b w:val="0"/>
                <w:bCs w:val="0"/>
                <w:color w:val="FFFFFF"/>
              </w:rPr>
              <w:jc w:val="right"/>
            </w:pPr>
            <w:r>
              <w:rPr>
                <w:b w:val="0"/>
                <w:bCs w:val="0"/>
                <w:color w:val="FFFFFF"/>
              </w:rPr>
              <w:t>Comm Reference:</w:t>
            </w:r>
          </w:p>
        </w:tc>
        <w:tc>
          <w:tcPr>
            <w:shd w:val="clear" w:fill="FFFFFF"/>
            <w:tcW w:type="dxa" w:w="6263"/>
            <w:vAlign w:val="center"/>
            <w:tcBorders>
              <w:left w:val="single" w:sz="4" w:space="0" w:color="212133"/>
              <w:right w:val="single" w:sz="4" w:space="0" w:color="212133"/>
            </w:tcBorders>
          </w:tcPr>
          <w:p>
            <w:pPr>
              <w:rPr>
                <w:b w:val="0"/>
                <w:bCs w:val="0"/>
                <w:color w:val="212133"/>
              </w:rPr>
            </w:pPr>
            <w:r>
              <w:rPr>
                <w:b w:val="0"/>
                <w:bCs w:val="0"/>
                <w:color w:val="212133"/>
              </w:rPr>
              <w:t>3407.</w:t>
            </w:r>
            <w:r>
              <w:rPr>
                <w:b w:val="0"/>
                <w:bCs w:val="0"/>
                <w:color w:val="212133"/>
              </w:rPr>
              <w:t>1</w:t>
            </w:r>
            <w:r>
              <w:rPr>
                <w:b w:val="0"/>
                <w:bCs w:val="0"/>
                <w:color w:val="212133"/>
              </w:rPr>
              <w:t xml:space="preserve"> - KL - KG</w:t>
            </w:r>
          </w:p>
        </w:tc>
      </w:tr>
      <w:tr>
        <w:trPr>
          <w:trHeight w:hRule="atLeast" w:val="423"/>
        </w:trPr>
        <w:tc>
          <w:tcPr>
            <w:shd w:val="clear" w:fill="212133"/>
            <w:tcW w:type="dxa" w:w="2830"/>
            <w:vAlign w:val="center"/>
            <w:tcBorders>
              <w:top w:val="single" w:sz="4" w:space="0" w:color="F5F7FF"/>
              <w:right w:val="single" w:sz="4" w:space="0" w:color="212133"/>
              <w:bottom w:val="single" w:sz="4" w:space="0" w:color="F5F7FF"/>
            </w:tcBorders>
          </w:tcPr>
          <w:p>
            <w:pPr>
              <w:rPr>
                <w:b w:val="0"/>
                <w:bCs w:val="0"/>
                <w:color w:val="FFFFFF"/>
              </w:rPr>
              <w:jc w:val="right"/>
            </w:pPr>
            <w:r>
              <w:rPr>
                <w:b w:val="0"/>
                <w:bCs w:val="0"/>
                <w:color w:val="FFFFFF"/>
              </w:rPr>
              <w:t>Comm Title:</w:t>
            </w:r>
          </w:p>
        </w:tc>
        <w:tc>
          <w:tcPr>
            <w:tcW w:type="dxa" w:w="6263"/>
            <w:vAlign w:val="center"/>
            <w:tcBorders>
              <w:left w:val="single" w:sz="4" w:space="0" w:color="212133"/>
              <w:right w:val="single" w:sz="4" w:space="0" w:color="212133"/>
            </w:tcBorders>
          </w:tcPr>
          <w:p>
            <w:pPr>
              <w:rPr>
                <w:color w:val="212133"/>
              </w:rPr>
            </w:pPr>
            <w:r>
              <w:rPr>
                <w:color w:val="212133"/>
              </w:rPr>
              <w:t xml:space="preserve">XRN 5805 - </w:t>
            </w:r>
            <w:r>
              <w:rPr>
                <w:color w:val="212133"/>
              </w:rPr>
              <w:t xml:space="preserve">Alternative solution to address </w:t>
            </w:r>
            <w:r>
              <w:rPr>
                <w:color w:val="212133"/>
              </w:rPr>
              <w:t xml:space="preserve">instances </w:t>
            </w:r>
            <w:r>
              <w:rPr>
                <w:color w:val="212133"/>
              </w:rPr>
              <w:t xml:space="preserve">where </w:t>
            </w:r>
            <w:r>
              <w:rPr>
                <w:color w:val="212133"/>
              </w:rPr>
              <w:t xml:space="preserve">VBA </w:t>
            </w:r>
            <w:r>
              <w:rPr>
                <w:color w:val="212133"/>
              </w:rPr>
              <w:t>macro</w:t>
            </w:r>
            <w:r>
              <w:rPr>
                <w:color w:val="212133"/>
              </w:rPr>
              <w:t>s</w:t>
            </w:r>
            <w:r>
              <w:rPr>
                <w:color w:val="212133"/>
              </w:rPr>
              <w:t xml:space="preserve"> are present in </w:t>
            </w:r>
            <w:r>
              <w:rPr>
                <w:color w:val="212133"/>
              </w:rPr>
              <w:t xml:space="preserve">DN </w:t>
            </w:r>
            <w:r>
              <w:rPr>
                <w:color w:val="212133"/>
              </w:rPr>
              <w:t xml:space="preserve">templates </w:t>
            </w:r>
          </w:p>
        </w:tc>
      </w:tr>
      <w:tr>
        <w:trPr>
          <w:trHeight w:hRule="atLeast" w:val="415"/>
        </w:trPr>
        <w:tc>
          <w:tcPr>
            <w:shd w:val="clear" w:fill="212133"/>
            <w:tcW w:type="dxa" w:w="2830"/>
            <w:vAlign w:val="center"/>
            <w:tcBorders>
              <w:top w:val="single" w:sz="4" w:space="0" w:color="F5F7FF"/>
              <w:right w:val="single" w:sz="4" w:space="0" w:color="212133"/>
            </w:tcBorders>
          </w:tcPr>
          <w:p>
            <w:pPr>
              <w:rPr>
                <w:b w:val="0"/>
                <w:bCs w:val="0"/>
                <w:color w:val="FFFFFF"/>
              </w:rPr>
              <w:jc w:val="right"/>
            </w:pPr>
            <w:r>
              <w:rPr>
                <w:b w:val="0"/>
                <w:bCs w:val="0"/>
                <w:color w:val="FFFFFF"/>
              </w:rPr>
              <w:t>Comm Date:</w:t>
            </w:r>
          </w:p>
        </w:tc>
        <w:tc>
          <w:tcPr>
            <w:tcW w:type="dxa" w:w="6263"/>
            <w:vAlign w:val="center"/>
            <w:tcBorders>
              <w:left w:val="single" w:sz="4" w:space="0" w:color="212133"/>
              <w:right w:val="single" w:sz="4" w:space="0" w:color="212133"/>
            </w:tcBorders>
          </w:tcPr>
          <w:sdt>
            <w:sdtPr>
              <w:rPr>
                <w:rFonts w:cs="Calibri"/>
              </w:rPr>
              <w:id w:val="738138613"/>
              <w:date w:fullDate="2025-08-18T00:00:00Z">
                <w:dateFormat w:val="dd/MM/yyyy"/>
                <w:lid w:val="en-GB"/>
                <w:storeMappedDataAs w:val="dateTime"/>
                <w:calendar w:val="gregorian"/>
              </w:date>
            </w:sdtPr>
            <w:sdtContent>
              <w:p>
                <w:pPr/>
                <w:r>
                  <w:rPr>
                    <w:rFonts w:cs="Calibri"/>
                  </w:rPr>
                  <w:t>18/08/2025</w:t>
                </w:r>
              </w:p>
            </w:sdtContent>
          </w:sdt>
        </w:tc>
      </w:tr>
    </w:tbl>
    <w:p>
      <w:pPr/>
    </w:p>
    <w:p>
      <w:pPr>
        <w:pStyle w:val="heading 1"/>
      </w:pPr>
      <w:r>
        <w:t>Change Representation</w:t>
      </w:r>
    </w:p>
    <w:tbl>
      <w:tblPr>
        <w:tblStyle w:val="List Table 3"/>
        <w:tblW w:type="dxa" w:w="9093"/>
        <w:tblLook w:firstColumn="1" w:firstRow="1" w:lastColumn="0" w:lastRow="0" w:noHBand="0" w:noVBand="1"/>
      </w:tblPr>
      <w:tblGrid>
        <w:gridCol w:w="2830"/>
        <w:gridCol w:w="6263"/>
      </w:tblGrid>
      <w:tr>
        <w:trPr>
          <w:trHeight w:hRule="atLeast" w:val="444"/>
        </w:trPr>
        <w:tc>
          <w:tcPr>
            <w:shd w:val="clear" w:fill="212133"/>
            <w:tcW w:type="dxa" w:w="2830"/>
            <w:vAlign w:val="center"/>
            <w:tcBorders>
              <w:right w:val="single" w:sz="4" w:space="0" w:color="212133"/>
              <w:bottom w:val="single" w:sz="4" w:space="0" w:color="F5F7FF"/>
            </w:tcBorders>
          </w:tcPr>
          <w:p>
            <w:pPr>
              <w:rPr>
                <w:b w:val="0"/>
                <w:bCs w:val="0"/>
                <w:color w:val="FFFFFF"/>
              </w:rPr>
              <w:jc w:val="right"/>
            </w:pPr>
            <w:r>
              <w:rPr>
                <w:b w:val="0"/>
                <w:bCs w:val="0"/>
                <w:color w:val="FFFFFF"/>
              </w:rPr>
              <w:t>Action Required:</w:t>
            </w:r>
          </w:p>
        </w:tc>
        <w:tc>
          <w:tcPr>
            <w:shd w:val="clear" w:fill="FFFFFF"/>
            <w:tcW w:type="dxa" w:w="6263"/>
            <w:vAlign w:val="center"/>
            <w:tcBorders>
              <w:left w:val="single" w:sz="4" w:space="0" w:color="212133"/>
              <w:right w:val="single" w:sz="4" w:space="0" w:color="212133"/>
            </w:tcBorders>
          </w:tcPr>
          <w:p>
            <w:pPr>
              <w:rPr>
                <w:b w:val="0"/>
                <w:bCs w:val="0"/>
                <w:color w:val="212133"/>
              </w:rPr>
            </w:pPr>
            <w:r>
              <w:rPr>
                <w:b w:val="0"/>
                <w:bCs w:val="0"/>
                <w:color w:val="212133"/>
              </w:rPr>
              <w:t>For Representation</w:t>
            </w:r>
          </w:p>
        </w:tc>
      </w:tr>
      <w:tr>
        <w:trPr>
          <w:trHeight w:hRule="atLeast" w:val="423"/>
        </w:trPr>
        <w:tc>
          <w:tcPr>
            <w:shd w:val="clear" w:fill="212133"/>
            <w:tcW w:type="dxa" w:w="2830"/>
            <w:vAlign w:val="center"/>
            <w:tcBorders>
              <w:top w:val="single" w:sz="4" w:space="0" w:color="F5F7FF"/>
              <w:right w:val="single" w:sz="4" w:space="0" w:color="212133"/>
              <w:bottom w:val="single" w:sz="4" w:space="0" w:color="F5F7FF"/>
            </w:tcBorders>
          </w:tcPr>
          <w:p>
            <w:pPr>
              <w:rPr>
                <w:b w:val="0"/>
                <w:bCs w:val="0"/>
                <w:color w:val="FFFFFF"/>
              </w:rPr>
              <w:jc w:val="right"/>
            </w:pPr>
            <w:r>
              <w:rPr>
                <w:b w:val="0"/>
                <w:bCs w:val="0"/>
                <w:color w:val="FFFFFF"/>
              </w:rPr>
              <w:t>Close Out Date:</w:t>
            </w:r>
          </w:p>
        </w:tc>
        <w:tc>
          <w:tcPr>
            <w:tcW w:type="dxa" w:w="6263"/>
            <w:vAlign w:val="center"/>
            <w:tcBorders>
              <w:left w:val="single" w:sz="4" w:space="0" w:color="212133"/>
              <w:right w:val="single" w:sz="4" w:space="0" w:color="212133"/>
            </w:tcBorders>
          </w:tcPr>
          <w:sdt>
            <w:sdtPr>
              <w:rPr>
                <w:rFonts w:cs="Calibri"/>
              </w:rPr>
              <w:id w:val="-1919540917"/>
              <w:date w:fullDate="2025-09-02T00:00:00Z">
                <w:dateFormat w:val="dd/MM/yyyy"/>
                <w:lid w:val="en-GB"/>
                <w:storeMappedDataAs w:val="dateTime"/>
                <w:calendar w:val="gregorian"/>
              </w:date>
            </w:sdtPr>
            <w:sdtContent>
              <w:p>
                <w:pPr/>
                <w:r>
                  <w:rPr>
                    <w:rFonts w:cs="Calibri"/>
                  </w:rPr>
                  <w:t>02/09/2025</w:t>
                </w:r>
              </w:p>
            </w:sdtContent>
          </w:sdt>
        </w:tc>
      </w:tr>
    </w:tbl>
    <w:p>
      <w:pPr/>
    </w:p>
    <w:p>
      <w:pPr>
        <w:pStyle w:val="heading 1"/>
      </w:pPr>
      <w:r>
        <w:t xml:space="preserve">Change </w:t>
      </w:r>
      <w:r>
        <w:t>Detail</w:t>
      </w:r>
    </w:p>
    <w:tbl>
      <w:tblPr>
        <w:tblStyle w:val="List Table 3"/>
        <w:tblW w:type="dxa" w:w="9093"/>
        <w:tblLook w:firstColumn="1" w:firstRow="1" w:lastColumn="0" w:lastRow="0" w:noHBand="0" w:noVBand="1"/>
      </w:tblPr>
      <w:tblGrid>
        <w:gridCol w:w="2830"/>
        <w:gridCol w:w="6263"/>
      </w:tblGrid>
      <w:tr>
        <w:trPr>
          <w:trHeight w:hRule="atLeast" w:val="444"/>
        </w:trPr>
        <w:tc>
          <w:tcPr>
            <w:shd w:val="clear" w:fill="212133"/>
            <w:tcW w:type="dxa" w:w="2830"/>
            <w:vAlign w:val="center"/>
            <w:tcBorders>
              <w:right w:val="single" w:sz="4" w:space="0" w:color="212133"/>
              <w:bottom w:val="single" w:sz="4" w:space="0" w:color="F5F7FF"/>
            </w:tcBorders>
          </w:tcPr>
          <w:p>
            <w:pPr>
              <w:rPr>
                <w:b w:val="0"/>
                <w:bCs w:val="0"/>
                <w:color w:val="FFFFFF"/>
              </w:rPr>
              <w:jc w:val="right"/>
            </w:pPr>
            <w:r>
              <w:rPr>
                <w:b w:val="0"/>
                <w:bCs w:val="0"/>
                <w:color w:val="FFFFFF"/>
              </w:rPr>
              <w:t>Xoserve reference N</w:t>
            </w:r>
            <w:r>
              <w:rPr>
                <w:b w:val="0"/>
                <w:bCs w:val="0"/>
                <w:color w:val="FFFFFF"/>
              </w:rPr>
              <w:t>umber</w:t>
            </w:r>
            <w:r>
              <w:rPr>
                <w:b w:val="0"/>
                <w:bCs w:val="0"/>
                <w:color w:val="FFFFFF"/>
              </w:rPr>
              <w:t>:</w:t>
            </w:r>
          </w:p>
        </w:tc>
        <w:tc>
          <w:tcPr>
            <w:shd w:val="clear" w:fill="FFFFFF"/>
            <w:tcW w:type="dxa" w:w="6263"/>
            <w:vAlign w:val="center"/>
            <w:tcBorders>
              <w:left w:val="single" w:sz="4" w:space="0" w:color="212133"/>
              <w:right w:val="single" w:sz="4" w:space="0" w:color="212133"/>
            </w:tcBorders>
          </w:tcPr>
          <w:p>
            <w:pPr>
              <w:rPr>
                <w:b w:val="0"/>
                <w:bCs w:val="0"/>
              </w:rPr>
            </w:pPr>
            <w:r>
              <w:rPr>
                <w:b w:val="0"/>
                <w:bCs w:val="0"/>
              </w:rPr>
              <w:t>XRN 5805</w:t>
            </w:r>
          </w:p>
        </w:tc>
      </w:tr>
      <w:tr>
        <w:trPr>
          <w:trHeight w:hRule="atLeast" w:val="423"/>
        </w:trPr>
        <w:tc>
          <w:tcPr>
            <w:shd w:val="clear" w:fill="212133"/>
            <w:tcW w:type="dxa" w:w="2830"/>
            <w:vAlign w:val="center"/>
            <w:tcBorders>
              <w:top w:val="single" w:sz="4" w:space="0" w:color="F5F7FF"/>
              <w:right w:val="single" w:sz="4" w:space="0" w:color="212133"/>
              <w:bottom w:val="single" w:sz="4" w:space="0" w:color="F5F7FF"/>
            </w:tcBorders>
          </w:tcPr>
          <w:p>
            <w:pPr>
              <w:rPr>
                <w:b w:val="0"/>
                <w:bCs w:val="0"/>
                <w:color w:val="FFFFFF"/>
              </w:rPr>
              <w:jc w:val="right"/>
            </w:pPr>
            <w:r>
              <w:rPr>
                <w:b w:val="0"/>
                <w:bCs w:val="0"/>
                <w:color w:val="FFFFFF"/>
              </w:rPr>
              <w:t>*ChMC Constituency Impacted</w:t>
            </w:r>
          </w:p>
        </w:tc>
        <w:tc>
          <w:tcPr>
            <w:tcW w:type="dxa" w:w="6263"/>
            <w:vAlign w:val="center"/>
            <w:tcBorders>
              <w:left w:val="single" w:sz="4" w:space="0" w:color="212133"/>
              <w:right w:val="single" w:sz="4" w:space="0" w:color="212133"/>
            </w:tcBorders>
          </w:tcPr>
          <w:p>
            <w:pPr/>
            <w:r>
              <w:t>Distribution Networks</w:t>
            </w:r>
          </w:p>
        </w:tc>
      </w:tr>
      <w:tr>
        <w:trPr>
          <w:trHeight w:hRule="atLeast" w:val="415"/>
        </w:trPr>
        <w:tc>
          <w:tcPr>
            <w:shd w:val="clear" w:fill="212133"/>
            <w:tcW w:type="dxa" w:w="2830"/>
            <w:vAlign w:val="center"/>
            <w:tcBorders>
              <w:top w:val="single" w:sz="4" w:space="0" w:color="F5F7FF"/>
              <w:right w:val="single" w:sz="4" w:space="0" w:color="212133"/>
              <w:bottom w:val="single" w:sz="4" w:space="0" w:color="F5F7FF"/>
            </w:tcBorders>
          </w:tcPr>
          <w:p>
            <w:pPr>
              <w:rPr>
                <w:b w:val="0"/>
                <w:bCs w:val="0"/>
                <w:color w:val="FFFFFF"/>
              </w:rPr>
              <w:jc w:val="right"/>
            </w:pPr>
            <w:r>
              <w:rPr>
                <w:b w:val="0"/>
                <w:bCs w:val="0"/>
                <w:color w:val="FFFFFF"/>
              </w:rPr>
              <w:t>Change Owner</w:t>
            </w:r>
            <w:r>
              <w:rPr>
                <w:b w:val="0"/>
                <w:bCs w:val="0"/>
                <w:color w:val="FFFFFF"/>
              </w:rPr>
              <w:t>:</w:t>
            </w:r>
          </w:p>
        </w:tc>
        <w:tc>
          <w:tcPr>
            <w:tcW w:type="dxa" w:w="6263"/>
            <w:vAlign w:val="center"/>
            <w:tcBorders>
              <w:left w:val="single" w:sz="4" w:space="0" w:color="212133"/>
              <w:right w:val="single" w:sz="4" w:space="0" w:color="212133"/>
            </w:tcBorders>
          </w:tcPr>
          <w:p>
            <w:pPr/>
            <w:r>
              <w:t>Paul Orsler</w:t>
            </w:r>
          </w:p>
        </w:tc>
      </w:tr>
      <w:tr>
        <w:trPr>
          <w:trHeight w:hRule="atLeast" w:val="2235"/>
        </w:trPr>
        <w:tc>
          <w:tcPr>
            <w:shd w:val="clear" w:fill="212133"/>
            <w:tcW w:type="dxa" w:w="2830"/>
            <w:vAlign w:val="center"/>
            <w:tcBorders>
              <w:top w:val="single" w:sz="4" w:space="0" w:color="F5F7FF"/>
              <w:right w:val="single" w:sz="4" w:space="0" w:color="212133"/>
              <w:bottom w:val="single" w:sz="4" w:space="0" w:color="F5F7FF"/>
            </w:tcBorders>
          </w:tcPr>
          <w:p>
            <w:pPr>
              <w:rPr>
                <w:b w:val="0"/>
                <w:bCs w:val="0"/>
                <w:color w:val="FFFFFF"/>
              </w:rPr>
              <w:jc w:val="right"/>
            </w:pPr>
            <w:r>
              <w:rPr>
                <w:b w:val="0"/>
                <w:bCs w:val="0"/>
                <w:color w:val="FFFFFF"/>
              </w:rPr>
              <w:t>Background and Context:</w:t>
            </w:r>
          </w:p>
        </w:tc>
        <w:tc>
          <w:tcPr>
            <w:tcW w:type="dxa" w:w="6263"/>
            <w:vAlign w:val="center"/>
            <w:tcBorders>
              <w:left w:val="single" w:sz="4" w:space="0" w:color="212133"/>
              <w:right w:val="single" w:sz="4" w:space="0" w:color="212133"/>
            </w:tcBorders>
          </w:tcPr>
          <w:p>
            <w:pPr/>
            <w:r>
              <w:t>Wales and West Utilities (WWU)</w:t>
            </w:r>
            <w:r>
              <w:t>,</w:t>
            </w:r>
            <w:r>
              <w:t xml:space="preserve"> </w:t>
            </w:r>
            <w:r>
              <w:t xml:space="preserve">Alongside </w:t>
            </w:r>
            <w:r>
              <w:t>other DN customers</w:t>
            </w:r>
            <w:r>
              <w:t>,</w:t>
            </w:r>
            <w:r>
              <w:t xml:space="preserve"> have identified </w:t>
            </w:r>
            <w:r>
              <w:t xml:space="preserve">an </w:t>
            </w:r>
            <w:r>
              <w:t xml:space="preserve">issue with </w:t>
            </w:r>
            <w:r>
              <w:t xml:space="preserve">several </w:t>
            </w:r>
            <w:r>
              <w:t xml:space="preserve">templates and spreadsheets provided </w:t>
            </w:r>
            <w:r>
              <w:t xml:space="preserve">by CDSP </w:t>
            </w:r>
            <w:r>
              <w:t xml:space="preserve">to DNs </w:t>
            </w:r>
            <w:r>
              <w:t>for the purposes of performing various processes</w:t>
            </w:r>
            <w:r>
              <w:t>. Th</w:t>
            </w:r>
            <w:r>
              <w:t>e issue relate</w:t>
            </w:r>
            <w:r>
              <w:t>s</w:t>
            </w:r>
            <w:r>
              <w:t xml:space="preserve"> to </w:t>
            </w:r>
            <w:r>
              <w:t xml:space="preserve">the presence of </w:t>
            </w:r>
            <w:r>
              <w:t xml:space="preserve">MS </w:t>
            </w:r>
            <w:r>
              <w:t xml:space="preserve">Excel </w:t>
            </w:r>
            <w:r>
              <w:t>Visual Basic for Applications (VBA) m</w:t>
            </w:r>
            <w:r>
              <w:t xml:space="preserve">acros </w:t>
            </w:r>
            <w:r>
              <w:t xml:space="preserve">being </w:t>
            </w:r>
            <w:r>
              <w:t xml:space="preserve">embedded within </w:t>
            </w:r>
            <w:r>
              <w:t xml:space="preserve">the </w:t>
            </w:r>
            <w:r>
              <w:t>related spreadsheets</w:t>
            </w:r>
            <w:r>
              <w:t xml:space="preserve"> and templates</w:t>
            </w:r>
            <w:r>
              <w:t xml:space="preserve">. </w:t>
            </w:r>
          </w:p>
          <w:p>
            <w:pPr/>
          </w:p>
          <w:p>
            <w:pPr/>
            <w:r>
              <w:t>Th</w:t>
            </w:r>
            <w:r>
              <w:t xml:space="preserve">is presents </w:t>
            </w:r>
            <w:r>
              <w:t>a</w:t>
            </w:r>
            <w:r>
              <w:t>n</w:t>
            </w:r>
            <w:r>
              <w:t xml:space="preserve"> IT security risk to the party </w:t>
            </w:r>
            <w:r>
              <w:t>asked to accept</w:t>
            </w:r>
            <w:r>
              <w:t xml:space="preserve"> them</w:t>
            </w:r>
            <w:r>
              <w:t xml:space="preserve">, </w:t>
            </w:r>
            <w:r>
              <w:t xml:space="preserve">as </w:t>
            </w:r>
            <w:r>
              <w:t xml:space="preserve">parties </w:t>
            </w:r>
            <w:r>
              <w:t>are required to enable VBA macros which is not recommended</w:t>
            </w:r>
            <w:r>
              <w:t xml:space="preserve"> from an IT security perspective, due the potential dangers of allowing </w:t>
            </w:r>
            <w:r>
              <w:t>code to run</w:t>
            </w:r>
            <w:r>
              <w:t xml:space="preserve"> on a device</w:t>
            </w:r>
            <w:r>
              <w:t xml:space="preserve"> that is hosted on </w:t>
            </w:r>
            <w:r>
              <w:t>that organisations IT estate</w:t>
            </w:r>
            <w:r>
              <w:t xml:space="preserve">. </w:t>
            </w:r>
            <w:r>
              <w:t xml:space="preserve">Whilst the code contained within the templates </w:t>
            </w:r>
            <w:r>
              <w:t>has been evidenced as being safe to use and run</w:t>
            </w:r>
            <w:r>
              <w:t xml:space="preserve">, </w:t>
            </w:r>
            <w:r>
              <w:t xml:space="preserve">the presence of </w:t>
            </w:r>
            <w:r>
              <w:t xml:space="preserve">these </w:t>
            </w:r>
            <w:r>
              <w:t xml:space="preserve">protected </w:t>
            </w:r>
            <w:r>
              <w:t>formulas</w:t>
            </w:r>
            <w:r>
              <w:t xml:space="preserve"> </w:t>
            </w:r>
            <w:r>
              <w:t xml:space="preserve">requires DNs to receive internal </w:t>
            </w:r>
            <w:r>
              <w:t xml:space="preserve">approval to deviate from the security standards that would otherwise be applied. </w:t>
            </w:r>
            <w:r>
              <w:t xml:space="preserve"> </w:t>
            </w:r>
            <w:r>
              <w:t xml:space="preserve"> </w:t>
            </w:r>
          </w:p>
          <w:p>
            <w:pPr/>
          </w:p>
          <w:p>
            <w:pPr/>
            <w:r>
              <w:t xml:space="preserve">This issue has existed for several months and has created a high degree of customer operational impact and dissatisfaction. </w:t>
            </w:r>
          </w:p>
          <w:p>
            <w:pPr/>
          </w:p>
          <w:p>
            <w:pPr/>
            <w:r>
              <w:t>As a consequence</w:t>
            </w:r>
            <w:r>
              <w:t>, a</w:t>
            </w:r>
            <w:r>
              <w:t xml:space="preserve">lternative functionality </w:t>
            </w:r>
            <w:r>
              <w:t xml:space="preserve">is sought by </w:t>
            </w:r>
            <w:r>
              <w:t xml:space="preserve">DNs to remove any </w:t>
            </w:r>
            <w:r>
              <w:t>VBA m</w:t>
            </w:r>
            <w:r>
              <w:t xml:space="preserve">acros in place </w:t>
            </w:r>
            <w:r>
              <w:t xml:space="preserve">for those related templates and processes. </w:t>
            </w:r>
          </w:p>
          <w:p>
            <w:pPr/>
          </w:p>
          <w:p>
            <w:pPr/>
            <w:r>
              <w:t xml:space="preserve">An </w:t>
            </w:r>
            <w:r>
              <w:t>illustration of the ‘</w:t>
            </w:r>
            <w:r>
              <w:t>As-Is</w:t>
            </w:r>
            <w:r>
              <w:t>’</w:t>
            </w:r>
            <w:r>
              <w:t xml:space="preserve"> </w:t>
            </w:r>
            <w:r>
              <w:t xml:space="preserve">process has been provided below for </w:t>
            </w:r>
            <w:r>
              <w:t>context;</w:t>
            </w:r>
            <w:r>
              <w:t xml:space="preserve"> </w:t>
            </w:r>
          </w:p>
          <w:p>
            <w:pPr/>
            <w:r>
              <mc:AlternateContent>
                <mc:Choice Requires="wps">
                  <w:drawing>
                    <wp:inline>
                      <wp:extent cx="3464965" cy="713917"/>
                      <wp:docPr id="1" name="drawingObject1"/>
                      <wp:cNvGraphicFramePr/>
                      <graphic xmlns="http://schemas.openxmlformats.org/drawingml/2006/main">
                        <graphicData uri="http://schemas.openxmlformats.org/drawingml/2006/picture">
                          <pic xmlns="http://schemas.openxmlformats.org/drawingml/2006/picture">
                            <nvPicPr>
                              <cNvPr id="2" name="Picture 2"/>
                              <cNvPicPr/>
                            </nvPicPr>
                            <blipFill>
                              <blip xmlns="http://schemas.openxmlformats.org/drawingml/2006/main" r:embed="Rd6551c1ae2a0437f"/>
                              <stretch xmlns="http://schemas.openxmlformats.org/drawingml/2006/main"/>
                            </blipFill>
                            <spPr>
                              <xfrm xmlns="http://schemas.openxmlformats.org/drawingml/2006/main" rot="0">
                                <ext cx="3464965" cy="713917"/>
                              </xfrm>
                              <prstGeom xmlns="http://schemas.openxmlformats.org/drawingml/2006/main" prst="rect">
                                <avLst/>
                              </prstGeom>
                              <noFill xmlns="http://schemas.openxmlformats.org/drawingml/2006/main"/>
                            </spPr>
                          </pic>
                        </graphicData>
                      </graphic>
                    </wp:inline>
                  </w:drawing>
                </mc:Choice>
                <mc:Fallback/>
              </mc:AlternateContent>
            </w:r>
          </w:p>
        </w:tc>
      </w:tr>
    </w:tbl>
    <w:p>
      <w:pPr/>
    </w:p>
    <w:p>
      <w:pPr/>
    </w:p>
    <w:p>
      <w:pPr>
        <w:pStyle w:val="heading 1"/>
      </w:pPr>
      <w:r>
        <w:t>Solution Options</w:t>
      </w:r>
    </w:p>
    <w:tbl>
      <w:tblPr>
        <w:tblStyle w:val="List Table 3"/>
        <w:tblW w:type="dxa" w:w="9093"/>
        <w:tblLook w:firstColumn="1" w:firstRow="0" w:lastColumn="0" w:lastRow="0" w:noHBand="0" w:noVBand="1"/>
      </w:tblPr>
      <w:tblGrid>
        <w:gridCol w:w="2817"/>
        <w:gridCol w:w="6276"/>
      </w:tblGrid>
      <w:tr>
        <w:trPr>
          <w:trHeight w:hRule="atLeast" w:val="444"/>
        </w:trPr>
        <w:tc>
          <w:tcPr>
            <w:shd w:val="clear" w:fill="212133"/>
            <w:tcW w:type="dxa" w:w="2830"/>
            <w:vAlign w:val="center"/>
            <w:tcBorders>
              <w:right w:val="single" w:sz="4" w:space="0" w:color="212133"/>
              <w:bottom w:val="single" w:sz="4" w:space="0" w:color="F5F7FF"/>
            </w:tcBorders>
          </w:tcPr>
          <w:p>
            <w:pPr>
              <w:rPr>
                <w:b w:val="0"/>
                <w:bCs w:val="0"/>
              </w:rPr>
              <w:jc w:val="right"/>
            </w:pPr>
            <w:r>
              <w:rPr>
                <w:b w:val="0"/>
                <w:bCs w:val="0"/>
                <w:color w:val="FFFFFF"/>
              </w:rPr>
              <w:t>Solution Option Summar</w:t>
            </w:r>
            <w:r>
              <w:rPr>
                <w:b w:val="0"/>
                <w:bCs w:val="0"/>
                <w:color w:val="FFFFFF"/>
              </w:rPr>
              <w:t>y:</w:t>
            </w:r>
          </w:p>
        </w:tc>
        <w:tc>
          <w:tcPr>
            <w:tcW w:type="dxa" w:w="6263"/>
            <w:vAlign w:val="center"/>
            <w:tcBorders>
              <w:left w:val="single" w:sz="4" w:space="0" w:color="212133"/>
              <w:right w:val="single" w:sz="4" w:space="0" w:color="212133"/>
            </w:tcBorders>
          </w:tcPr>
          <w:p>
            <w:pPr/>
            <w:r>
              <w:t>A variety of solutions have been identified</w:t>
            </w:r>
            <w:r>
              <w:t xml:space="preserve"> to remedy the issue</w:t>
            </w:r>
            <w:r>
              <w:t xml:space="preserve"> that has been raised by this change. A</w:t>
            </w:r>
            <w:r>
              <w:t xml:space="preserve">ll of </w:t>
            </w:r>
            <w:r>
              <w:t xml:space="preserve">which </w:t>
            </w:r>
            <w:r>
              <w:t xml:space="preserve">move away from the incumbent </w:t>
            </w:r>
            <w:r>
              <w:t>reliance on VBA macros to populate the required spreadsheets and templates, so that the relevant processes can</w:t>
            </w:r>
            <w:r>
              <w:t xml:space="preserve"> use the data supplied </w:t>
            </w:r>
            <w:r>
              <w:t xml:space="preserve">by DNs </w:t>
            </w:r>
            <w:r>
              <w:t xml:space="preserve">to </w:t>
            </w:r>
            <w:r>
              <w:t>operate successfully</w:t>
            </w:r>
            <w:r>
              <w:t xml:space="preserve">. </w:t>
            </w:r>
          </w:p>
          <w:p>
            <w:pPr/>
          </w:p>
          <w:p>
            <w:pPr/>
            <w:r>
              <w:t xml:space="preserve">Each </w:t>
            </w:r>
            <w:r>
              <w:t xml:space="preserve">solution </w:t>
            </w:r>
            <w:r>
              <w:t xml:space="preserve">has </w:t>
            </w:r>
            <w:r>
              <w:t xml:space="preserve">called out </w:t>
            </w:r>
            <w:r>
              <w:t xml:space="preserve">considerations for DN parties, </w:t>
            </w:r>
            <w:r>
              <w:t xml:space="preserve">in the form of both </w:t>
            </w:r>
            <w:r>
              <w:t xml:space="preserve">pros and cons, </w:t>
            </w:r>
            <w:r>
              <w:t xml:space="preserve">that aim to assist DNs in </w:t>
            </w:r>
            <w:r>
              <w:t>deciding</w:t>
            </w:r>
            <w:r>
              <w:t xml:space="preserve"> </w:t>
            </w:r>
            <w:r>
              <w:t xml:space="preserve">on a preferred solution. </w:t>
            </w:r>
          </w:p>
          <w:p>
            <w:pPr/>
          </w:p>
          <w:p>
            <w:pPr/>
            <w:r>
              <w:t>Solutions also reflect i</w:t>
            </w:r>
            <w:r>
              <w:t xml:space="preserve">ndicative </w:t>
            </w:r>
            <w:r>
              <w:t>c</w:t>
            </w:r>
            <w:r>
              <w:t xml:space="preserve">ost </w:t>
            </w:r>
            <w:r>
              <w:t>e</w:t>
            </w:r>
            <w:r>
              <w:t>stimates</w:t>
            </w:r>
            <w:r>
              <w:t>,</w:t>
            </w:r>
            <w:r>
              <w:t xml:space="preserve"> </w:t>
            </w:r>
            <w:r>
              <w:t xml:space="preserve">degree of complexity to implement, </w:t>
            </w:r>
            <w:r>
              <w:t xml:space="preserve">level of customer impact, and </w:t>
            </w:r>
            <w:r>
              <w:t>indicative delivery timescales</w:t>
            </w:r>
            <w:r>
              <w:t xml:space="preserve"> - </w:t>
            </w:r>
            <w:r>
              <w:t xml:space="preserve">which will be ratified once the chosen solution has been </w:t>
            </w:r>
            <w:r>
              <w:t xml:space="preserve">fully designed and agreed. </w:t>
            </w:r>
          </w:p>
          <w:p>
            <w:pPr/>
          </w:p>
          <w:p>
            <w:pPr/>
            <w:r>
              <w:t xml:space="preserve">The below tables provide a comparison of the </w:t>
            </w:r>
            <w:r>
              <w:t xml:space="preserve">solution </w:t>
            </w:r>
            <w:r>
              <w:t>options that have been assessed with the re</w:t>
            </w:r>
            <w:r>
              <w:t xml:space="preserve">levant </w:t>
            </w:r>
            <w:r>
              <w:t xml:space="preserve">information </w:t>
            </w:r>
            <w:r>
              <w:t>against;</w:t>
            </w:r>
            <w:r>
              <w:t xml:space="preserve"> </w:t>
            </w:r>
          </w:p>
          <w:p>
            <w:pPr/>
            <w:r>
              <mc:AlternateContent>
                <mc:Choice Requires="wps">
                  <w:drawing>
                    <wp:inline>
                      <wp:extent cx="3829049" cy="1772008"/>
                      <wp:docPr id="3" name="drawingObject3"/>
                      <wp:cNvGraphicFramePr/>
                      <graphic xmlns="http://schemas.openxmlformats.org/drawingml/2006/main">
                        <graphicData uri="http://schemas.openxmlformats.org/drawingml/2006/picture">
                          <pic xmlns="http://schemas.openxmlformats.org/drawingml/2006/picture">
                            <nvPicPr>
                              <cNvPr id="4" name="Picture 4"/>
                              <cNvPicPr/>
                            </nvPicPr>
                            <blipFill>
                              <blip xmlns="http://schemas.openxmlformats.org/drawingml/2006/main" r:embed="R86f86ff955ae4f85"/>
                              <stretch xmlns="http://schemas.openxmlformats.org/drawingml/2006/main"/>
                            </blipFill>
                            <spPr>
                              <xfrm xmlns="http://schemas.openxmlformats.org/drawingml/2006/main" rot="0">
                                <ext cx="3829049" cy="1772008"/>
                              </xfrm>
                              <prstGeom xmlns="http://schemas.openxmlformats.org/drawingml/2006/main" prst="rect">
                                <avLst/>
                              </prstGeom>
                              <noFill xmlns="http://schemas.openxmlformats.org/drawingml/2006/main"/>
                            </spPr>
                          </pic>
                        </graphicData>
                      </graphic>
                    </wp:inline>
                  </w:drawing>
                </mc:Choice>
                <mc:Fallback/>
              </mc:AlternateContent>
            </w:r>
          </w:p>
          <w:p>
            <w:pPr>
              <w:rPr>
                <w:b w:val="1"/>
                <w:bCs w:val="1"/>
              </w:rPr>
            </w:pPr>
            <w:r>
              <mc:AlternateContent>
                <mc:Choice Requires="wps">
                  <w:drawing>
                    <wp:inline>
                      <wp:extent cx="3844072" cy="1724025"/>
                      <wp:docPr id="5" name="drawingObject5"/>
                      <wp:cNvGraphicFramePr/>
                      <graphic xmlns="http://schemas.openxmlformats.org/drawingml/2006/main">
                        <graphicData uri="http://schemas.openxmlformats.org/drawingml/2006/picture">
                          <pic xmlns="http://schemas.openxmlformats.org/drawingml/2006/picture">
                            <nvPicPr>
                              <cNvPr id="6" name="Picture 6"/>
                              <cNvPicPr/>
                            </nvPicPr>
                            <blipFill>
                              <blip xmlns="http://schemas.openxmlformats.org/drawingml/2006/main" r:embed="R4be0a761446c4ad0"/>
                              <stretch xmlns="http://schemas.openxmlformats.org/drawingml/2006/main"/>
                            </blipFill>
                            <spPr>
                              <xfrm xmlns="http://schemas.openxmlformats.org/drawingml/2006/main" rot="0">
                                <ext cx="3844072" cy="1724025"/>
                              </xfrm>
                              <prstGeom xmlns="http://schemas.openxmlformats.org/drawingml/2006/main" prst="rect">
                                <avLst/>
                              </prstGeom>
                              <noFill xmlns="http://schemas.openxmlformats.org/drawingml/2006/main"/>
                            </spPr>
                          </pic>
                        </graphicData>
                      </graphic>
                    </wp:inline>
                  </w:drawing>
                </mc:Choice>
                <mc:Fallback/>
              </mc:AlternateContent>
            </w:r>
          </w:p>
          <w:p>
            <w:pPr>
              <w:rPr>
                <w:b w:val="1"/>
                <w:bCs w:val="1"/>
              </w:rPr>
            </w:pPr>
          </w:p>
          <w:p>
            <w:pPr/>
            <w:r>
              <w:t xml:space="preserve">When assessing solutions, </w:t>
            </w:r>
            <w:r>
              <w:t xml:space="preserve">it has been confirmed that capability </w:t>
            </w:r>
            <w:r>
              <w:t xml:space="preserve">from </w:t>
            </w:r>
            <w:r>
              <w:t xml:space="preserve">tools such as Power Platform </w:t>
            </w:r>
            <w:r>
              <w:t xml:space="preserve">(Solution 1) would enable a shift away from VBA macros, </w:t>
            </w:r>
            <w:r>
              <w:t>however these still pose a potential impact to customers as licensing</w:t>
            </w:r>
            <w:r>
              <w:t xml:space="preserve"> and number of users requiring access</w:t>
            </w:r>
            <w:r>
              <w:t xml:space="preserve"> to the relevant tools would need to be administered </w:t>
            </w:r>
            <w:r>
              <w:t xml:space="preserve">by </w:t>
            </w:r>
            <w:r>
              <w:t xml:space="preserve">both </w:t>
            </w:r>
            <w:r>
              <w:t xml:space="preserve">CDSP and </w:t>
            </w:r>
            <w:r>
              <w:t xml:space="preserve">each organisation. In addition, this option would </w:t>
            </w:r>
            <w:r>
              <w:t xml:space="preserve">does not provide any integrated capability with UK Link, which is where the related processes </w:t>
            </w:r>
            <w:r>
              <w:t xml:space="preserve">are performed. </w:t>
            </w:r>
          </w:p>
          <w:p>
            <w:pPr/>
          </w:p>
          <w:p>
            <w:pPr/>
            <w:r>
              <w:t>With respect to Solution 2, i</w:t>
            </w:r>
            <w:r>
              <w:t>t should be noted that Solution</w:t>
            </w:r>
            <w:r>
              <w:t xml:space="preserve"> 2a </w:t>
            </w:r>
            <w:r>
              <w:t>would seek to p</w:t>
            </w:r>
            <w:r>
              <w:t xml:space="preserve">rovide </w:t>
            </w:r>
            <w:r>
              <w:t>‘</w:t>
            </w:r>
            <w:r>
              <w:t>like for like</w:t>
            </w:r>
            <w:r>
              <w:t>’</w:t>
            </w:r>
            <w:r>
              <w:t xml:space="preserve"> functionality </w:t>
            </w:r>
            <w:r>
              <w:t xml:space="preserve">using </w:t>
            </w:r>
            <w:r>
              <w:t xml:space="preserve">UK Link </w:t>
            </w:r>
            <w:r>
              <w:t xml:space="preserve">Portal to replace existing spreadsheets and templates, whereas 2b would look to streamline </w:t>
            </w:r>
            <w:r>
              <w:t>the processes in such a way that DN</w:t>
            </w:r>
            <w:r>
              <w:t xml:space="preserve">s would be able to </w:t>
            </w:r>
            <w:r>
              <w:t xml:space="preserve">achieve operational improvements. </w:t>
            </w:r>
          </w:p>
          <w:p>
            <w:pPr/>
          </w:p>
          <w:p>
            <w:pPr/>
            <w:r>
              <w:t xml:space="preserve">With respect to Solution </w:t>
            </w:r>
            <w:r>
              <w:t xml:space="preserve">3a, this places dependency on DNs to provide data in a predefined specification, akin to the way </w:t>
            </w:r>
            <w:r>
              <w:t xml:space="preserve">a UK Link File Format would be supplied, so that the process is able to operate without </w:t>
            </w:r>
            <w:r>
              <w:t xml:space="preserve">spreadsheets or templates being used, whereas Solution 3b would introduce into </w:t>
            </w:r>
            <w:r>
              <w:t xml:space="preserve">the relevant spreadsheets, a set of logic that would </w:t>
            </w:r>
            <w:r>
              <w:t xml:space="preserve">enable DNs to generate the proposed files to the required specification. </w:t>
            </w:r>
          </w:p>
          <w:p>
            <w:pPr/>
            <w:r>
              <w:t>Finally, a</w:t>
            </w:r>
            <w:r>
              <w:t xml:space="preserve"> tactical solution </w:t>
            </w:r>
            <w:r>
              <w:t xml:space="preserve">(Solution 4) has been assessed. This </w:t>
            </w:r>
            <w:r>
              <w:t xml:space="preserve">would introduce enhanced </w:t>
            </w:r>
            <w:r>
              <w:t xml:space="preserve">CDSP </w:t>
            </w:r>
            <w:r>
              <w:t xml:space="preserve">operational support to manually </w:t>
            </w:r>
            <w:r>
              <w:t xml:space="preserve">generate files </w:t>
            </w:r>
            <w:r>
              <w:t xml:space="preserve">on behalf of DNs, </w:t>
            </w:r>
            <w:r>
              <w:t xml:space="preserve">using </w:t>
            </w:r>
            <w:r>
              <w:t>the data provided by DNs</w:t>
            </w:r>
            <w:r>
              <w:t xml:space="preserve"> and </w:t>
            </w:r>
            <w:r>
              <w:t>processing this through the existing VBA macros spreadsheets</w:t>
            </w:r>
            <w:r>
              <w:t xml:space="preserve">. </w:t>
            </w:r>
            <w:r>
              <w:t xml:space="preserve"> </w:t>
            </w:r>
          </w:p>
          <w:p>
            <w:pPr/>
          </w:p>
          <w:p>
            <w:pPr/>
            <w:r>
              <w:t xml:space="preserve">Further detail on the </w:t>
            </w:r>
            <w:r>
              <w:t xml:space="preserve">solution </w:t>
            </w:r>
            <w:r>
              <w:t xml:space="preserve">options, included </w:t>
            </w:r>
            <w:r>
              <w:t>an explanation of the proposed process each would put in place</w:t>
            </w:r>
            <w:r>
              <w:t>,</w:t>
            </w:r>
            <w:r>
              <w:t xml:space="preserve"> </w:t>
            </w:r>
            <w:r>
              <w:t xml:space="preserve">is available in the attached presentation. </w:t>
            </w:r>
          </w:p>
          <w:p>
            <w:pPr/>
          </w:p>
          <w:p>
            <w:pPr/>
            <w:r>
              <w:rPr>
                <w:b/>
                <w:bCs/>
              </w:rPr>
              <w:object w:dxaOrig="1508" w:dyaOrig="983" w14:anchorId="4B090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798db9a0a4564cda" o:title=""/>
                </v:shape>
                <o:OLEObject Type="Embed" ProgID="PowerPoint.Show.12" ShapeID="_x0000_i1025" DrawAspect="Icon" ObjectID="_1817025191" r:id="Rdb992b8b2aee4e1d"/>
              </w:object>
            </w:r>
          </w:p>
          <w:p>
            <w:pPr/>
          </w:p>
          <w:p>
            <w:pPr/>
            <w:r>
              <w:t>To confirm, t</w:t>
            </w:r>
            <w:r>
              <w:t>h</w:t>
            </w:r>
            <w:r>
              <w:t xml:space="preserve">e above information </w:t>
            </w:r>
            <w:r>
              <w:t xml:space="preserve">has been </w:t>
            </w:r>
            <w:r>
              <w:t xml:space="preserve">socialised and discussed </w:t>
            </w:r>
            <w:r>
              <w:t>with DNs at the August D</w:t>
            </w:r>
            <w:r>
              <w:t>N Constituency meeting (7</w:t>
            </w:r>
            <w:r>
              <w:rPr>
                <w:vertAlign w:val="superscript"/>
              </w:rPr>
              <w:t>th</w:t>
            </w:r>
            <w:r>
              <w:t xml:space="preserve"> August 2025).</w:t>
            </w:r>
          </w:p>
        </w:tc>
      </w:tr>
      <w:tr>
        <w:trPr>
          <w:trHeight w:hRule="atLeast" w:val="423"/>
        </w:trPr>
        <w:tc>
          <w:tcPr>
            <w:shd w:val="clear" w:fill="212133"/>
            <w:tcW w:type="dxa" w:w="2830"/>
            <w:vAlign w:val="center"/>
            <w:tcBorders>
              <w:top w:val="single" w:sz="4" w:space="0" w:color="F5F7FF"/>
              <w:right w:val="single" w:sz="4" w:space="0" w:color="212133"/>
              <w:bottom w:val="single" w:sz="4" w:space="0" w:color="F5F7FF"/>
            </w:tcBorders>
          </w:tcPr>
          <w:p>
            <w:pPr>
              <w:rPr>
                <w:b w:val="0"/>
                <w:bCs w:val="0"/>
              </w:rPr>
              <w:jc w:val="right"/>
            </w:pPr>
            <w:r>
              <w:rPr>
                <w:b w:val="0"/>
                <w:bCs w:val="0"/>
                <w:color w:val="FFFFFF"/>
              </w:rPr>
              <w:t>Proposed Implementation Date:</w:t>
            </w:r>
          </w:p>
        </w:tc>
        <w:tc>
          <w:tcPr>
            <w:tcW w:type="dxa" w:w="6263"/>
            <w:vAlign w:val="center"/>
            <w:tcBorders>
              <w:left w:val="single" w:sz="4" w:space="0" w:color="212133"/>
              <w:right w:val="single" w:sz="4" w:space="0" w:color="212133"/>
            </w:tcBorders>
          </w:tcPr>
          <w:p>
            <w:pPr/>
            <w:r>
              <w:t xml:space="preserve">Tbc – dependent on preferred option </w:t>
            </w:r>
          </w:p>
        </w:tc>
      </w:tr>
      <w:tr>
        <w:trPr>
          <w:trHeight w:hRule="atLeast" w:val="415"/>
        </w:trPr>
        <w:tc>
          <w:tcPr>
            <w:shd w:val="clear" w:fill="212133"/>
            <w:tcW w:type="dxa" w:w="2830"/>
            <w:vAlign w:val="center"/>
            <w:tcBorders>
              <w:top w:val="single" w:sz="4" w:space="0" w:color="F5F7FF"/>
              <w:right w:val="single" w:sz="4" w:space="0" w:color="212133"/>
              <w:bottom w:val="single" w:sz="4" w:space="0" w:color="F5F7FF"/>
            </w:tcBorders>
          </w:tcPr>
          <w:p>
            <w:pPr>
              <w:rPr>
                <w:b w:val="0"/>
                <w:bCs w:val="0"/>
                <w:color w:val="FFFFFF"/>
              </w:rPr>
              <w:jc w:val="right"/>
            </w:pPr>
            <w:r>
              <w:rPr>
                <w:b w:val="0"/>
                <w:bCs w:val="0"/>
                <w:color w:val="FFFFFF"/>
              </w:rPr>
              <w:t>Xoserve preferred option:</w:t>
            </w:r>
          </w:p>
          <w:p>
            <w:pPr>
              <w:rPr>
                <w:color w:val="FFFFFF"/>
              </w:rPr>
              <w:jc w:val="right"/>
            </w:pPr>
            <w:r>
              <w:rPr>
                <w:b w:val="0"/>
                <w:bCs w:val="0"/>
                <w:color w:val="FFFFFF"/>
              </w:rPr>
              <w:t>(including rationale)</w:t>
            </w:r>
          </w:p>
          <w:p>
            <w:pPr/>
          </w:p>
        </w:tc>
        <w:tc>
          <w:tcPr>
            <w:tcW w:type="dxa" w:w="6263"/>
            <w:vAlign w:val="center"/>
            <w:tcBorders>
              <w:left w:val="single" w:sz="4" w:space="0" w:color="212133"/>
              <w:right w:val="single" w:sz="4" w:space="0" w:color="212133"/>
            </w:tcBorders>
          </w:tcPr>
          <w:p>
            <w:pPr/>
            <w:r>
              <w:t>N/A</w:t>
            </w:r>
          </w:p>
        </w:tc>
      </w:tr>
      <w:tr>
        <w:trPr>
          <w:trHeight w:hRule="atLeast" w:val="415"/>
        </w:trPr>
        <w:tc>
          <w:tcPr>
            <w:shd w:val="clear" w:fill="212133"/>
            <w:tcW w:type="dxa" w:w="2830"/>
            <w:vAlign w:val="center"/>
            <w:tcBorders>
              <w:top w:val="single" w:sz="4" w:space="0" w:color="F5F7FF"/>
              <w:right w:val="single" w:sz="4" w:space="0" w:color="212133"/>
              <w:bottom w:val="single" w:sz="4" w:space="0" w:color="F5F7FF"/>
            </w:tcBorders>
          </w:tcPr>
          <w:p>
            <w:pPr>
              <w:rPr>
                <w:b w:val="0"/>
                <w:bCs w:val="0"/>
                <w:color w:val="FFFFFF"/>
              </w:rPr>
              <w:jc w:val="right"/>
            </w:pPr>
            <w:r>
              <w:rPr>
                <w:b w:val="0"/>
                <w:bCs w:val="0"/>
                <w:color w:val="FFFFFF"/>
              </w:rPr>
              <w:t>DSG preferred solution option:</w:t>
            </w:r>
          </w:p>
          <w:p>
            <w:pPr>
              <w:rPr>
                <w:b w:val="0"/>
                <w:bCs w:val="0"/>
              </w:rPr>
              <w:jc w:val="right"/>
            </w:pPr>
            <w:r>
              <w:rPr>
                <w:b w:val="0"/>
                <w:bCs w:val="0"/>
                <w:color w:val="FFFFFF"/>
              </w:rPr>
              <w:t>(including rationale)</w:t>
            </w:r>
          </w:p>
        </w:tc>
        <w:tc>
          <w:tcPr>
            <w:tcW w:type="dxa" w:w="6263"/>
            <w:vAlign w:val="center"/>
            <w:tcBorders>
              <w:left w:val="single" w:sz="4" w:space="0" w:color="212133"/>
              <w:right w:val="single" w:sz="4" w:space="0" w:color="212133"/>
            </w:tcBorders>
          </w:tcPr>
          <w:p>
            <w:pPr/>
            <w:r>
              <w:t>Tbc</w:t>
            </w:r>
          </w:p>
        </w:tc>
      </w:tr>
    </w:tbl>
    <w:p>
      <w:pPr/>
    </w:p>
    <w:p>
      <w:pPr>
        <w:pStyle w:val="heading 1"/>
      </w:pPr>
      <w:r>
        <w:t>Service Lines and Funding – for each option</w:t>
      </w:r>
    </w:p>
    <w:tbl>
      <w:tblPr>
        <w:tblStyle w:val="List Table 3"/>
        <w:tblW w:type="dxa" w:w="9093"/>
        <w:tblLook w:firstColumn="1" w:firstRow="1" w:lastColumn="0" w:lastRow="0" w:noHBand="0" w:noVBand="1"/>
      </w:tblPr>
      <w:tblGrid>
        <w:gridCol w:w="2830"/>
        <w:gridCol w:w="6263"/>
      </w:tblGrid>
      <w:tr>
        <w:trPr>
          <w:trHeight w:hRule="atLeast" w:val="444"/>
        </w:trPr>
        <w:tc>
          <w:tcPr>
            <w:shd w:val="clear" w:fill="212133"/>
            <w:tcW w:type="dxa" w:w="2830"/>
            <w:vAlign w:val="center"/>
            <w:tcBorders>
              <w:right w:val="single" w:sz="4" w:space="0" w:color="212133"/>
              <w:bottom w:val="single" w:sz="4" w:space="0" w:color="F5F7FF"/>
            </w:tcBorders>
          </w:tcPr>
          <w:p>
            <w:pPr>
              <w:rPr>
                <w:b w:val="0"/>
                <w:bCs w:val="0"/>
              </w:rPr>
              <w:jc w:val="right"/>
            </w:pPr>
            <w:r>
              <w:rPr>
                <w:b w:val="0"/>
                <w:bCs w:val="0"/>
                <w:color w:val="FFFFFF"/>
              </w:rPr>
              <w:t>Service Line(s) Impacted - New or existing</w:t>
            </w:r>
          </w:p>
        </w:tc>
        <w:tc>
          <w:tcPr>
            <w:shd w:val="clear" w:fill="FFFFFF"/>
            <w:tcW w:type="dxa" w:w="6263"/>
            <w:vAlign w:val="center"/>
            <w:tcBorders>
              <w:left w:val="single" w:sz="4" w:space="0" w:color="212133"/>
              <w:right w:val="single" w:sz="4" w:space="0" w:color="212133"/>
            </w:tcBorders>
          </w:tcPr>
          <w:p>
            <w:pPr>
              <w:rPr>
                <w:b w:val="0"/>
                <w:bCs w:val="0"/>
              </w:rPr>
            </w:pPr>
            <w:r>
              <w:rPr>
                <w:b w:val="0"/>
                <w:bCs w:val="0"/>
              </w:rPr>
              <w:t xml:space="preserve">N/A </w:t>
            </w:r>
          </w:p>
        </w:tc>
      </w:tr>
      <w:tr>
        <w:trPr>
          <w:trHeight w:hRule="atLeast" w:val="423"/>
        </w:trPr>
        <w:tc>
          <w:tcPr>
            <w:shd w:val="clear" w:fill="212133"/>
            <w:tcW w:type="dxa" w:w="2830"/>
            <w:vAlign w:val="center"/>
            <w:tcBorders>
              <w:top w:val="single" w:sz="4" w:space="0" w:color="F5F7FF"/>
              <w:right w:val="single" w:sz="4" w:space="0" w:color="212133"/>
              <w:bottom w:val="single" w:sz="4" w:space="0" w:color="F5F7FF"/>
            </w:tcBorders>
          </w:tcPr>
          <w:p>
            <w:pPr>
              <w:rPr>
                <w:b w:val="0"/>
                <w:bCs w:val="0"/>
              </w:rPr>
              <w:jc w:val="right"/>
            </w:pPr>
            <w:r>
              <w:rPr>
                <w:b w:val="0"/>
                <w:bCs w:val="0"/>
                <w:color w:val="FFFFFF"/>
              </w:rPr>
              <w:t>Level of Impact</w:t>
            </w:r>
            <w:r>
              <w:rPr>
                <w:b w:val="0"/>
                <w:bCs w:val="0"/>
                <w:color w:val="FFFFFF"/>
              </w:rPr>
              <w:t>:</w:t>
            </w:r>
          </w:p>
        </w:tc>
        <w:tc>
          <w:tcPr>
            <w:tcW w:type="dxa" w:w="6263"/>
            <w:vAlign w:val="center"/>
            <w:tcBorders>
              <w:left w:val="single" w:sz="4" w:space="0" w:color="212133"/>
              <w:right w:val="single" w:sz="4" w:space="0" w:color="212133"/>
            </w:tcBorders>
          </w:tcPr>
          <w:p>
            <w:pPr/>
            <w:r>
              <w:t>N/A</w:t>
            </w:r>
          </w:p>
        </w:tc>
      </w:tr>
      <w:tr>
        <w:trPr>
          <w:trHeight w:hRule="atLeast" w:val="415"/>
        </w:trPr>
        <w:tc>
          <w:tcPr>
            <w:shd w:val="clear" w:fill="212133"/>
            <w:tcW w:type="dxa" w:w="2830"/>
            <w:vAlign w:val="center"/>
            <w:tcBorders>
              <w:top w:val="single" w:sz="4" w:space="0" w:color="F5F7FF"/>
              <w:right w:val="single" w:sz="4" w:space="0" w:color="212133"/>
              <w:bottom w:val="single" w:sz="4" w:space="0" w:color="F5F7FF"/>
            </w:tcBorders>
          </w:tcPr>
          <w:p>
            <w:pPr>
              <w:rPr>
                <w:b w:val="0"/>
                <w:bCs w:val="0"/>
              </w:rPr>
              <w:jc w:val="right"/>
            </w:pPr>
            <w:r>
              <w:rPr>
                <w:b w:val="0"/>
                <w:bCs w:val="0"/>
                <w:color w:val="FFFFFF"/>
              </w:rPr>
              <w:t xml:space="preserve">Impacts on UK Link Manual/ Data Permissions Matrix  </w:t>
            </w:r>
          </w:p>
        </w:tc>
        <w:tc>
          <w:tcPr>
            <w:tcW w:type="dxa" w:w="6263"/>
            <w:vAlign w:val="center"/>
            <w:tcBorders>
              <w:left w:val="single" w:sz="4" w:space="0" w:color="212133"/>
              <w:right w:val="single" w:sz="4" w:space="0" w:color="212133"/>
            </w:tcBorders>
          </w:tcPr>
          <w:p>
            <w:pPr/>
            <w:r>
              <w:t>N/A</w:t>
            </w:r>
          </w:p>
        </w:tc>
      </w:tr>
    </w:tbl>
    <w:p>
      <w:pPr>
        <w:rPr>
          <w:color w:val="6680FF"/>
          <w:sz w:val="40"/>
          <w:szCs w:val="40"/>
        </w:rPr>
      </w:pPr>
      <w:r>
        <w:rPr>
          <w:color w:val="6680FF"/>
          <w:sz w:val="40"/>
          <w:szCs w:val="40"/>
        </w:rPr>
        <w:br w:type="page"/>
      </w:r>
    </w:p>
    <w:p>
      <w:pPr>
        <w:rPr>
          <w:color w:val="6680FF"/>
          <w:sz w:val="40"/>
          <w:szCs w:val="40"/>
        </w:rPr>
      </w:pPr>
    </w:p>
    <w:p>
      <w:pPr>
        <w:rPr>
          <w:color w:val="6680FF"/>
          <w:sz w:val="40"/>
          <w:szCs w:val="40"/>
        </w:rPr>
      </w:pPr>
      <w:r>
        <w:rPr>
          <w:color w:val="6680FF"/>
          <w:sz w:val="40"/>
          <w:szCs w:val="40"/>
        </w:rPr>
        <w:t>Industry Response Solution Options</w:t>
      </w:r>
    </w:p>
    <w:p>
      <w:pPr>
        <w:rPr>
          <w:color w:val="6680FF"/>
        </w:rPr>
      </w:pPr>
    </w:p>
    <w:p>
      <w:pPr>
        <w:rPr>
          <w:shd w:val="clear" w:fill="E1E3E6"/>
          <w:color w:val="000000"/>
          <w:rFonts w:cs="Arial" w:eastAsia="Times New Roman"/>
        </w:rPr>
      </w:pPr>
    </w:p>
    <w:p>
      <w:pPr>
        <w:rPr>
          <w:rFonts w:cs="Calibri" w:eastAsia="Times New Roman"/>
        </w:rPr>
      </w:pPr>
      <w:r>
        <w:rPr>
          <w:rFonts w:cs="Calibri" w:eastAsia="Times New Roman"/>
        </w:rPr>
        <w:t>Please consider any commercial impacts to your organisation that Xoserve need to be aware of when formulating your response </w:t>
      </w:r>
    </w:p>
    <w:p>
      <w:pPr>
        <w:rPr>
          <w:color w:val="3E5AA8"/>
          <w:rFonts w:cs="Segoe UI" w:eastAsia="Times New Roman"/>
        </w:rPr>
      </w:pPr>
    </w:p>
    <w:p>
      <w:pPr>
        <w:rPr>
          <w:rStyle w:val="normaltextrun"/>
          <w:shd w:val="clear" w:fill="FFFFFF"/>
          <w:color w:val="57BAE5"/>
          <w:sz w:val="32"/>
          <w:szCs w:val="32"/>
        </w:rPr>
      </w:pPr>
      <w:r>
        <w:rPr>
          <w:rStyle w:val="normaltextrun"/>
          <w:shd w:val="clear" w:fill="FFFFFF"/>
          <w:color w:val="57BAE5"/>
          <w:sz w:val="32"/>
          <w:szCs w:val="32"/>
        </w:rPr>
        <w:t>Organisation’s preferred solution option </w:t>
      </w:r>
    </w:p>
    <w:tbl>
      <w:tblPr>
        <w:tblCellMar>
          <w:left w:type="dxa" w:w="0"/>
          <w:top w:type="dxa" w:w="0"/>
          <w:right w:type="dxa" w:w="0"/>
          <w:bottom w:type="dxa" w:w="0"/>
        </w:tblCellMar>
        <w:tblInd w:type="dxa" w:w="-45"/>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318"/>
        <w:gridCol w:w="1841"/>
        <w:gridCol w:w="4896"/>
      </w:tblGrid>
      <w:tr>
        <w:trPr>
          <w:trHeight w:hRule="atLeast" w:val="390"/>
        </w:trPr>
        <w:tc>
          <w:tcPr>
            <w:shd w:val="clear" w:fill="212133"/>
            <w:tcW w:type="dxa" w:w="2565"/>
            <w:vAlign w:val="center"/>
            <w:tcBorders>
              <w:left w:val="single" w:sz="6" w:space="0" w:color="auto"/>
              <w:top w:val="single" w:sz="6" w:space="0" w:color="auto"/>
              <w:right w:val="single" w:sz="6" w:space="0" w:color="auto"/>
              <w:bottom w:val="single" w:sz="6" w:space="0" w:color="auto"/>
            </w:tcBorders>
            <w:vMerge w:val="restart"/>
          </w:tcPr>
          <w:p>
            <w:pPr>
              <w:rPr>
                <w:color w:val="FFFFFF"/>
                <w:rFonts w:cs="Times New Roman" w:eastAsia="Times New Roman"/>
              </w:rPr>
              <w:jc w:val="right"/>
            </w:pPr>
            <w:r>
              <w:rPr>
                <w:color w:val="FFFFFF"/>
                <w:rFonts w:cs="Calibri" w:eastAsia="Times New Roman"/>
              </w:rPr>
              <w:t>User Contact Details: </w:t>
            </w:r>
          </w:p>
        </w:tc>
        <w:tc>
          <w:tcPr>
            <w:shd w:val="clear" w:fill="212133"/>
            <w:tcW w:type="dxa" w:w="1920"/>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Organisation: </w:t>
            </w:r>
          </w:p>
        </w:tc>
        <w:tc>
          <w:tcPr>
            <w:tcW w:type="dxa" w:w="600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rFonts w:cs="Arial" w:eastAsia="Times New Roman"/>
              </w:rPr>
              <w:t xml:space="preserve">Northern Gas Networks </w:t>
            </w:r>
          </w:p>
        </w:tc>
      </w:tr>
      <w:tr>
        <w:trPr>
          <w:trHeight w:hRule="atLeast" w:val="390"/>
        </w:trPr>
        <w:tc>
          <w:tcPr>
            <w:shd w:val="clear" w:fill="212133"/>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212133"/>
            <w:tcW w:type="dxa" w:w="1920"/>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Name: </w:t>
            </w:r>
          </w:p>
        </w:tc>
        <w:tc>
          <w:tcPr>
            <w:tcW w:type="dxa" w:w="600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shd w:val="clear" w:fill="E1E3E6"/>
                <w:color w:val="000000"/>
                <w:rFonts w:cs="Arial" w:eastAsia="Times New Roman"/>
              </w:rPr>
              <w:t>Helen Chandler</w:t>
            </w:r>
          </w:p>
        </w:tc>
      </w:tr>
      <w:tr>
        <w:trPr>
          <w:trHeight w:hRule="atLeast" w:val="390"/>
        </w:trPr>
        <w:tc>
          <w:tcPr>
            <w:shd w:val="clear" w:fill="212133"/>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212133"/>
            <w:tcW w:type="dxa" w:w="1920"/>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Email: </w:t>
            </w:r>
          </w:p>
        </w:tc>
        <w:tc>
          <w:tcPr>
            <w:tcW w:type="dxa" w:w="600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shd w:val="clear" w:fill="E1E3E6"/>
                <w:color w:val="000000"/>
                <w:rFonts w:cs="Arial" w:eastAsia="Times New Roman"/>
              </w:rPr>
              <w:t>hchandler@northerngas.co.uk</w:t>
            </w:r>
          </w:p>
        </w:tc>
      </w:tr>
      <w:tr>
        <w:trPr>
          <w:trHeight w:hRule="atLeast" w:val="390"/>
        </w:trPr>
        <w:tc>
          <w:tcPr>
            <w:shd w:val="clear" w:fill="212133"/>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212133"/>
            <w:tcW w:type="dxa" w:w="1920"/>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Telephone: </w:t>
            </w:r>
          </w:p>
        </w:tc>
        <w:tc>
          <w:tcPr>
            <w:tcW w:type="dxa" w:w="600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shd w:val="clear" w:fill="E1E3E6"/>
                <w:color w:val="000000"/>
                <w:rFonts w:cs="Arial" w:eastAsia="Times New Roman"/>
              </w:rPr>
              <w:t>07580704123</w:t>
            </w:r>
          </w:p>
        </w:tc>
      </w:tr>
      <w:tr>
        <w:trPr>
          <w:trHeight w:hRule="atLeast" w:val="1125"/>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 xml:space="preserve">Organisation’s preferred solution option, including rationale </w:t>
            </w:r>
            <w:r>
              <w:rPr>
                <w:color w:val="FFFFFF"/>
                <w:rFonts w:cs="Calibri" w:eastAsia="Times New Roman"/>
              </w:rPr>
              <w:t>taking into account</w:t>
            </w:r>
            <w:r>
              <w:rPr>
                <w:color w:val="FFFFFF"/>
                <w:rFonts w:cs="Calibri" w:eastAsia="Times New Roman"/>
              </w:rPr>
              <w:t xml:space="preserve"> costs, risks, resource etc: </w:t>
            </w:r>
          </w:p>
        </w:tc>
        <w:tc>
          <w:tcPr>
            <w:tcW w:type="dxa" w:w="7920"/>
            <w:vAlign w:val="center"/>
            <w:tcBorders>
              <w:left w:val="single" w:sz="6" w:space="0" w:color="auto"/>
              <w:top w:val="single" w:sz="6" w:space="0" w:color="auto"/>
              <w:right w:val="single" w:sz="6" w:space="0" w:color="auto"/>
              <w:bottom w:val="single" w:sz="6" w:space="0" w:color="auto"/>
            </w:tcBorders>
            <w:gridSpan w:val="2"/>
          </w:tcPr>
          <w:p>
            <w:pPr>
              <w:rPr>
                <w:rFonts w:cs="Times New Roman" w:eastAsia="Times New Roman"/>
              </w:rPr>
            </w:pPr>
            <w:r>
              <w:rPr>
                <w:shd w:val="clear" w:fill="E1E3E6"/>
                <w:color w:val="000000"/>
                <w:rFonts w:cs="Arial" w:eastAsia="Times New Roman"/>
              </w:rPr>
              <w:t xml:space="preserve">At this point NGN does not have a preferred solution. The initial macros issue did not impact us so we are open to a solution that do not have a significant impact of the current process. We have concerns regarding a UK Link solution and that user access should have a specific "role type" so other screens can not be accessed. </w:t>
            </w:r>
          </w:p>
        </w:tc>
      </w:tr>
      <w:tr>
        <w:trPr>
          <w:trHeight w:hRule="atLeast" w:val="390"/>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Customer decision on preferred solution option: </w:t>
            </w:r>
          </w:p>
        </w:tc>
        <w:tc>
          <w:tcPr>
            <w:tcW w:type="dxa" w:w="7920"/>
            <w:vAlign w:val="center"/>
            <w:tcBorders>
              <w:left w:val="single" w:sz="6" w:space="0" w:color="auto"/>
              <w:top w:val="single" w:sz="6" w:space="0" w:color="auto"/>
              <w:right w:val="single" w:sz="6" w:space="0" w:color="auto"/>
              <w:bottom w:val="single" w:sz="6" w:space="0" w:color="auto"/>
            </w:tcBorders>
            <w:gridSpan w:val="2"/>
          </w:tcPr>
          <w:p>
            <w:pPr>
              <w:rPr>
                <w:rFonts w:cs="Times New Roman" w:eastAsia="Times New Roman"/>
              </w:rPr>
            </w:pPr>
            <w:r>
              <w:rPr>
                <w:shd w:val="clear" w:fill="E1E3E6"/>
                <w:color w:val="000000"/>
                <w:rFonts w:cs="Arial" w:eastAsia="Times New Roman"/>
              </w:rPr>
              <w:t>approved</w:t>
            </w:r>
          </w:p>
        </w:tc>
      </w:tr>
      <w:tr>
        <w:trPr>
          <w:trHeight w:hRule="atLeast" w:val="390"/>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Publication of consultation response: </w:t>
            </w:r>
          </w:p>
        </w:tc>
        <w:tc>
          <w:tcPr>
            <w:tcW w:type="dxa" w:w="7920"/>
            <w:vAlign w:val="center"/>
            <w:tcBorders>
              <w:left w:val="single" w:sz="6" w:space="0" w:color="auto"/>
              <w:top w:val="single" w:sz="6" w:space="0" w:color="auto"/>
              <w:right w:val="single" w:sz="6" w:space="0" w:color="auto"/>
              <w:bottom w:val="single" w:sz="6" w:space="0" w:color="auto"/>
            </w:tcBorders>
            <w:gridSpan w:val="2"/>
          </w:tcPr>
          <w:p>
            <w:pPr>
              <w:rPr>
                <w:rFonts w:cs="Times New Roman" w:eastAsia="Times New Roman"/>
              </w:rPr>
            </w:pPr>
            <w:r>
              <w:rPr>
                <w:rFonts w:cs="Arial" w:eastAsia="Times New Roman"/>
              </w:rPr>
              <w:t>N/A </w:t>
            </w:r>
          </w:p>
        </w:tc>
      </w:tr>
    </w:tbl>
    <w:p>
      <w:pPr>
        <w:rPr>
          <w:rStyle w:val="normaltextrun"/>
          <w:shd w:val="clear" w:fill="FFFFFF"/>
          <w:color w:val="57BAE5"/>
          <w:sz w:val="32"/>
          <w:szCs w:val="32"/>
        </w:rPr>
      </w:pPr>
    </w:p>
    <w:p>
      <w:pPr>
        <w:rPr>
          <w:rFonts w:cs="Arial" w:eastAsia="Times New Roman"/>
        </w:rPr>
      </w:pPr>
      <w:r>
        <w:rPr>
          <w:rStyle w:val="normaltextrun"/>
          <w:shd w:val="clear" w:fill="FFFFFF"/>
          <w:color w:val="57BAE5"/>
          <w:sz w:val="32"/>
          <w:szCs w:val="32"/>
        </w:rPr>
        <w:t>Xoserve’s response</w:t>
      </w:r>
      <w:r>
        <w:rPr>
          <w:rStyle w:val="eop"/>
          <w:shd w:val="clear" w:fill="FFFFFF"/>
          <w:color w:val="57BAE5"/>
          <w:sz w:val="32"/>
          <w:szCs w:val="32"/>
        </w:rPr>
        <w:t> </w:t>
      </w:r>
    </w:p>
    <w:tbl>
      <w:tblPr>
        <w:tblCellMar>
          <w:left w:type="dxa" w:w="0"/>
          <w:top w:type="dxa" w:w="0"/>
          <w:right w:type="dxa" w:w="0"/>
          <w:bottom w:type="dxa" w:w="0"/>
        </w:tblCellMar>
        <w:tblInd w:type="dxa" w:w="-45"/>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344"/>
        <w:gridCol w:w="6711"/>
      </w:tblGrid>
      <w:tr>
        <w:trPr>
          <w:trHeight w:hRule="atLeast" w:val="660"/>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jc w:val="right"/>
            </w:pPr>
            <w:r>
              <w:rPr>
                <w:color w:val="FFFFFF"/>
                <w:rFonts w:cs="Calibri" w:eastAsia="Times New Roman"/>
              </w:rPr>
              <w:t>Xoserve Response to Organisations Comments</w:t>
            </w:r>
            <w:r>
              <w:rPr>
                <w:color w:val="FFFFFF"/>
                <w:rFonts w:cs="Arial" w:eastAsia="Times New Roman"/>
              </w:rPr>
              <w:t>: </w:t>
            </w:r>
          </w:p>
        </w:tc>
        <w:tc>
          <w:tcPr>
            <w:tcW w:type="dxa" w:w="792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shd w:val="clear" w:fill="E1E3E6"/>
                <w:color w:val="000000"/>
                <w:rFonts w:cs="Arial" w:eastAsia="Times New Roman"/>
              </w:rPr>
              <w:t>Thank you for your response, this will be discussed at ChMC in September.</w:t>
            </w:r>
          </w:p>
        </w:tc>
      </w:tr>
    </w:tbl>
    <w:p>
      <w:pPr>
        <w:rPr>
          <w:rFonts w:cs="Segoe UI" w:eastAsia="Times New Roman"/>
        </w:rPr>
      </w:pPr>
      <w:r>
        <w:rPr>
          <w:rFonts w:cs="Arial" w:eastAsia="Times New Roman"/>
        </w:rPr>
        <w:t> </w:t>
      </w:r>
    </w:p>
    <w:p>
      <w:pPr>
        <w:rPr>
          <w:shd w:val="clear" w:fill="E1E3E6"/>
          <w:color w:val="000000"/>
          <w:rFonts w:cs="Arial" w:eastAsia="Times New Roman"/>
        </w:rPr>
      </w:pPr>
    </w:p>
    <w:p>
      <w:pPr>
        <w:rPr>
          <w:rFonts w:cs="Calibri" w:eastAsia="Times New Roman"/>
        </w:rPr>
      </w:pPr>
      <w:r>
        <w:rPr>
          <w:rFonts w:cs="Calibri" w:eastAsia="Times New Roman"/>
        </w:rPr>
        <w:t>Please consider any commercial impacts to your organisation that Xoserve need to be aware of when formulating your response </w:t>
      </w:r>
    </w:p>
    <w:p>
      <w:pPr>
        <w:rPr>
          <w:color w:val="3E5AA8"/>
          <w:rFonts w:cs="Segoe UI" w:eastAsia="Times New Roman"/>
        </w:rPr>
      </w:pPr>
    </w:p>
    <w:p>
      <w:pPr>
        <w:rPr>
          <w:rStyle w:val="normaltextrun"/>
          <w:shd w:val="clear" w:fill="FFFFFF"/>
          <w:color w:val="57BAE5"/>
          <w:sz w:val="32"/>
          <w:szCs w:val="32"/>
        </w:rPr>
      </w:pPr>
      <w:r>
        <w:rPr>
          <w:rStyle w:val="normaltextrun"/>
          <w:shd w:val="clear" w:fill="FFFFFF"/>
          <w:color w:val="57BAE5"/>
          <w:sz w:val="32"/>
          <w:szCs w:val="32"/>
        </w:rPr>
        <w:t>Organisation’s preferred solution option </w:t>
      </w:r>
    </w:p>
    <w:tbl>
      <w:tblPr>
        <w:tblCellMar>
          <w:left w:type="dxa" w:w="0"/>
          <w:top w:type="dxa" w:w="0"/>
          <w:right w:type="dxa" w:w="0"/>
          <w:bottom w:type="dxa" w:w="0"/>
        </w:tblCellMar>
        <w:tblInd w:type="dxa" w:w="-45"/>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318"/>
        <w:gridCol w:w="1841"/>
        <w:gridCol w:w="4896"/>
      </w:tblGrid>
      <w:tr>
        <w:trPr>
          <w:trHeight w:hRule="atLeast" w:val="390"/>
        </w:trPr>
        <w:tc>
          <w:tcPr>
            <w:shd w:val="clear" w:fill="212133"/>
            <w:tcW w:type="dxa" w:w="2565"/>
            <w:vAlign w:val="center"/>
            <w:tcBorders>
              <w:left w:val="single" w:sz="6" w:space="0" w:color="auto"/>
              <w:top w:val="single" w:sz="6" w:space="0" w:color="auto"/>
              <w:right w:val="single" w:sz="6" w:space="0" w:color="auto"/>
              <w:bottom w:val="single" w:sz="6" w:space="0" w:color="auto"/>
            </w:tcBorders>
            <w:vMerge w:val="restart"/>
          </w:tcPr>
          <w:p>
            <w:pPr>
              <w:rPr>
                <w:color w:val="FFFFFF"/>
                <w:rFonts w:cs="Times New Roman" w:eastAsia="Times New Roman"/>
              </w:rPr>
              <w:jc w:val="right"/>
            </w:pPr>
            <w:r>
              <w:rPr>
                <w:color w:val="FFFFFF"/>
                <w:rFonts w:cs="Calibri" w:eastAsia="Times New Roman"/>
              </w:rPr>
              <w:t>User Contact Details: </w:t>
            </w:r>
          </w:p>
        </w:tc>
        <w:tc>
          <w:tcPr>
            <w:shd w:val="clear" w:fill="212133"/>
            <w:tcW w:type="dxa" w:w="1920"/>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Organisation: </w:t>
            </w:r>
          </w:p>
        </w:tc>
        <w:tc>
          <w:tcPr>
            <w:tcW w:type="dxa" w:w="600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rFonts w:cs="Arial" w:eastAsia="Times New Roman"/>
              </w:rPr>
              <w:t>SGN -  Scotland and Southern Gas Networks</w:t>
            </w:r>
          </w:p>
        </w:tc>
      </w:tr>
      <w:tr>
        <w:trPr>
          <w:trHeight w:hRule="atLeast" w:val="390"/>
        </w:trPr>
        <w:tc>
          <w:tcPr>
            <w:shd w:val="clear" w:fill="212133"/>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212133"/>
            <w:tcW w:type="dxa" w:w="1920"/>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Name: </w:t>
            </w:r>
          </w:p>
        </w:tc>
        <w:tc>
          <w:tcPr>
            <w:tcW w:type="dxa" w:w="600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shd w:val="clear" w:fill="E1E3E6"/>
                <w:color w:val="000000"/>
                <w:rFonts w:cs="Arial" w:eastAsia="Times New Roman"/>
              </w:rPr>
              <w:t>Sally Hardman</w:t>
            </w:r>
          </w:p>
        </w:tc>
      </w:tr>
      <w:tr>
        <w:trPr>
          <w:trHeight w:hRule="atLeast" w:val="390"/>
        </w:trPr>
        <w:tc>
          <w:tcPr>
            <w:shd w:val="clear" w:fill="212133"/>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212133"/>
            <w:tcW w:type="dxa" w:w="1920"/>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Email: </w:t>
            </w:r>
          </w:p>
        </w:tc>
        <w:tc>
          <w:tcPr>
            <w:tcW w:type="dxa" w:w="600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shd w:val="clear" w:fill="E1E3E6"/>
                <w:color w:val="000000"/>
                <w:rFonts w:cs="Arial" w:eastAsia="Times New Roman"/>
              </w:rPr>
              <w:t>sally.hardman@sgn.co.uk</w:t>
            </w:r>
          </w:p>
        </w:tc>
      </w:tr>
      <w:tr>
        <w:trPr>
          <w:trHeight w:hRule="atLeast" w:val="390"/>
        </w:trPr>
        <w:tc>
          <w:tcPr>
            <w:shd w:val="clear" w:fill="212133"/>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212133"/>
            <w:tcW w:type="dxa" w:w="1920"/>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Telephone: </w:t>
            </w:r>
          </w:p>
        </w:tc>
        <w:tc>
          <w:tcPr>
            <w:tcW w:type="dxa" w:w="600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shd w:val="clear" w:fill="E1E3E6"/>
                <w:color w:val="000000"/>
                <w:rFonts w:cs="Arial" w:eastAsia="Times New Roman"/>
              </w:rPr>
              <w:t>07970019027</w:t>
            </w:r>
          </w:p>
        </w:tc>
      </w:tr>
      <w:tr>
        <w:trPr>
          <w:trHeight w:hRule="atLeast" w:val="1125"/>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 xml:space="preserve">Organisation’s preferred solution option, including rationale </w:t>
            </w:r>
            <w:r>
              <w:rPr>
                <w:color w:val="FFFFFF"/>
                <w:rFonts w:cs="Calibri" w:eastAsia="Times New Roman"/>
              </w:rPr>
              <w:t>taking into account</w:t>
            </w:r>
            <w:r>
              <w:rPr>
                <w:color w:val="FFFFFF"/>
                <w:rFonts w:cs="Calibri" w:eastAsia="Times New Roman"/>
              </w:rPr>
              <w:t xml:space="preserve"> costs, risks, resource etc: </w:t>
            </w:r>
          </w:p>
        </w:tc>
        <w:tc>
          <w:tcPr>
            <w:tcW w:type="dxa" w:w="7920"/>
            <w:vAlign w:val="center"/>
            <w:tcBorders>
              <w:left w:val="single" w:sz="6" w:space="0" w:color="auto"/>
              <w:top w:val="single" w:sz="6" w:space="0" w:color="auto"/>
              <w:right w:val="single" w:sz="6" w:space="0" w:color="auto"/>
              <w:bottom w:val="single" w:sz="6" w:space="0" w:color="auto"/>
            </w:tcBorders>
            <w:gridSpan w:val="2"/>
          </w:tcPr>
          <w:p>
            <w:pPr>
              <w:rPr>
                <w:rFonts w:cs="Times New Roman" w:eastAsia="Times New Roman"/>
              </w:rPr>
            </w:pPr>
            <w:r>
              <w:rPr>
                <w:shd w:val="clear" w:fill="E1E3E6"/>
                <w:color w:val="000000"/>
                <w:rFonts w:cs="Arial" w:eastAsia="Times New Roman"/>
              </w:rPr>
              <w:t>SGN's prefered solution will be that of 2a or 2b providing an automated process for DN's to interact with via UKLink. We would like to gain a better understanding of how these are likely to work to establish the impact to our business users.</w:t>
            </w:r>
          </w:p>
        </w:tc>
      </w:tr>
      <w:tr>
        <w:trPr>
          <w:trHeight w:hRule="atLeast" w:val="390"/>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Customer decision on preferred solution option: </w:t>
            </w:r>
          </w:p>
        </w:tc>
        <w:tc>
          <w:tcPr>
            <w:tcW w:type="dxa" w:w="7920"/>
            <w:vAlign w:val="center"/>
            <w:tcBorders>
              <w:left w:val="single" w:sz="6" w:space="0" w:color="auto"/>
              <w:top w:val="single" w:sz="6" w:space="0" w:color="auto"/>
              <w:right w:val="single" w:sz="6" w:space="0" w:color="auto"/>
              <w:bottom w:val="single" w:sz="6" w:space="0" w:color="auto"/>
            </w:tcBorders>
            <w:gridSpan w:val="2"/>
          </w:tcPr>
          <w:p>
            <w:pPr>
              <w:rPr>
                <w:rFonts w:cs="Times New Roman" w:eastAsia="Times New Roman"/>
              </w:rPr>
            </w:pPr>
            <w:r>
              <w:rPr>
                <w:shd w:val="clear" w:fill="E1E3E6"/>
                <w:color w:val="000000"/>
                <w:rFonts w:cs="Arial" w:eastAsia="Times New Roman"/>
              </w:rPr>
              <w:t>approved</w:t>
            </w:r>
          </w:p>
        </w:tc>
      </w:tr>
      <w:tr>
        <w:trPr>
          <w:trHeight w:hRule="atLeast" w:val="390"/>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Publication of consultation response: </w:t>
            </w:r>
          </w:p>
        </w:tc>
        <w:tc>
          <w:tcPr>
            <w:tcW w:type="dxa" w:w="7920"/>
            <w:vAlign w:val="center"/>
            <w:tcBorders>
              <w:left w:val="single" w:sz="6" w:space="0" w:color="auto"/>
              <w:top w:val="single" w:sz="6" w:space="0" w:color="auto"/>
              <w:right w:val="single" w:sz="6" w:space="0" w:color="auto"/>
              <w:bottom w:val="single" w:sz="6" w:space="0" w:color="auto"/>
            </w:tcBorders>
            <w:gridSpan w:val="2"/>
          </w:tcPr>
          <w:p>
            <w:pPr>
              <w:rPr>
                <w:rFonts w:cs="Times New Roman" w:eastAsia="Times New Roman"/>
              </w:rPr>
            </w:pPr>
            <w:r>
              <w:rPr>
                <w:rFonts w:cs="Arial" w:eastAsia="Times New Roman"/>
              </w:rPr>
              <w:t>N/A </w:t>
            </w:r>
          </w:p>
        </w:tc>
      </w:tr>
    </w:tbl>
    <w:p>
      <w:pPr>
        <w:rPr>
          <w:rStyle w:val="normaltextrun"/>
          <w:shd w:val="clear" w:fill="FFFFFF"/>
          <w:color w:val="57BAE5"/>
          <w:sz w:val="32"/>
          <w:szCs w:val="32"/>
        </w:rPr>
      </w:pPr>
    </w:p>
    <w:p>
      <w:pPr>
        <w:rPr>
          <w:rFonts w:cs="Arial" w:eastAsia="Times New Roman"/>
        </w:rPr>
      </w:pPr>
      <w:r>
        <w:rPr>
          <w:rStyle w:val="normaltextrun"/>
          <w:shd w:val="clear" w:fill="FFFFFF"/>
          <w:color w:val="57BAE5"/>
          <w:sz w:val="32"/>
          <w:szCs w:val="32"/>
        </w:rPr>
        <w:t>Xoserve’s response</w:t>
      </w:r>
      <w:r>
        <w:rPr>
          <w:rStyle w:val="eop"/>
          <w:shd w:val="clear" w:fill="FFFFFF"/>
          <w:color w:val="57BAE5"/>
          <w:sz w:val="32"/>
          <w:szCs w:val="32"/>
        </w:rPr>
        <w:t> </w:t>
      </w:r>
    </w:p>
    <w:tbl>
      <w:tblPr>
        <w:tblCellMar>
          <w:left w:type="dxa" w:w="0"/>
          <w:top w:type="dxa" w:w="0"/>
          <w:right w:type="dxa" w:w="0"/>
          <w:bottom w:type="dxa" w:w="0"/>
        </w:tblCellMar>
        <w:tblInd w:type="dxa" w:w="-45"/>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344"/>
        <w:gridCol w:w="6711"/>
      </w:tblGrid>
      <w:tr>
        <w:trPr>
          <w:trHeight w:hRule="atLeast" w:val="660"/>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jc w:val="right"/>
            </w:pPr>
            <w:r>
              <w:rPr>
                <w:color w:val="FFFFFF"/>
                <w:rFonts w:cs="Calibri" w:eastAsia="Times New Roman"/>
              </w:rPr>
              <w:t>Xoserve Response to Organisations Comments</w:t>
            </w:r>
            <w:r>
              <w:rPr>
                <w:color w:val="FFFFFF"/>
                <w:rFonts w:cs="Arial" w:eastAsia="Times New Roman"/>
              </w:rPr>
              <w:t>: </w:t>
            </w:r>
          </w:p>
        </w:tc>
        <w:tc>
          <w:tcPr>
            <w:tcW w:type="dxa" w:w="792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shd w:val="clear" w:fill="E1E3E6"/>
                <w:color w:val="000000"/>
                <w:rFonts w:cs="Arial" w:eastAsia="Times New Roman"/>
              </w:rPr>
              <w:t>Thank you for your response, this will be discussed at ChMC in September. When a preferred solution progresses through the detailed design phase we will be sure to work with DNs and fully set out how the solution would be adopted by the respective team members.</w:t>
            </w:r>
          </w:p>
        </w:tc>
      </w:tr>
    </w:tbl>
    <w:p>
      <w:pPr>
        <w:rPr>
          <w:rFonts w:cs="Segoe UI" w:eastAsia="Times New Roman"/>
        </w:rPr>
      </w:pPr>
      <w:r>
        <w:rPr>
          <w:rFonts w:cs="Arial" w:eastAsia="Times New Roman"/>
        </w:rPr>
        <w:t> </w:t>
      </w:r>
    </w:p>
    <w:p>
      <w:pPr>
        <w:rPr>
          <w:shd w:val="clear" w:fill="E1E3E6"/>
          <w:color w:val="000000"/>
          <w:rFonts w:cs="Arial" w:eastAsia="Times New Roman"/>
        </w:rPr>
      </w:pPr>
    </w:p>
    <w:p>
      <w:pPr>
        <w:rPr>
          <w:rFonts w:cs="Calibri" w:eastAsia="Times New Roman"/>
        </w:rPr>
      </w:pPr>
      <w:r>
        <w:rPr>
          <w:rFonts w:cs="Calibri" w:eastAsia="Times New Roman"/>
        </w:rPr>
        <w:t>Please consider any commercial impacts to your organisation that Xoserve need to be aware of when formulating your response </w:t>
      </w:r>
    </w:p>
    <w:p>
      <w:pPr>
        <w:rPr>
          <w:color w:val="3E5AA8"/>
          <w:rFonts w:cs="Segoe UI" w:eastAsia="Times New Roman"/>
        </w:rPr>
      </w:pPr>
    </w:p>
    <w:p>
      <w:pPr>
        <w:rPr>
          <w:rStyle w:val="normaltextrun"/>
          <w:shd w:val="clear" w:fill="FFFFFF"/>
          <w:color w:val="57BAE5"/>
          <w:sz w:val="32"/>
          <w:szCs w:val="32"/>
        </w:rPr>
      </w:pPr>
      <w:r>
        <w:rPr>
          <w:rStyle w:val="normaltextrun"/>
          <w:shd w:val="clear" w:fill="FFFFFF"/>
          <w:color w:val="57BAE5"/>
          <w:sz w:val="32"/>
          <w:szCs w:val="32"/>
        </w:rPr>
        <w:t>Organisation’s preferred solution option </w:t>
      </w:r>
    </w:p>
    <w:tbl>
      <w:tblPr>
        <w:tblCellMar>
          <w:left w:type="dxa" w:w="0"/>
          <w:top w:type="dxa" w:w="0"/>
          <w:right w:type="dxa" w:w="0"/>
          <w:bottom w:type="dxa" w:w="0"/>
        </w:tblCellMar>
        <w:tblInd w:type="dxa" w:w="-45"/>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318"/>
        <w:gridCol w:w="1841"/>
        <w:gridCol w:w="4896"/>
      </w:tblGrid>
      <w:tr>
        <w:trPr>
          <w:trHeight w:hRule="atLeast" w:val="390"/>
        </w:trPr>
        <w:tc>
          <w:tcPr>
            <w:shd w:val="clear" w:fill="212133"/>
            <w:tcW w:type="dxa" w:w="2565"/>
            <w:vAlign w:val="center"/>
            <w:tcBorders>
              <w:left w:val="single" w:sz="6" w:space="0" w:color="auto"/>
              <w:top w:val="single" w:sz="6" w:space="0" w:color="auto"/>
              <w:right w:val="single" w:sz="6" w:space="0" w:color="auto"/>
              <w:bottom w:val="single" w:sz="6" w:space="0" w:color="auto"/>
            </w:tcBorders>
            <w:vMerge w:val="restart"/>
          </w:tcPr>
          <w:p>
            <w:pPr>
              <w:rPr>
                <w:color w:val="FFFFFF"/>
                <w:rFonts w:cs="Times New Roman" w:eastAsia="Times New Roman"/>
              </w:rPr>
              <w:jc w:val="right"/>
            </w:pPr>
            <w:r>
              <w:rPr>
                <w:color w:val="FFFFFF"/>
                <w:rFonts w:cs="Calibri" w:eastAsia="Times New Roman"/>
              </w:rPr>
              <w:t>User Contact Details: </w:t>
            </w:r>
          </w:p>
        </w:tc>
        <w:tc>
          <w:tcPr>
            <w:shd w:val="clear" w:fill="212133"/>
            <w:tcW w:type="dxa" w:w="1920"/>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Organisation: </w:t>
            </w:r>
          </w:p>
        </w:tc>
        <w:tc>
          <w:tcPr>
            <w:tcW w:type="dxa" w:w="600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rFonts w:cs="Arial" w:eastAsia="Times New Roman"/>
              </w:rPr>
              <w:t>Wales &amp; West Utilities</w:t>
            </w:r>
          </w:p>
        </w:tc>
      </w:tr>
      <w:tr>
        <w:trPr>
          <w:trHeight w:hRule="atLeast" w:val="390"/>
        </w:trPr>
        <w:tc>
          <w:tcPr>
            <w:shd w:val="clear" w:fill="212133"/>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212133"/>
            <w:tcW w:type="dxa" w:w="1920"/>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Name: </w:t>
            </w:r>
          </w:p>
        </w:tc>
        <w:tc>
          <w:tcPr>
            <w:tcW w:type="dxa" w:w="600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shd w:val="clear" w:fill="E1E3E6"/>
                <w:color w:val="000000"/>
                <w:rFonts w:cs="Arial" w:eastAsia="Times New Roman"/>
              </w:rPr>
              <w:t>Tom Stuart</w:t>
            </w:r>
          </w:p>
        </w:tc>
      </w:tr>
      <w:tr>
        <w:trPr>
          <w:trHeight w:hRule="atLeast" w:val="390"/>
        </w:trPr>
        <w:tc>
          <w:tcPr>
            <w:shd w:val="clear" w:fill="212133"/>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212133"/>
            <w:tcW w:type="dxa" w:w="1920"/>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Email: </w:t>
            </w:r>
          </w:p>
        </w:tc>
        <w:tc>
          <w:tcPr>
            <w:tcW w:type="dxa" w:w="600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shd w:val="clear" w:fill="E1E3E6"/>
                <w:color w:val="000000"/>
                <w:rFonts w:cs="Arial" w:eastAsia="Times New Roman"/>
              </w:rPr>
              <w:t>tom.stuart@wwutilities.co.uk</w:t>
            </w:r>
          </w:p>
        </w:tc>
      </w:tr>
      <w:tr>
        <w:trPr>
          <w:trHeight w:hRule="atLeast" w:val="390"/>
        </w:trPr>
        <w:tc>
          <w:tcPr>
            <w:shd w:val="clear" w:fill="212133"/>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212133"/>
            <w:tcW w:type="dxa" w:w="1920"/>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Telephone: </w:t>
            </w:r>
          </w:p>
        </w:tc>
        <w:tc>
          <w:tcPr>
            <w:tcW w:type="dxa" w:w="600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shd w:val="clear" w:fill="E1E3E6"/>
                <w:color w:val="000000"/>
                <w:rFonts w:cs="Arial" w:eastAsia="Times New Roman"/>
              </w:rPr>
              <w:t>07964937739</w:t>
            </w:r>
          </w:p>
        </w:tc>
      </w:tr>
      <w:tr>
        <w:trPr>
          <w:trHeight w:hRule="atLeast" w:val="1125"/>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 xml:space="preserve">Organisation’s preferred solution option, including rationale </w:t>
            </w:r>
            <w:r>
              <w:rPr>
                <w:color w:val="FFFFFF"/>
                <w:rFonts w:cs="Calibri" w:eastAsia="Times New Roman"/>
              </w:rPr>
              <w:t>taking into account</w:t>
            </w:r>
            <w:r>
              <w:rPr>
                <w:color w:val="FFFFFF"/>
                <w:rFonts w:cs="Calibri" w:eastAsia="Times New Roman"/>
              </w:rPr>
              <w:t xml:space="preserve"> costs, risks, resource etc: </w:t>
            </w:r>
          </w:p>
        </w:tc>
        <w:tc>
          <w:tcPr>
            <w:tcW w:type="dxa" w:w="7920"/>
            <w:vAlign w:val="center"/>
            <w:tcBorders>
              <w:left w:val="single" w:sz="6" w:space="0" w:color="auto"/>
              <w:top w:val="single" w:sz="6" w:space="0" w:color="auto"/>
              <w:right w:val="single" w:sz="6" w:space="0" w:color="auto"/>
              <w:bottom w:val="single" w:sz="6" w:space="0" w:color="auto"/>
            </w:tcBorders>
            <w:gridSpan w:val="2"/>
          </w:tcPr>
          <w:p>
            <w:pPr>
              <w:rPr>
                <w:rFonts w:cs="Times New Roman" w:eastAsia="Times New Roman"/>
              </w:rPr>
            </w:pPr>
            <w:r>
              <w:rPr>
                <w:shd w:val="clear" w:fill="E1E3E6"/>
                <w:color w:val="000000"/>
                <w:rFonts w:cs="Arial" w:eastAsia="Times New Roman"/>
              </w:rPr>
              <w:t>At this stage of change development WWUs preference is option 2a, however we would like to request some points of clarity about how the solution would interact with other existing Xoserve systems and whether it could maintain specific functions of existing processes, particularly as several processes would utilise one system.</w:t>
            </w:r>
            <w:r>
              <w:rPr>
                <w:shd w:val="clear" w:fill="E1E3E6"/>
                <w:color w:val="000000"/>
                <w:rFonts w:cs="Arial" w:eastAsia="Times New Roman"/>
              </w:rPr>
              <w:br w:type="textWrapping"/>
            </w:r>
            <w:r>
              <w:rPr>
                <w:shd w:val="clear" w:fill="E1E3E6"/>
                <w:color w:val="000000"/>
                <w:rFonts w:cs="Arial" w:eastAsia="Times New Roman"/>
              </w:rPr>
              <w:br w:type="textWrapping"/>
            </w:r>
            <w:r>
              <w:rPr>
                <w:shd w:val="clear" w:fill="E1E3E6"/>
                <w:color w:val="000000"/>
                <w:rFonts w:cs="Arial" w:eastAsia="Times New Roman"/>
              </w:rPr>
              <w:t>Our preference is 2a because:</w:t>
            </w:r>
            <w:r>
              <w:rPr>
                <w:shd w:val="clear" w:fill="E1E3E6"/>
                <w:color w:val="000000"/>
                <w:rFonts w:cs="Arial" w:eastAsia="Times New Roman"/>
              </w:rPr>
              <w:br w:type="textWrapping"/>
            </w:r>
            <w:r>
              <w:rPr>
                <w:shd w:val="clear" w:fill="E1E3E6"/>
                <w:color w:val="000000"/>
                <w:rFonts w:cs="Arial" w:eastAsia="Times New Roman"/>
              </w:rPr>
              <w:t>-</w:t>
            </w:r>
            <w:r>
              <w:rPr>
                <w:shd w:val="clear" w:fill="E1E3E6"/>
                <w:color w:val="000000"/>
                <w:rFonts w:cs="Arial" w:eastAsia="Times New Roman"/>
              </w:rPr>
              <w:tab/>
            </w:r>
            <w:r>
              <w:rPr>
                <w:shd w:val="clear" w:fill="E1E3E6"/>
                <w:color w:val="000000"/>
                <w:rFonts w:cs="Arial" w:eastAsia="Times New Roman"/>
              </w:rPr>
              <w:t>Interaction with UK Link would improve efficiency</w:t>
            </w:r>
            <w:r>
              <w:rPr>
                <w:shd w:val="clear" w:fill="E1E3E6"/>
                <w:color w:val="000000"/>
                <w:rFonts w:cs="Arial" w:eastAsia="Times New Roman"/>
              </w:rPr>
              <w:br w:type="textWrapping"/>
            </w:r>
            <w:r>
              <w:rPr>
                <w:shd w:val="clear" w:fill="E1E3E6"/>
                <w:color w:val="000000"/>
                <w:rFonts w:cs="Arial" w:eastAsia="Times New Roman"/>
              </w:rPr>
              <w:t>-</w:t>
            </w:r>
            <w:r>
              <w:rPr>
                <w:shd w:val="clear" w:fill="E1E3E6"/>
                <w:color w:val="000000"/>
                <w:rFonts w:cs="Arial" w:eastAsia="Times New Roman"/>
              </w:rPr>
              <w:tab/>
            </w:r>
            <w:r>
              <w:rPr>
                <w:shd w:val="clear" w:fill="E1E3E6"/>
                <w:color w:val="000000"/>
                <w:rFonts w:cs="Arial" w:eastAsia="Times New Roman"/>
              </w:rPr>
              <w:t>live on screen rejections would provide a real benefit, and remove the current back and forth to correct errors</w:t>
            </w:r>
            <w:r>
              <w:rPr>
                <w:shd w:val="clear" w:fill="E1E3E6"/>
                <w:color w:val="000000"/>
                <w:rFonts w:cs="Arial" w:eastAsia="Times New Roman"/>
              </w:rPr>
              <w:br w:type="textWrapping"/>
            </w:r>
            <w:r>
              <w:rPr>
                <w:shd w:val="clear" w:fill="E1E3E6"/>
                <w:color w:val="000000"/>
                <w:rFonts w:cs="Arial" w:eastAsia="Times New Roman"/>
              </w:rPr>
              <w:t>-</w:t>
            </w:r>
            <w:r>
              <w:rPr>
                <w:shd w:val="clear" w:fill="E1E3E6"/>
                <w:color w:val="000000"/>
                <w:rFonts w:cs="Arial" w:eastAsia="Times New Roman"/>
              </w:rPr>
              <w:tab/>
            </w:r>
            <w:r>
              <w:rPr>
                <w:shd w:val="clear" w:fill="E1E3E6"/>
                <w:color w:val="000000"/>
                <w:rFonts w:cs="Arial" w:eastAsia="Times New Roman"/>
              </w:rPr>
              <w:t>Saves on user authentication development</w:t>
            </w:r>
            <w:r>
              <w:rPr>
                <w:shd w:val="clear" w:fill="E1E3E6"/>
                <w:color w:val="000000"/>
                <w:rFonts w:cs="Arial" w:eastAsia="Times New Roman"/>
              </w:rPr>
              <w:br w:type="textWrapping"/>
            </w:r>
            <w:r>
              <w:rPr>
                <w:shd w:val="clear" w:fill="E1E3E6"/>
                <w:color w:val="000000"/>
                <w:rFonts w:cs="Arial" w:eastAsia="Times New Roman"/>
              </w:rPr>
              <w:t>-</w:t>
            </w:r>
            <w:r>
              <w:rPr>
                <w:shd w:val="clear" w:fill="E1E3E6"/>
                <w:color w:val="000000"/>
                <w:rFonts w:cs="Arial" w:eastAsia="Times New Roman"/>
              </w:rPr>
              <w:tab/>
            </w:r>
            <w:r>
              <w:rPr>
                <w:shd w:val="clear" w:fill="E1E3E6"/>
                <w:color w:val="000000"/>
                <w:rFonts w:cs="Arial" w:eastAsia="Times New Roman"/>
              </w:rPr>
              <w:t>Seems to provide the greatest cost/benefit when considering all options</w:t>
            </w:r>
            <w:r>
              <w:rPr>
                <w:shd w:val="clear" w:fill="E1E3E6"/>
                <w:color w:val="000000"/>
                <w:rFonts w:cs="Arial" w:eastAsia="Times New Roman"/>
              </w:rPr>
              <w:br w:type="textWrapping"/>
            </w:r>
            <w:r>
              <w:rPr>
                <w:shd w:val="clear" w:fill="E1E3E6"/>
                <w:color w:val="000000"/>
                <w:rFonts w:cs="Arial" w:eastAsia="Times New Roman"/>
              </w:rPr>
              <w:t>-</w:t>
            </w:r>
            <w:r>
              <w:rPr>
                <w:shd w:val="clear" w:fill="E1E3E6"/>
                <w:color w:val="000000"/>
                <w:rFonts w:cs="Arial" w:eastAsia="Times New Roman"/>
              </w:rPr>
              <w:tab/>
            </w:r>
            <w:r>
              <w:rPr>
                <w:shd w:val="clear" w:fill="E1E3E6"/>
                <w:color w:val="000000"/>
                <w:rFonts w:cs="Arial" w:eastAsia="Times New Roman"/>
              </w:rPr>
              <w:t xml:space="preserve">is there an option for 2b to be considered as a second phase of development if required?  </w:t>
            </w:r>
            <w:r>
              <w:rPr>
                <w:shd w:val="clear" w:fill="E1E3E6"/>
                <w:color w:val="000000"/>
                <w:rFonts w:cs="Arial" w:eastAsia="Times New Roman"/>
              </w:rPr>
              <w:br w:type="textWrapping"/>
            </w:r>
            <w:r>
              <w:rPr>
                <w:shd w:val="clear" w:fill="E1E3E6"/>
                <w:color w:val="000000"/>
                <w:rFonts w:cs="Arial" w:eastAsia="Times New Roman"/>
              </w:rPr>
              <w:br w:type="textWrapping"/>
            </w:r>
            <w:r>
              <w:rPr>
                <w:shd w:val="clear" w:fill="E1E3E6"/>
                <w:color w:val="000000"/>
                <w:rFonts w:cs="Arial" w:eastAsia="Times New Roman"/>
              </w:rPr>
              <w:t>Points of clarity:</w:t>
            </w:r>
            <w:r>
              <w:rPr>
                <w:shd w:val="clear" w:fill="E1E3E6"/>
                <w:color w:val="000000"/>
                <w:rFonts w:cs="Arial" w:eastAsia="Times New Roman"/>
              </w:rPr>
              <w:br w:type="textWrapping"/>
            </w:r>
            <w:r>
              <w:rPr>
                <w:shd w:val="clear" w:fill="E1E3E6"/>
                <w:color w:val="000000"/>
                <w:rFonts w:cs="Arial" w:eastAsia="Times New Roman"/>
              </w:rPr>
              <w:t>-</w:t>
            </w:r>
            <w:r>
              <w:rPr>
                <w:shd w:val="clear" w:fill="E1E3E6"/>
                <w:color w:val="000000"/>
                <w:rFonts w:cs="Arial" w:eastAsia="Times New Roman"/>
              </w:rPr>
              <w:tab/>
            </w:r>
            <w:r>
              <w:rPr>
                <w:shd w:val="clear" w:fill="E1E3E6"/>
                <w:color w:val="000000"/>
                <w:rFonts w:cs="Arial" w:eastAsia="Times New Roman"/>
              </w:rPr>
              <w:t>What security would be implemented to protect the portal against threats?</w:t>
            </w:r>
            <w:r>
              <w:rPr>
                <w:shd w:val="clear" w:fill="E1E3E6"/>
                <w:color w:val="000000"/>
                <w:rFonts w:cs="Arial" w:eastAsia="Times New Roman"/>
              </w:rPr>
              <w:br w:type="textWrapping"/>
            </w:r>
            <w:r>
              <w:rPr>
                <w:shd w:val="clear" w:fill="E1E3E6"/>
                <w:color w:val="000000"/>
                <w:rFonts w:cs="Arial" w:eastAsia="Times New Roman"/>
              </w:rPr>
              <w:t>-</w:t>
            </w:r>
            <w:r>
              <w:rPr>
                <w:shd w:val="clear" w:fill="E1E3E6"/>
                <w:color w:val="000000"/>
                <w:rFonts w:cs="Arial" w:eastAsia="Times New Roman"/>
              </w:rPr>
              <w:tab/>
            </w:r>
            <w:r>
              <w:rPr>
                <w:shd w:val="clear" w:fill="E1E3E6"/>
                <w:color w:val="000000"/>
                <w:rFonts w:cs="Arial" w:eastAsia="Times New Roman"/>
              </w:rPr>
              <w:t>How would systems such as CMS interact with this system? It is not clear to us whether the portal would be used instead of CMS in some instances</w:t>
            </w:r>
            <w:r>
              <w:rPr>
                <w:shd w:val="clear" w:fill="E1E3E6"/>
                <w:color w:val="000000"/>
                <w:rFonts w:cs="Arial" w:eastAsia="Times New Roman"/>
              </w:rPr>
              <w:br w:type="textWrapping"/>
            </w:r>
            <w:r>
              <w:rPr>
                <w:shd w:val="clear" w:fill="E1E3E6"/>
                <w:color w:val="000000"/>
                <w:rFonts w:cs="Arial" w:eastAsia="Times New Roman"/>
              </w:rPr>
              <w:t>-</w:t>
            </w:r>
            <w:r>
              <w:rPr>
                <w:shd w:val="clear" w:fill="E1E3E6"/>
                <w:color w:val="000000"/>
                <w:rFonts w:cs="Arial" w:eastAsia="Times New Roman"/>
              </w:rPr>
              <w:tab/>
            </w:r>
            <w:r>
              <w:rPr>
                <w:shd w:val="clear" w:fill="E1E3E6"/>
                <w:color w:val="000000"/>
                <w:rFonts w:cs="Arial" w:eastAsia="Times New Roman"/>
              </w:rPr>
              <w:t>How might a portal support functionality specific to processes, for example, it’s not currently clear how supporting information provided as part of an RTB submission would be handled.</w:t>
            </w:r>
            <w:r>
              <w:rPr>
                <w:shd w:val="clear" w:fill="E1E3E6"/>
                <w:color w:val="000000"/>
                <w:rFonts w:cs="Arial" w:eastAsia="Times New Roman"/>
              </w:rPr>
              <w:br w:type="textWrapping"/>
            </w:r>
            <w:r>
              <w:rPr>
                <w:shd w:val="clear" w:fill="E1E3E6"/>
                <w:color w:val="000000"/>
                <w:rFonts w:cs="Arial" w:eastAsia="Times New Roman"/>
              </w:rPr>
              <w:t>-</w:t>
            </w:r>
            <w:r>
              <w:rPr>
                <w:shd w:val="clear" w:fill="E1E3E6"/>
                <w:color w:val="000000"/>
                <w:rFonts w:cs="Arial" w:eastAsia="Times New Roman"/>
              </w:rPr>
              <w:tab/>
            </w:r>
            <w:r>
              <w:rPr>
                <w:shd w:val="clear" w:fill="E1E3E6"/>
                <w:color w:val="000000"/>
                <w:rFonts w:cs="Arial" w:eastAsia="Times New Roman"/>
              </w:rPr>
              <w:t>User roles should be implemented to restrict unnecessary access.</w:t>
            </w:r>
            <w:r>
              <w:rPr>
                <w:shd w:val="clear" w:fill="E1E3E6"/>
                <w:color w:val="000000"/>
                <w:rFonts w:cs="Arial" w:eastAsia="Times New Roman"/>
              </w:rPr>
              <w:br w:type="textWrapping"/>
            </w:r>
            <w:r>
              <w:rPr>
                <w:shd w:val="clear" w:fill="E1E3E6"/>
                <w:color w:val="000000"/>
                <w:rFonts w:cs="Arial" w:eastAsia="Times New Roman"/>
              </w:rPr>
              <w:t>-</w:t>
            </w:r>
            <w:r>
              <w:rPr>
                <w:shd w:val="clear" w:fill="E1E3E6"/>
                <w:color w:val="000000"/>
                <w:rFonts w:cs="Arial" w:eastAsia="Times New Roman"/>
              </w:rPr>
              <w:tab/>
            </w:r>
            <w:r>
              <w:rPr>
                <w:shd w:val="clear" w:fill="E1E3E6"/>
                <w:color w:val="000000"/>
                <w:rFonts w:cs="Arial" w:eastAsia="Times New Roman"/>
              </w:rPr>
              <w:t>Can a portal support submission receipts</w:t>
            </w:r>
            <w:r>
              <w:rPr>
                <w:shd w:val="clear" w:fill="E1E3E6"/>
                <w:color w:val="000000"/>
                <w:rFonts w:cs="Arial" w:eastAsia="Times New Roman"/>
              </w:rPr>
              <w:br w:type="textWrapping"/>
            </w:r>
            <w:r>
              <w:rPr>
                <w:shd w:val="clear" w:fill="E1E3E6"/>
                <w:color w:val="000000"/>
                <w:rFonts w:cs="Arial" w:eastAsia="Times New Roman"/>
              </w:rPr>
              <w:t>-</w:t>
            </w:r>
            <w:r>
              <w:rPr>
                <w:shd w:val="clear" w:fill="E1E3E6"/>
                <w:color w:val="000000"/>
                <w:rFonts w:cs="Arial" w:eastAsia="Times New Roman"/>
              </w:rPr>
              <w:tab/>
            </w:r>
            <w:r>
              <w:rPr>
                <w:shd w:val="clear" w:fill="E1E3E6"/>
                <w:color w:val="000000"/>
                <w:rFonts w:cs="Arial" w:eastAsia="Times New Roman"/>
              </w:rPr>
              <w:t>Will a portal have the ability for a user to review and amend submissions</w:t>
            </w:r>
            <w:r>
              <w:rPr>
                <w:shd w:val="clear" w:fill="E1E3E6"/>
                <w:color w:val="000000"/>
                <w:rFonts w:cs="Arial" w:eastAsia="Times New Roman"/>
              </w:rPr>
              <w:br w:type="textWrapping"/>
            </w:r>
            <w:r>
              <w:rPr>
                <w:shd w:val="clear" w:fill="E1E3E6"/>
                <w:color w:val="000000"/>
                <w:rFonts w:cs="Arial" w:eastAsia="Times New Roman"/>
              </w:rPr>
              <w:br w:type="textWrapping"/>
            </w:r>
            <w:r>
              <w:rPr>
                <w:shd w:val="clear" w:fill="E1E3E6"/>
                <w:color w:val="000000"/>
                <w:rFonts w:cs="Arial" w:eastAsia="Times New Roman"/>
              </w:rPr>
              <w:t xml:space="preserve">Finally, we think a workshop with SMEs to discuss some of the more detailed process points is necessary.  </w:t>
            </w:r>
            <w:r>
              <w:rPr>
                <w:shd w:val="clear" w:fill="E1E3E6"/>
                <w:color w:val="000000"/>
                <w:rFonts w:cs="Arial" w:eastAsia="Times New Roman"/>
              </w:rPr>
              <w:br w:type="textWrapping"/>
            </w:r>
            <w:r>
              <w:rPr>
                <w:shd w:val="clear" w:fill="E1E3E6"/>
                <w:color w:val="000000"/>
                <w:rFonts w:cs="Arial" w:eastAsia="Times New Roman"/>
              </w:rPr>
              <w:br w:type="textWrapping"/>
            </w:r>
            <w:r>
              <w:rPr>
                <w:shd w:val="clear" w:fill="E1E3E6"/>
                <w:color w:val="000000"/>
                <w:rFonts w:cs="Arial" w:eastAsia="Times New Roman"/>
              </w:rPr>
              <w:t xml:space="preserve"> </w:t>
            </w:r>
            <w:r>
              <w:rPr>
                <w:shd w:val="clear" w:fill="E1E3E6"/>
                <w:color w:val="000000"/>
                <w:rFonts w:cs="Arial" w:eastAsia="Times New Roman"/>
              </w:rPr>
              <w:br w:type="textWrapping"/>
            </w:r>
          </w:p>
        </w:tc>
      </w:tr>
      <w:tr>
        <w:trPr>
          <w:trHeight w:hRule="atLeast" w:val="390"/>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Commercial impacts: </w:t>
            </w:r>
          </w:p>
        </w:tc>
        <w:tc>
          <w:tcPr>
            <w:tcW w:type="dxa" w:w="7920"/>
            <w:vAlign w:val="center"/>
            <w:tcBorders>
              <w:left w:val="single" w:sz="6" w:space="0" w:color="auto"/>
              <w:top w:val="single" w:sz="6" w:space="0" w:color="auto"/>
              <w:right w:val="single" w:sz="6" w:space="0" w:color="auto"/>
              <w:bottom w:val="single" w:sz="6" w:space="0" w:color="auto"/>
            </w:tcBorders>
            <w:gridSpan w:val="2"/>
          </w:tcPr>
          <w:p>
            <w:pPr>
              <w:rPr>
                <w:rFonts w:cs="Times New Roman" w:eastAsia="Times New Roman"/>
              </w:rPr>
            </w:pPr>
            <w:r>
              <w:rPr>
                <w:shd w:val="clear" w:fill="E1E3E6"/>
                <w:color w:val="000000"/>
                <w:rFonts w:cs="Arial" w:eastAsia="Times New Roman"/>
              </w:rPr>
              <w:t>We do not foresee any impacts</w:t>
            </w:r>
          </w:p>
        </w:tc>
      </w:tr>
      <w:tr>
        <w:trPr>
          <w:trHeight w:hRule="atLeast" w:val="390"/>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Customer decision on preferred solution option: </w:t>
            </w:r>
          </w:p>
        </w:tc>
        <w:tc>
          <w:tcPr>
            <w:tcW w:type="dxa" w:w="7920"/>
            <w:vAlign w:val="center"/>
            <w:tcBorders>
              <w:left w:val="single" w:sz="6" w:space="0" w:color="auto"/>
              <w:top w:val="single" w:sz="6" w:space="0" w:color="auto"/>
              <w:right w:val="single" w:sz="6" w:space="0" w:color="auto"/>
              <w:bottom w:val="single" w:sz="6" w:space="0" w:color="auto"/>
            </w:tcBorders>
            <w:gridSpan w:val="2"/>
          </w:tcPr>
          <w:p>
            <w:pPr>
              <w:rPr>
                <w:rFonts w:cs="Times New Roman" w:eastAsia="Times New Roman"/>
              </w:rPr>
            </w:pPr>
            <w:r>
              <w:rPr>
                <w:shd w:val="clear" w:fill="E1E3E6"/>
                <w:color w:val="000000"/>
                <w:rFonts w:cs="Arial" w:eastAsia="Times New Roman"/>
              </w:rPr>
              <w:t>approved</w:t>
            </w:r>
          </w:p>
        </w:tc>
      </w:tr>
      <w:tr>
        <w:trPr>
          <w:trHeight w:hRule="atLeast" w:val="390"/>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color w:val="FFFFFF"/>
                <w:rFonts w:cs="Times New Roman" w:eastAsia="Times New Roman"/>
              </w:rPr>
              <w:jc w:val="right"/>
            </w:pPr>
            <w:r>
              <w:rPr>
                <w:color w:val="FFFFFF"/>
                <w:rFonts w:cs="Calibri" w:eastAsia="Times New Roman"/>
              </w:rPr>
              <w:t>Publication of consultation response: </w:t>
            </w:r>
          </w:p>
        </w:tc>
        <w:tc>
          <w:tcPr>
            <w:tcW w:type="dxa" w:w="7920"/>
            <w:vAlign w:val="center"/>
            <w:tcBorders>
              <w:left w:val="single" w:sz="6" w:space="0" w:color="auto"/>
              <w:top w:val="single" w:sz="6" w:space="0" w:color="auto"/>
              <w:right w:val="single" w:sz="6" w:space="0" w:color="auto"/>
              <w:bottom w:val="single" w:sz="6" w:space="0" w:color="auto"/>
            </w:tcBorders>
            <w:gridSpan w:val="2"/>
          </w:tcPr>
          <w:p>
            <w:pPr>
              <w:rPr>
                <w:rFonts w:cs="Times New Roman" w:eastAsia="Times New Roman"/>
              </w:rPr>
            </w:pPr>
            <w:r>
              <w:rPr>
                <w:rFonts w:cs="Arial" w:eastAsia="Times New Roman"/>
              </w:rPr>
              <w:t>N/A </w:t>
            </w:r>
          </w:p>
        </w:tc>
      </w:tr>
    </w:tbl>
    <w:p>
      <w:pPr>
        <w:rPr>
          <w:rStyle w:val="normaltextrun"/>
          <w:shd w:val="clear" w:fill="FFFFFF"/>
          <w:color w:val="57BAE5"/>
          <w:sz w:val="32"/>
          <w:szCs w:val="32"/>
        </w:rPr>
      </w:pPr>
    </w:p>
    <w:p>
      <w:pPr>
        <w:rPr>
          <w:rFonts w:cs="Arial" w:eastAsia="Times New Roman"/>
        </w:rPr>
      </w:pPr>
      <w:r>
        <w:rPr>
          <w:rStyle w:val="normaltextrun"/>
          <w:shd w:val="clear" w:fill="FFFFFF"/>
          <w:color w:val="57BAE5"/>
          <w:sz w:val="32"/>
          <w:szCs w:val="32"/>
        </w:rPr>
        <w:t>Xoserve’s response</w:t>
      </w:r>
      <w:r>
        <w:rPr>
          <w:rStyle w:val="eop"/>
          <w:shd w:val="clear" w:fill="FFFFFF"/>
          <w:color w:val="57BAE5"/>
          <w:sz w:val="32"/>
          <w:szCs w:val="32"/>
        </w:rPr>
        <w:t> </w:t>
      </w:r>
    </w:p>
    <w:tbl>
      <w:tblPr>
        <w:tblCellMar>
          <w:left w:type="dxa" w:w="0"/>
          <w:top w:type="dxa" w:w="0"/>
          <w:right w:type="dxa" w:w="0"/>
          <w:bottom w:type="dxa" w:w="0"/>
        </w:tblCellMar>
        <w:tblInd w:type="dxa" w:w="-45"/>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344"/>
        <w:gridCol w:w="6711"/>
      </w:tblGrid>
      <w:tr>
        <w:trPr>
          <w:trHeight w:hRule="atLeast" w:val="660"/>
        </w:trPr>
        <w:tc>
          <w:tcPr>
            <w:shd w:val="clear" w:fill="212133"/>
            <w:tcW w:type="dxa" w:w="2565"/>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jc w:val="right"/>
            </w:pPr>
            <w:r>
              <w:rPr>
                <w:color w:val="FFFFFF"/>
                <w:rFonts w:cs="Calibri" w:eastAsia="Times New Roman"/>
              </w:rPr>
              <w:t>Xoserve Response to Organisations Comments</w:t>
            </w:r>
            <w:r>
              <w:rPr>
                <w:color w:val="FFFFFF"/>
                <w:rFonts w:cs="Arial" w:eastAsia="Times New Roman"/>
              </w:rPr>
              <w:t>: </w:t>
            </w:r>
          </w:p>
        </w:tc>
        <w:tc>
          <w:tcPr>
            <w:tcW w:type="dxa" w:w="7920"/>
            <w:vAlign w:val="center"/>
            <w:tcBorders>
              <w:left w:val="single" w:sz="6" w:space="0" w:color="auto"/>
              <w:top w:val="single" w:sz="6" w:space="0" w:color="auto"/>
              <w:right w:val="single" w:sz="6" w:space="0" w:color="auto"/>
              <w:bottom w:val="single" w:sz="6" w:space="0" w:color="auto"/>
            </w:tcBorders>
          </w:tcPr>
          <w:p>
            <w:pPr>
              <w:rPr>
                <w:rFonts w:cs="Times New Roman" w:eastAsia="Times New Roman"/>
              </w:rPr>
            </w:pPr>
            <w:r>
              <w:rPr>
                <w:shd w:val="clear" w:fill="E1E3E6"/>
                <w:color w:val="000000"/>
                <w:rFonts w:cs="Arial" w:eastAsia="Times New Roman"/>
              </w:rPr>
              <w:t xml:space="preserve">Thank you for your response, this will be discussed at ChMC in September. </w:t>
            </w:r>
            <w:r>
              <w:rPr>
                <w:shd w:val="clear" w:fill="E1E3E6"/>
                <w:color w:val="000000"/>
                <w:rFonts w:cs="Arial" w:eastAsia="Times New Roman"/>
              </w:rPr>
              <w:br w:type="textWrapping"/>
            </w:r>
            <w:r>
              <w:rPr>
                <w:shd w:val="clear" w:fill="E1E3E6"/>
                <w:color w:val="000000"/>
                <w:rFonts w:cs="Arial" w:eastAsia="Times New Roman"/>
              </w:rPr>
              <w:br w:type="textWrapping"/>
            </w:r>
            <w:r>
              <w:rPr>
                <w:shd w:val="clear" w:fill="E1E3E6"/>
                <w:color w:val="000000"/>
                <w:rFonts w:cs="Arial" w:eastAsia="Times New Roman"/>
              </w:rPr>
              <w:t>We can confirm that the additional features identified within Option 2b can be progressed at a later date, providing option 2a is initially selected by DNs. In terms of security credentials and protection against threats, we will adopt the standards and controls that are in place for UK Link Portal, with access only being authorised and configured based on customers needs. With respect to online, portal Solutions, these create a new front end for the DN user, with any successful requests feeding the relevant systems such as CMS - effectively replacing the current .xls templates in circulation which are supplied to designated box accounts or locations by DN users. With respect to the remaining points of clarification that have been requested, we would look to clarify and develop the solution by working with DNs throughout the detailed design phase once a preferred solution option is selected.</w:t>
            </w:r>
          </w:p>
        </w:tc>
      </w:tr>
    </w:tbl>
    <w:p>
      <w:pPr>
        <w:rPr>
          <w:rFonts w:cs="Segoe UI" w:eastAsia="Times New Roman"/>
        </w:rPr>
      </w:pPr>
      <w:r>
        <w:rPr>
          <w:rFonts w:cs="Arial" w:eastAsia="Times New Roman"/>
        </w:rPr>
        <w:t> </w:t>
      </w:r>
    </w:p>
    <w:p>
      <w:pPr/>
    </w:p>
    <w:p>
      <w:pPr>
        <w:rPr>
          <w:color w:val="6680FF"/>
          <w:sz w:val="40"/>
          <w:szCs w:val="40"/>
        </w:rPr>
      </w:pPr>
      <w:r>
        <w:rPr>
          <w:color w:val="6680FF"/>
          <w:sz w:val="40"/>
          <w:szCs w:val="40"/>
        </w:rPr>
        <w:br w:type="page"/>
      </w:r>
    </w:p>
    <w:p>
      <w:pPr>
        <w:rPr>
          <w:color w:val="6680FF"/>
          <w:sz w:val="40"/>
          <w:szCs w:val="40"/>
        </w:rPr>
      </w:pPr>
    </w:p>
    <w:p>
      <w:pPr>
        <w:rPr>
          <w:color w:val="6680FF"/>
          <w:sz w:val="40"/>
          <w:szCs w:val="40"/>
        </w:rPr>
      </w:pPr>
      <w:r>
        <w:rPr>
          <w:color w:val="6680FF"/>
          <w:sz w:val="40"/>
          <w:szCs w:val="40"/>
        </w:rPr>
        <w:t>Version Control </w:t>
      </w:r>
    </w:p>
    <w:p>
      <w:pPr/>
      <w:r>
        <w:t> </w:t>
      </w:r>
    </w:p>
    <w:p>
      <w:pPr/>
      <w:r>
        <w:t>Document </w:t>
      </w:r>
    </w:p>
    <w:tbl>
      <w:tblPr>
        <w:tblCellMar>
          <w:left w:type="dxa" w:w="0"/>
          <w:top w:type="dxa" w:w="0"/>
          <w:right w:type="dxa" w:w="0"/>
          <w:bottom w:type="dxa" w:w="0"/>
        </w:tblCellMar>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1860"/>
        <w:gridCol w:w="1815"/>
        <w:gridCol w:w="1785"/>
        <w:gridCol w:w="1950"/>
        <w:gridCol w:w="1575"/>
      </w:tblGrid>
      <w:tr>
        <w:trPr>
          <w:trHeight w:hRule="atLeast" w:val="300"/>
        </w:trPr>
        <w:tc>
          <w:tcPr>
            <w:shd w:val="clear" w:fill="212133"/>
            <w:tcW w:type="dxa" w:w="1860"/>
            <w:vAlign w:val="center"/>
            <w:tcBorders>
              <w:left w:val="single" w:sz="6" w:space="0" w:color="212133"/>
              <w:top w:val="single" w:sz="6" w:space="0" w:color="212133"/>
              <w:right w:val="single" w:sz="4" w:space="0" w:color="FFFFFF"/>
              <w:bottom w:val="single" w:sz="6" w:space="0" w:color="212133"/>
            </w:tcBorders>
          </w:tcPr>
          <w:p>
            <w:pPr>
              <w:rPr>
                <w:color w:val="F5F7FF"/>
              </w:rPr>
            </w:pPr>
            <w:r>
              <w:rPr>
                <w:color w:val="F5F7FF"/>
              </w:rPr>
              <w:t>Version </w:t>
            </w:r>
          </w:p>
        </w:tc>
        <w:tc>
          <w:tcPr>
            <w:shd w:val="clear" w:fill="212133"/>
            <w:tcW w:type="dxa" w:w="1815"/>
            <w:vAlign w:val="center"/>
            <w:tcBorders>
              <w:left w:val="single" w:sz="4" w:space="0" w:color="FFFFFF"/>
              <w:top w:val="single" w:sz="6" w:space="0" w:color="212133"/>
              <w:right w:val="single" w:sz="4" w:space="0" w:color="FFFFFF"/>
              <w:bottom w:val="single" w:sz="6" w:space="0" w:color="212133"/>
            </w:tcBorders>
          </w:tcPr>
          <w:p>
            <w:pPr>
              <w:rPr>
                <w:color w:val="F5F7FF"/>
              </w:rPr>
            </w:pPr>
            <w:r>
              <w:rPr>
                <w:color w:val="F5F7FF"/>
              </w:rPr>
              <w:t> </w:t>
            </w:r>
          </w:p>
          <w:p>
            <w:pPr>
              <w:rPr>
                <w:color w:val="F5F7FF"/>
              </w:rPr>
            </w:pPr>
            <w:r>
              <w:rPr>
                <w:color w:val="F5F7FF"/>
              </w:rPr>
              <w:t>Status </w:t>
            </w:r>
          </w:p>
          <w:p>
            <w:pPr>
              <w:rPr>
                <w:color w:val="F5F7FF"/>
              </w:rPr>
            </w:pPr>
            <w:r>
              <w:rPr>
                <w:color w:val="F5F7FF"/>
              </w:rPr>
              <w:t> </w:t>
            </w:r>
          </w:p>
        </w:tc>
        <w:tc>
          <w:tcPr>
            <w:shd w:val="clear" w:fill="212133"/>
            <w:tcW w:type="dxa" w:w="1785"/>
            <w:vAlign w:val="center"/>
            <w:tcBorders>
              <w:left w:val="single" w:sz="4" w:space="0" w:color="FFFFFF"/>
              <w:top w:val="single" w:sz="6" w:space="0" w:color="212133"/>
              <w:right w:val="single" w:sz="4" w:space="0" w:color="FFFFFF"/>
              <w:bottom w:val="single" w:sz="6" w:space="0" w:color="212133"/>
            </w:tcBorders>
          </w:tcPr>
          <w:p>
            <w:pPr>
              <w:rPr>
                <w:color w:val="F5F7FF"/>
              </w:rPr>
            </w:pPr>
            <w:r>
              <w:rPr>
                <w:color w:val="F5F7FF"/>
              </w:rPr>
              <w:t>Date </w:t>
            </w:r>
          </w:p>
        </w:tc>
        <w:tc>
          <w:tcPr>
            <w:shd w:val="clear" w:fill="212133"/>
            <w:tcW w:type="dxa" w:w="1950"/>
            <w:vAlign w:val="center"/>
            <w:tcBorders>
              <w:left w:val="single" w:sz="4" w:space="0" w:color="FFFFFF"/>
              <w:top w:val="single" w:sz="6" w:space="0" w:color="212133"/>
              <w:right w:val="single" w:sz="4" w:space="0" w:color="FFFFFF"/>
              <w:bottom w:val="single" w:sz="6" w:space="0" w:color="212133"/>
            </w:tcBorders>
          </w:tcPr>
          <w:p>
            <w:pPr>
              <w:rPr>
                <w:color w:val="F5F7FF"/>
              </w:rPr>
            </w:pPr>
            <w:r>
              <w:rPr>
                <w:color w:val="F5F7FF"/>
              </w:rPr>
              <w:t>Author(s) </w:t>
            </w:r>
          </w:p>
        </w:tc>
        <w:tc>
          <w:tcPr>
            <w:shd w:val="clear" w:fill="212133"/>
            <w:tcW w:type="dxa" w:w="1575"/>
            <w:vAlign w:val="center"/>
            <w:tcBorders>
              <w:left w:val="single" w:sz="4" w:space="0" w:color="FFFFFF"/>
              <w:top w:val="single" w:sz="6" w:space="0" w:color="212133"/>
              <w:right w:val="single" w:sz="6" w:space="0" w:color="212133"/>
              <w:bottom w:val="single" w:sz="6" w:space="0" w:color="212133"/>
            </w:tcBorders>
          </w:tcPr>
          <w:p>
            <w:pPr>
              <w:rPr>
                <w:color w:val="F5F7FF"/>
              </w:rPr>
            </w:pPr>
            <w:r>
              <w:rPr>
                <w:color w:val="F5F7FF"/>
              </w:rPr>
              <w:t>Remarks </w:t>
            </w:r>
          </w:p>
        </w:tc>
      </w:tr>
      <w:tr>
        <w:trPr>
          <w:trHeight w:hRule="atLeast" w:val="300"/>
        </w:trPr>
        <w:tc>
          <w:tcPr>
            <w:tcW w:type="dxa" w:w="1860"/>
            <w:vAlign w:val="center"/>
            <w:tcBorders>
              <w:left w:val="single" w:sz="6" w:space="0" w:color="212133"/>
              <w:top w:val="single" w:sz="6" w:space="0" w:color="212133"/>
              <w:right w:val="single" w:sz="6" w:space="0" w:color="212133"/>
              <w:bottom w:val="single" w:sz="6" w:space="0" w:color="212133"/>
            </w:tcBorders>
          </w:tcPr>
          <w:p>
            <w:pPr/>
            <w:r>
              <w:t> </w:t>
            </w:r>
          </w:p>
        </w:tc>
        <w:tc>
          <w:tcPr>
            <w:tcW w:type="dxa" w:w="1815"/>
            <w:tcBorders>
              <w:left w:val="single" w:sz="6" w:space="0" w:color="212133"/>
              <w:top w:val="single" w:sz="6" w:space="0" w:color="212133"/>
              <w:right w:val="single" w:sz="6" w:space="0" w:color="212133"/>
              <w:bottom w:val="single" w:sz="6" w:space="0" w:color="212133"/>
            </w:tcBorders>
          </w:tcPr>
          <w:p>
            <w:pPr/>
            <w:r>
              <w:t> </w:t>
            </w:r>
          </w:p>
        </w:tc>
        <w:tc>
          <w:tcPr>
            <w:tcW w:type="dxa" w:w="1785"/>
            <w:tcBorders>
              <w:left w:val="single" w:sz="6" w:space="0" w:color="212133"/>
              <w:top w:val="single" w:sz="6" w:space="0" w:color="212133"/>
              <w:right w:val="single" w:sz="6" w:space="0" w:color="212133"/>
              <w:bottom w:val="single" w:sz="6" w:space="0" w:color="212133"/>
            </w:tcBorders>
          </w:tcPr>
          <w:p>
            <w:pPr/>
            <w:r>
              <w:t> </w:t>
            </w:r>
          </w:p>
        </w:tc>
        <w:tc>
          <w:tcPr>
            <w:tcW w:type="dxa" w:w="1950"/>
            <w:tcBorders>
              <w:left w:val="single" w:sz="6" w:space="0" w:color="212133"/>
              <w:top w:val="single" w:sz="6" w:space="0" w:color="212133"/>
              <w:right w:val="single" w:sz="6" w:space="0" w:color="212133"/>
              <w:bottom w:val="single" w:sz="6" w:space="0" w:color="212133"/>
            </w:tcBorders>
          </w:tcPr>
          <w:p>
            <w:pPr/>
            <w:r>
              <w:t> </w:t>
            </w:r>
          </w:p>
        </w:tc>
        <w:tc>
          <w:tcPr>
            <w:tcW w:type="dxa" w:w="1575"/>
            <w:tcBorders>
              <w:left w:val="single" w:sz="6" w:space="0" w:color="212133"/>
              <w:top w:val="single" w:sz="6" w:space="0" w:color="212133"/>
              <w:right w:val="single" w:sz="6" w:space="0" w:color="212133"/>
              <w:bottom w:val="single" w:sz="6" w:space="0" w:color="212133"/>
            </w:tcBorders>
          </w:tcPr>
          <w:p>
            <w:pPr/>
            <w:r>
              <w:t> </w:t>
            </w:r>
          </w:p>
        </w:tc>
      </w:tr>
      <w:tr>
        <w:trPr>
          <w:trHeight w:hRule="atLeast" w:val="300"/>
        </w:trPr>
        <w:tc>
          <w:tcPr>
            <w:tcW w:type="dxa" w:w="1860"/>
            <w:vAlign w:val="center"/>
            <w:tcBorders>
              <w:left w:val="single" w:sz="6" w:space="0" w:color="212133"/>
              <w:top w:val="single" w:sz="6" w:space="0" w:color="212133"/>
              <w:right w:val="single" w:sz="6" w:space="0" w:color="212133"/>
              <w:bottom w:val="single" w:sz="6" w:space="0" w:color="212133"/>
            </w:tcBorders>
          </w:tcPr>
          <w:p>
            <w:pPr/>
            <w:r>
              <w:t> </w:t>
            </w:r>
          </w:p>
        </w:tc>
        <w:tc>
          <w:tcPr>
            <w:tcW w:type="dxa" w:w="1815"/>
            <w:tcBorders>
              <w:left w:val="single" w:sz="6" w:space="0" w:color="212133"/>
              <w:top w:val="single" w:sz="6" w:space="0" w:color="212133"/>
              <w:right w:val="single" w:sz="6" w:space="0" w:color="212133"/>
              <w:bottom w:val="single" w:sz="6" w:space="0" w:color="212133"/>
            </w:tcBorders>
          </w:tcPr>
          <w:p>
            <w:pPr/>
            <w:r>
              <w:t> </w:t>
            </w:r>
          </w:p>
        </w:tc>
        <w:tc>
          <w:tcPr>
            <w:tcW w:type="dxa" w:w="1785"/>
            <w:tcBorders>
              <w:left w:val="single" w:sz="6" w:space="0" w:color="212133"/>
              <w:top w:val="single" w:sz="6" w:space="0" w:color="212133"/>
              <w:right w:val="single" w:sz="6" w:space="0" w:color="212133"/>
              <w:bottom w:val="single" w:sz="6" w:space="0" w:color="212133"/>
            </w:tcBorders>
          </w:tcPr>
          <w:p>
            <w:pPr/>
            <w:r>
              <w:t> </w:t>
            </w:r>
          </w:p>
        </w:tc>
        <w:tc>
          <w:tcPr>
            <w:tcW w:type="dxa" w:w="1950"/>
            <w:tcBorders>
              <w:left w:val="single" w:sz="6" w:space="0" w:color="212133"/>
              <w:top w:val="single" w:sz="6" w:space="0" w:color="212133"/>
              <w:right w:val="single" w:sz="6" w:space="0" w:color="212133"/>
              <w:bottom w:val="single" w:sz="6" w:space="0" w:color="212133"/>
            </w:tcBorders>
          </w:tcPr>
          <w:p>
            <w:pPr/>
            <w:r>
              <w:t> </w:t>
            </w:r>
          </w:p>
        </w:tc>
        <w:tc>
          <w:tcPr>
            <w:tcW w:type="dxa" w:w="1575"/>
            <w:tcBorders>
              <w:left w:val="single" w:sz="6" w:space="0" w:color="212133"/>
              <w:top w:val="single" w:sz="6" w:space="0" w:color="212133"/>
              <w:right w:val="single" w:sz="6" w:space="0" w:color="212133"/>
              <w:bottom w:val="single" w:sz="6" w:space="0" w:color="212133"/>
            </w:tcBorders>
          </w:tcPr>
          <w:p>
            <w:pPr/>
            <w:r>
              <w:t> </w:t>
            </w:r>
          </w:p>
        </w:tc>
      </w:tr>
    </w:tbl>
    <w:p>
      <w:pPr/>
      <w:r>
        <w:t> </w:t>
      </w:r>
    </w:p>
    <w:sectPr>
      <w:footnotePr>
        <w:pos w:val="pageBottom"/>
        <w:numFmt w:val="decimal"/>
        <w:numRestart w:val="continuous"/>
        <w:numStart w:val="1"/>
      </w:footnotePr>
      <w:endnotePr>
        <w:pos w:val="docEnd"/>
        <w:numFmt w:val="lowerRoman"/>
        <w:numRestart w:val="continuous"/>
        <w:numStart w:val="1"/>
      </w:endnotePr>
      <w:pgSz w:h="16838" w:orient="portrait" w:w="11906"/>
      <w:pgMar w:bottom="1440" w:footer="708" w:gutter="0" w:header="708" w:left="1440" w:right="1440" w:top="1440"/>
      <w:pgNumType w:fmt="decimal"/>
      <w:cols w:equalWidth="1" w:num="1" w:space="708" w:sep="0"/>
      <w:headerReference w:type="default" r:id="R0f2f4007cb4d4426"/>
      <w:footerReference w:type="default" r:id="Ra5a4bb8abefd431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1"/>
    <w:family w:val="auto"/>
    <w:notTrueType w:val="off"/>
    <w:pitch w:val="variable"/>
    <w:sig w:usb0="E4002EFF" w:usb1="C000247B" w:usb2="00000009" w:usb3="00000000" w:csb0="200001FF" w:csb1="00000000"/>
  </w:font>
  <w:font w:name="Arial">
    <w:panose1 w:val="020B0604020202020204"/>
    <w:charset w:val="01"/>
    <w:family w:val="auto"/>
    <w:notTrueType w:val="off"/>
    <w:pitch w:val="variable"/>
    <w:sig w:usb0="E0002EFF" w:usb1="C000785B" w:usb2="00000009" w:usb3="00000000" w:csb0="400001FF" w:csb1="FFFF0000"/>
  </w:font>
  <w:font w:name="Times New Roman">
    <w:panose1 w:val="02020603050405020304"/>
    <w:charset w:val="01"/>
    <w:family w:val="auto"/>
    <w:notTrueType w:val="off"/>
    <w:pitch w:val="variable"/>
    <w:sig w:usb0="E0002EFF" w:usb1="C000785B" w:usb2="00000009" w:usb3="00000000" w:csb0="400001FF" w:csb1="FFFF0000"/>
  </w:font>
  <w:font w:name="Segoe UI">
    <w:panose1 w:val="020B0502040204020203"/>
    <w:charset w:val="01"/>
    <w:family w:val="auto"/>
    <w:notTrueType w:val="off"/>
    <w:pitch w:val="variable"/>
    <w:sig w:usb0="E4002EFF" w:usb1="C000E47F" w:usb2="00000009" w:usb3="00000000" w:csb0="200001FF" w:csb1="00000000"/>
  </w:font>
</w:fonts>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rPr>
        <w:color w:val="FFFFFF"/>
        <w:sz w:val="22"/>
        <w:szCs w:val="22"/>
      </w:rPr>
      <w:pStyle w:val="footer"/>
    </w:pPr>
    <w:r>
      <w:rPr>
        <w:sz w:val="22"/>
        <w:szCs w:val="22"/>
      </w:rPr>
      <mc:AlternateContent>
        <mc:Choice Requires="wps">
          <w:drawing>
            <wp:anchor allowOverlap="1" layoutInCell="1" relativeHeight="251658244" locked="0" simplePos="0" distL="114300" distT="45720" distR="114300" distB="45720" behindDoc="0">
              <wp:simplePos x="0" y="0"/>
              <wp:positionH relativeFrom="page">
                <wp:posOffset>485775</wp:posOffset>
              </wp:positionH>
              <wp:positionV relativeFrom="paragraph">
                <wp:posOffset>63500</wp:posOffset>
              </wp:positionV>
              <wp:extent cx="7073265" cy="457200"/>
              <wp:effectExtent l="0" t="0" r="0" b="0"/>
              <wp:wrapNone/>
              <wp:docPr id="9" name="drawingObject9"/>
              <wp:cNvGraphicFramePr/>
              <a:graphic>
                <a:graphicData uri="http://schemas.microsoft.com/office/word/2010/wordprocessingShape">
                  <wps:wsp>
                    <wps:cNvSpPr txBox="1"/>
                    <wps:spPr>
                      <a:xfrm rot="0">
                        <a:ext cx="7073265" cy="457200"/>
                      </a:xfrm>
                      <a:prstGeom prst="rect">
                        <a:avLst/>
                      </a:prstGeom>
                      <a:noFill/>
                    </wps:spPr>
                    <wps:txbx>
                      <w:txbxContent>
                        <w:p>
                          <w:pPr/>
                          <w:r>
                            <w:rPr>
                              <w:color w:val="FFFFFF"/>
                              <w:sz w:val="18"/>
                              <w:szCs w:val="18"/>
                            </w:rPr>
                            <w:t>V1.3</w:t>
                          </w:r>
                        </w:p>
                      </w:txbxContent>
                    </wps:txbx>
                    <wps:bodyPr anchor="t" horzOverflow="overflow" vertOverflow="overflow" vert="horz" lIns="91440" tIns="45720" rIns="91440" bIns="45720"/>
                  </wps:wsp>
                </a:graphicData>
              </a:graphic>
            </wp:anchor>
          </w:drawing>
        </mc:Choice>
        <mc:Fallback/>
      </mc:AlternateContent>
    </w:r>
    <w:r>
      <w:rPr>
        <w:color w:val="FFFFFF"/>
        <w:sz w:val="22"/>
        <w:szCs w:val="22"/>
      </w:rPr>
      <mc:AlternateContent>
        <mc:Choice Requires="wps">
          <w:drawing>
            <wp:anchor allowOverlap="1" layoutInCell="1" relativeHeight="251658243" locked="0" simplePos="0" distL="114300" distT="0" distR="114300" distB="0" behindDoc="1">
              <wp:simplePos x="0" y="0"/>
              <wp:positionH relativeFrom="page">
                <wp:align>left</wp:align>
              </wp:positionH>
              <wp:positionV relativeFrom="paragraph">
                <wp:posOffset>-114935</wp:posOffset>
              </wp:positionV>
              <wp:extent cx="7543800" cy="722119"/>
              <wp:effectExtent l="0" t="0" r="0" b="1905"/>
              <wp:wrapNone/>
              <wp:docPr id="10" name="drawingObject10"/>
              <wp:cNvGraphicFramePr>
                <a:graphicFrameLocks noChangeAspect="1"/>
              </wp:cNvGraphicFramePr>
              <a:graphic>
                <a:graphicData uri="http://schemas.openxmlformats.org/drawingml/2006/picture">
                  <pic:pic>
                    <pic:nvPicPr>
                      <pic:cNvPr id="11" name="Picture 11"/>
                      <pic:cNvPicPr/>
                    </pic:nvPicPr>
                    <pic:blipFill>
                      <a:blip r:embed="R7fbe0f8c57a140cb"/>
                      <a:stretch/>
                    </pic:blipFill>
                    <pic:spPr>
                      <a:xfrm rot="0">
                        <a:ext cx="7543800" cy="722119"/>
                      </a:xfrm>
                      <a:prstGeom prst="rect">
                        <a:avLst/>
                      </a:prstGeom>
                      <a:noFill/>
                    </pic:spPr>
                  </pic:pic>
                </a:graphicData>
              </a:graphic>
            </wp:anchor>
          </w:drawing>
        </mc:Choice>
        <mc:Fallback/>
      </mc:AlternateContent>
    </w:r>
  </w:p>
</w:ftr>
</file>

<file path=word/header1.xml><?xml version="1.0" encoding="utf-8"?>
<w:hd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header"/>
    </w:pPr>
    <w:r>
      <mc:AlternateContent>
        <mc:Choice Requires="wps">
          <w:drawing>
            <wp:anchor allowOverlap="1" layoutInCell="1" relativeHeight="251658242" locked="0" simplePos="0" distL="114300" distT="0" distR="114300" distB="0" behindDoc="1">
              <wp:simplePos x="0" y="0"/>
              <wp:positionH relativeFrom="column">
                <wp:posOffset>-127000</wp:posOffset>
              </wp:positionH>
              <wp:positionV relativeFrom="paragraph">
                <wp:posOffset>118582</wp:posOffset>
              </wp:positionV>
              <wp:extent cx="1756372" cy="292199"/>
              <wp:effectExtent l="0" t="0" r="0" b="0"/>
              <wp:wrapNone/>
              <wp:docPr id="7" name="drawingObject7"/>
              <wp:cNvGraphicFramePr>
                <a:graphicFrameLocks noChangeAspect="1"/>
              </wp:cNvGraphicFramePr>
              <a:graphic>
                <a:graphicData uri="http://schemas.openxmlformats.org/drawingml/2006/picture">
                  <pic:pic>
                    <pic:nvPicPr>
                      <pic:cNvPr id="8" name="Picture 8"/>
                      <pic:cNvPicPr/>
                    </pic:nvPicPr>
                    <pic:blipFill>
                      <a:blip r:embed="R567a8cfa81f644da"/>
                      <a:stretch/>
                    </pic:blipFill>
                    <pic:spPr>
                      <a:xfrm rot="0">
                        <a:ext cx="1756372" cy="292199"/>
                      </a:xfrm>
                      <a:prstGeom prst="rect">
                        <a:avLst/>
                      </a:prstGeom>
                      <a:noFill/>
                    </pic:spPr>
                  </pic:pic>
                </a:graphicData>
              </a:graphic>
            </wp:anchor>
          </w:drawing>
        </mc:Choice>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hAnsi="Aptos" w:eastAsia="Aptos"/>
        <w:lang w:val="en-GB"/>
        <w:sz w:val="24"/>
        <w:szCs w:val="24"/>
      </w:rPr>
    </w:rPrDefault>
    <w:pPrDefault>
      <w:pPr/>
    </w:pPrDefault>
  </w:docDefaults>
  <w:style w:type="paragraph" w:styleId="Normal" w:default="1">
    <w:name w:val="Normal"/>
    <w:qFormat/>
    <w:rPr>
      <w:color w:val="222233"/>
      <w:rFonts w:ascii="Century Gothic" w:hAnsi="Century Gothic"/>
    </w:rPr>
  </w:style>
  <w:style w:type="paragraph" w:styleId="heading 1">
    <w:name w:val="heading 1"/>
    <w:qFormat/>
    <w:basedOn w:val="Normal"/>
    <w:pPr>
      <w:keepLines w:val="1"/>
      <w:keepNext w:val="1"/>
      <w:spacing w:before="360" w:after="80"/>
      <w:outlineLvl w:val="0"/>
    </w:pPr>
    <w:rPr>
      <w:color w:val="6680FF"/>
      <w:sz w:val="40"/>
      <w:szCs w:val="40"/>
    </w:rPr>
  </w:style>
  <w:style w:type="paragraph" w:styleId="heading 2">
    <w:name w:val="heading 2"/>
    <w:qFormat/>
    <w:basedOn w:val="Normal"/>
    <w:pPr>
      <w:keepLines w:val="1"/>
      <w:keepNext w:val="1"/>
      <w:spacing w:before="160" w:after="80"/>
      <w:outlineLvl w:val="1"/>
    </w:pPr>
    <w:rPr>
      <w:color w:val="57BAE5"/>
      <w:sz w:val="32"/>
      <w:szCs w:val="32"/>
    </w:rPr>
  </w:style>
  <w:style w:type="paragraph" w:styleId="heading 3">
    <w:name w:val="heading 3"/>
    <w:qFormat/>
    <w:basedOn w:val="Normal"/>
    <w:pPr>
      <w:keepLines w:val="1"/>
      <w:keepNext w:val="1"/>
      <w:spacing w:before="160" w:after="80"/>
      <w:outlineLvl w:val="2"/>
    </w:pPr>
    <w:rPr>
      <w:color w:val="6680FF"/>
      <w:sz w:val="28"/>
      <w:szCs w:val="28"/>
    </w:rPr>
  </w:style>
  <w:style w:type="paragraph" w:styleId="heading 4">
    <w:name w:val="heading 4"/>
    <w:qFormat/>
    <w:basedOn w:val="Normal"/>
    <w:pPr>
      <w:keepLines w:val="1"/>
      <w:keepNext w:val="1"/>
      <w:spacing w:before="80" w:after="40"/>
      <w:outlineLvl w:val="3"/>
    </w:pPr>
    <w:rPr>
      <w:color w:val="1B04EE"/>
      <w:i w:val="1"/>
      <w:iCs w:val="1"/>
    </w:rPr>
  </w:style>
  <w:style w:type="paragraph" w:styleId="heading 5">
    <w:name w:val="heading 5"/>
    <w:qFormat/>
    <w:basedOn w:val="Normal"/>
    <w:pPr>
      <w:keepLines w:val="1"/>
      <w:keepNext w:val="1"/>
      <w:spacing w:before="80" w:after="40"/>
      <w:outlineLvl w:val="4"/>
    </w:pPr>
    <w:rPr>
      <w:color w:val="1B04EE"/>
    </w:rPr>
  </w:style>
  <w:style w:type="paragraph" w:styleId="heading 6">
    <w:name w:val="heading 6"/>
    <w:qFormat/>
    <w:basedOn w:val="Normal"/>
    <w:pPr>
      <w:keepLines w:val="1"/>
      <w:keepNext w:val="1"/>
      <w:spacing w:before="40"/>
      <w:outlineLvl w:val="5"/>
    </w:pPr>
    <w:rPr>
      <w:color w:val="5B5B8D"/>
      <w:i w:val="1"/>
      <w:iCs w:val="1"/>
    </w:rPr>
  </w:style>
  <w:style w:type="paragraph" w:styleId="heading 7">
    <w:name w:val="heading 7"/>
    <w:qFormat/>
    <w:basedOn w:val="Normal"/>
    <w:pPr>
      <w:keepLines w:val="1"/>
      <w:keepNext w:val="1"/>
      <w:spacing w:before="40"/>
      <w:outlineLvl w:val="6"/>
    </w:pPr>
    <w:rPr>
      <w:color w:val="5B5B8D"/>
    </w:rPr>
  </w:style>
  <w:style w:type="paragraph" w:styleId="heading 8">
    <w:name w:val="heading 8"/>
    <w:qFormat/>
    <w:basedOn w:val="Normal"/>
    <w:pPr>
      <w:keepLines w:val="1"/>
      <w:keepNext w:val="1"/>
      <w:outlineLvl w:val="7"/>
    </w:pPr>
    <w:rPr>
      <w:color w:val="3B3B5B"/>
      <w:i w:val="1"/>
      <w:iCs w:val="1"/>
    </w:rPr>
  </w:style>
  <w:style w:type="paragraph" w:styleId="heading 9">
    <w:name w:val="heading 9"/>
    <w:qFormat/>
    <w:basedOn w:val="Normal"/>
    <w:pPr>
      <w:keepLines w:val="1"/>
      <w:keepNext w:val="1"/>
      <w:outlineLvl w:val="8"/>
    </w:pPr>
    <w:rPr>
      <w:color w:val="3B3B5B"/>
    </w:rPr>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character" w:styleId="Heading 1 Char">
    <w:name w:val="Heading 1 Char"/>
    <w:qFormat/>
    <w:basedOn w:val="Default Paragraph Font"/>
    <w:rPr>
      <w:color w:val="6680FF"/>
      <w:rFonts w:ascii="Century Gothic" w:hAnsi="Century Gothic"/>
      <w:sz w:val="40"/>
      <w:szCs w:val="40"/>
    </w:rPr>
  </w:style>
  <w:style w:type="character" w:styleId="Heading 2 Char">
    <w:name w:val="Heading 2 Char"/>
    <w:qFormat/>
    <w:basedOn w:val="Default Paragraph Font"/>
    <w:rPr>
      <w:color w:val="57BAE5"/>
      <w:rFonts w:ascii="Century Gothic" w:hAnsi="Century Gothic"/>
      <w:sz w:val="32"/>
      <w:szCs w:val="32"/>
    </w:rPr>
  </w:style>
  <w:style w:type="character" w:styleId="Heading 3 Char">
    <w:name w:val="Heading 3 Char"/>
    <w:qFormat/>
    <w:basedOn w:val="Default Paragraph Font"/>
    <w:rPr>
      <w:color w:val="6680FF"/>
      <w:rFonts w:ascii="Century Gothic" w:hAnsi="Century Gothic"/>
      <w:sz w:val="28"/>
      <w:szCs w:val="28"/>
    </w:rPr>
  </w:style>
  <w:style w:type="character" w:styleId="Heading 4 Char">
    <w:name w:val="Heading 4 Char"/>
    <w:qFormat/>
    <w:basedOn w:val="Default Paragraph Font"/>
    <w:rPr>
      <w:color w:val="1B04EE"/>
      <w:i w:val="1"/>
      <w:iCs w:val="1"/>
    </w:rPr>
  </w:style>
  <w:style w:type="character" w:styleId="Heading 5 Char">
    <w:name w:val="Heading 5 Char"/>
    <w:qFormat/>
    <w:basedOn w:val="Default Paragraph Font"/>
    <w:rPr>
      <w:color w:val="1B04EE"/>
    </w:rPr>
  </w:style>
  <w:style w:type="character" w:styleId="Heading 6 Char">
    <w:name w:val="Heading 6 Char"/>
    <w:qFormat/>
    <w:basedOn w:val="Default Paragraph Font"/>
    <w:rPr>
      <w:color w:val="5B5B8D"/>
      <w:i w:val="1"/>
      <w:iCs w:val="1"/>
    </w:rPr>
  </w:style>
  <w:style w:type="character" w:styleId="Heading 7 Char">
    <w:name w:val="Heading 7 Char"/>
    <w:qFormat/>
    <w:basedOn w:val="Default Paragraph Font"/>
    <w:rPr>
      <w:color w:val="5B5B8D"/>
    </w:rPr>
  </w:style>
  <w:style w:type="character" w:styleId="Heading 8 Char">
    <w:name w:val="Heading 8 Char"/>
    <w:qFormat/>
    <w:basedOn w:val="Default Paragraph Font"/>
    <w:rPr>
      <w:color w:val="3B3B5B"/>
      <w:i w:val="1"/>
      <w:iCs w:val="1"/>
    </w:rPr>
  </w:style>
  <w:style w:type="character" w:styleId="Heading 9 Char">
    <w:name w:val="Heading 9 Char"/>
    <w:qFormat/>
    <w:basedOn w:val="Default Paragraph Font"/>
    <w:rPr>
      <w:color w:val="3B3B5B"/>
    </w:rPr>
  </w:style>
  <w:style w:type="paragraph" w:styleId="Title">
    <w:name w:val="Title"/>
    <w:qFormat/>
    <w:basedOn w:val="Normal"/>
    <w:pPr>
      <w:spacing w:after="80"/>
      <w:contextualSpacing w:val="1"/>
    </w:pPr>
    <w:rPr>
      <w:rFonts w:ascii="Aptos Display" w:hAnsi="Aptos Display"/>
      <w:kern w:val="28"/>
      <w:sz w:val="56"/>
      <w:szCs w:val="56"/>
      <w:spacing w:val="-10"/>
    </w:rPr>
  </w:style>
  <w:style w:type="character" w:styleId="Title Char">
    <w:name w:val="Title Char"/>
    <w:qFormat/>
    <w:basedOn w:val="Default Paragraph Font"/>
    <w:rPr>
      <w:rFonts w:ascii="Aptos Display" w:hAnsi="Aptos Display"/>
      <w:kern w:val="28"/>
      <w:sz w:val="56"/>
      <w:szCs w:val="56"/>
      <w:spacing w:val="-10"/>
    </w:rPr>
  </w:style>
  <w:style w:type="paragraph" w:styleId="Subtitle">
    <w:name w:val="Subtitle"/>
    <w:qFormat/>
    <w:basedOn w:val="Normal"/>
    <w:pPr>
      <w:spacing w:after="160"/>
    </w:pPr>
    <w:rPr>
      <w:color w:val="ED45AB"/>
      <w:sz w:val="28"/>
      <w:szCs w:val="28"/>
      <w:spacing w:val="15"/>
    </w:rPr>
  </w:style>
  <w:style w:type="character" w:styleId="Subtitle Char">
    <w:name w:val="Subtitle Char"/>
    <w:qFormat/>
    <w:basedOn w:val="Default Paragraph Font"/>
    <w:rPr>
      <w:color w:val="ED45AB"/>
      <w:rFonts w:ascii="Century Gothic" w:hAnsi="Century Gothic"/>
      <w:sz w:val="28"/>
      <w:szCs w:val="28"/>
      <w:spacing w:val="15"/>
    </w:rPr>
  </w:style>
  <w:style w:type="paragraph" w:styleId="Quote">
    <w:name w:val="Quote"/>
    <w:qFormat/>
    <w:basedOn w:val="Normal"/>
    <w:pPr>
      <w:jc w:val="center"/>
      <w:spacing w:before="160" w:after="160"/>
    </w:pPr>
    <w:rPr>
      <w:color w:val="4B4B74"/>
      <w:i w:val="1"/>
      <w:iCs w:val="1"/>
    </w:rPr>
  </w:style>
  <w:style w:type="character" w:styleId="Quote Char">
    <w:name w:val="Quote Char"/>
    <w:qFormat/>
    <w:basedOn w:val="Default Paragraph Font"/>
    <w:rPr>
      <w:color w:val="4B4B74"/>
      <w:i w:val="1"/>
      <w:iCs w:val="1"/>
    </w:rPr>
  </w:style>
  <w:style w:type="paragraph" w:styleId="List Paragraph">
    <w:name w:val="List Paragraph"/>
    <w:qFormat/>
    <w:basedOn w:val="Normal"/>
    <w:pPr>
      <w:ind w:left="720"/>
      <w:contextualSpacing w:val="1"/>
    </w:pPr>
  </w:style>
  <w:style w:type="character" w:styleId="Intense Emphasis">
    <w:name w:val="Intense Emphasis"/>
    <w:qFormat/>
    <w:basedOn w:val="Default Paragraph Font"/>
    <w:rPr>
      <w:color w:val="1B04EE"/>
      <w:i w:val="1"/>
      <w:iCs w:val="1"/>
    </w:rPr>
  </w:style>
  <w:style w:type="paragraph" w:styleId="Intense Quote">
    <w:name w:val="Intense Quote"/>
    <w:qFormat/>
    <w:basedOn w:val="Normal"/>
    <w:pPr>
      <w:pBdr>
        <w:top w:val="single" w:sz="4" w:space="10" w:color="1B04EE"/>
        <w:bottom w:val="single" w:sz="4" w:space="10" w:color="1B04EE"/>
      </w:pBdr>
      <w:jc w:val="center"/>
      <w:ind w:left="864" w:right="864"/>
      <w:spacing w:before="360" w:after="360"/>
    </w:pPr>
    <w:rPr>
      <w:color w:val="1B04EE"/>
      <w:i w:val="1"/>
      <w:iCs w:val="1"/>
    </w:rPr>
  </w:style>
  <w:style w:type="character" w:styleId="Intense Quote Char">
    <w:name w:val="Intense Quote Char"/>
    <w:qFormat/>
    <w:basedOn w:val="Default Paragraph Font"/>
    <w:rPr>
      <w:color w:val="1B04EE"/>
      <w:i w:val="1"/>
      <w:iCs w:val="1"/>
    </w:rPr>
  </w:style>
  <w:style w:type="character" w:styleId="Intense Reference">
    <w:name w:val="Intense Reference"/>
    <w:qFormat/>
    <w:basedOn w:val="Default Paragraph Font"/>
    <w:rPr>
      <w:b w:val="1"/>
      <w:bCs w:val="1"/>
      <w:color w:val="1B04EE"/>
      <w:smallCaps w:val="1"/>
      <w:spacing w:val="5"/>
    </w:rPr>
  </w:style>
  <w:style w:type="paragraph" w:styleId="header">
    <w:name w:val="header"/>
    <w:qFormat/>
    <w:basedOn w:val="Normal"/>
    <w:pPr>
      <w:tabs>
        <w:tab w:val="center" w:leader="none" w:pos="4513"/>
        <w:tab w:val="right" w:leader="none" w:pos="9026"/>
      </w:tabs>
    </w:pPr>
  </w:style>
  <w:style w:type="character" w:styleId="Header Char">
    <w:name w:val="Header Char"/>
    <w:qFormat/>
    <w:basedOn w:val="Default Paragraph Font"/>
  </w:style>
  <w:style w:type="paragraph" w:styleId="footer">
    <w:name w:val="footer"/>
    <w:qFormat/>
    <w:basedOn w:val="Normal"/>
    <w:pPr>
      <w:tabs>
        <w:tab w:val="center" w:leader="none" w:pos="4513"/>
        <w:tab w:val="right" w:leader="none" w:pos="9026"/>
      </w:tabs>
    </w:pPr>
  </w:style>
  <w:style w:type="character" w:styleId="Footer Char">
    <w:name w:val="Footer Char"/>
    <w:qFormat/>
    <w:basedOn w:val="Default Paragraph Font"/>
  </w:style>
  <w:style w:type="character" w:styleId="Hyperlink">
    <w:name w:val="Hyperlink"/>
    <w:qFormat/>
    <w:basedOn w:val="Default Paragraph Font"/>
    <w:rPr>
      <w:color w:val="5947FC"/>
      <w:u w:val="single"/>
    </w:rPr>
  </w:style>
  <w:style w:type="paragraph" w:styleId="No Spacing">
    <w:name w:val="No Spacing"/>
    <w:qFormat/>
    <w:rPr>
      <w:b w:val="1"/>
      <w:bCs w:val="1"/>
      <w:color w:val="222233"/>
      <w:rFonts w:ascii="Century Gothic" w:hAnsi="Century Gothic"/>
    </w:rPr>
  </w:style>
  <w:style w:type="table" w:styleId="Table Grid">
    <w:name w:val="Table Grid"/>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style>
  <w:style w:type="table" w:styleId="List Table 3">
    <w:name w:val="List Table 3"/>
    <w:qFormat/>
    <w:basedOn w:val="Normal Table"/>
    <w:tblPr>
      <w:tblStyleRowBandSize w:val="1"/>
      <w:tblStyleColBandSize w:val="1"/>
      <w:tblBorders>
        <w:left w:val="single" w:sz="4" w:space="0" w:color="212133"/>
        <w:top w:val="single" w:sz="4" w:space="0" w:color="212133"/>
        <w:right w:val="single" w:sz="4" w:space="0" w:color="212133"/>
        <w:bottom w:val="single" w:sz="4" w:space="0" w:color="212133"/>
      </w:tblBorders>
    </w:tblPr>
    <w:tblStylePr w:type="firstRow">
      <w:tcPr>
        <w:shd w:val="clear" w:fill="212133"/>
      </w:tcPr>
      <w:rPr>
        <w:b w:val="1"/>
        <w:bCs w:val="1"/>
        <w:color w:val="F5F7FF"/>
      </w:rPr>
    </w:tblStylePr>
    <w:tblStylePr w:type="lastRow">
      <w:tcPr>
        <w:shd w:val="clear" w:fill="F5F7FF"/>
        <w:tcBorders>
          <w:top w:val="double" w:sz="4" w:space="0" w:color="212133"/>
        </w:tcBorders>
      </w:tcPr>
      <w:rPr>
        <w:b w:val="1"/>
        <w:bCs w:val="1"/>
      </w:rPr>
    </w:tblStylePr>
    <w:tblStylePr w:type="firstCol">
      <w:tcPr>
        <w:shd w:val="clear" w:fill="F5F7FF"/>
        <w:tcBorders>
          <w:right w:val="nil"/>
        </w:tcBorders>
      </w:tcPr>
      <w:rPr>
        <w:b w:val="1"/>
        <w:bCs w:val="1"/>
      </w:rPr>
    </w:tblStylePr>
    <w:tblStylePr w:type="lastCol">
      <w:tcPr>
        <w:shd w:val="clear" w:fill="F5F7FF"/>
        <w:tcBorders>
          <w:left w:val="nil"/>
        </w:tcBorders>
      </w:tcPr>
      <w:rPr>
        <w:b w:val="1"/>
        <w:bCs w:val="1"/>
      </w:rPr>
    </w:tblStylePr>
    <w:tblStylePr w:type="band1Vert">
      <w:tcPr>
        <w:tcBorders>
          <w:left w:val="single" w:sz="4" w:space="0" w:color="212133"/>
          <w:right w:val="single" w:sz="4" w:space="0" w:color="212133"/>
        </w:tcBorders>
      </w:tcPr>
    </w:tblStylePr>
    <w:tblStylePr w:type="band1Horz">
      <w:tcPr>
        <w:tcBorders>
          <w:top w:val="single" w:sz="4" w:space="0" w:color="212133"/>
          <w:bottom w:val="single" w:sz="4" w:space="0" w:color="212133"/>
          <w:insideH w:val="nil"/>
        </w:tcBorders>
      </w:tcPr>
    </w:tblStylePr>
    <w:tblStylePr w:type="neCell">
      <w:tcPr>
        <w:tcBorders>
          <w:left w:val="nil"/>
          <w:bottom w:val="nil"/>
        </w:tcBorders>
      </w:tcPr>
    </w:tblStylePr>
    <w:tblStylePr w:type="nwCell">
      <w:tcPr>
        <w:tcBorders>
          <w:right w:val="nil"/>
          <w:bottom w:val="nil"/>
        </w:tcBorders>
      </w:tcPr>
    </w:tblStylePr>
    <w:tblStylePr w:type="seCell">
      <w:tcPr>
        <w:tcBorders>
          <w:left w:val="nil"/>
          <w:top w:val="double" w:sz="4" w:space="0" w:color="212133"/>
        </w:tcBorders>
      </w:tcPr>
    </w:tblStylePr>
    <w:tblStylePr w:type="swCell">
      <w:tcPr>
        <w:tcBorders>
          <w:top w:val="double" w:sz="4" w:space="0" w:color="212133"/>
          <w:right w:val="nil"/>
        </w:tcBorders>
      </w:tcPr>
    </w:tblStylePr>
  </w:style>
  <w:style w:type="character" w:styleId="normaltextrun">
    <w:name w:val="normaltextrun"/>
    <w:qFormat/>
    <w:basedOn w:val="Default Paragraph Font"/>
  </w:style>
  <w:style w:type="character" w:styleId="eop">
    <w:name w:val="eop"/>
    <w:qFormat/>
    <w:basedOn w:val="Default Paragraph Font"/>
  </w:style>
  <w:style w:type="character" w:styleId="Placeholder Text">
    <w:name w:val="Placeholder Text"/>
    <w:qFormat/>
    <w:basedOn w:val="Default Paragraph Fon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emf" Id="rId13" /><Relationship Type="http://schemas.openxmlformats.org/officeDocument/2006/relationships/theme" Target="theme/theme1.xml" Id="rId18" /><Relationship Type="http://schemas.openxmlformats.org/officeDocument/2006/relationships/package" Target="embeddings/Microsoft_PowerPoint_Presentation.pptx" Id="rId14" /><Relationship Type="http://schemas.openxmlformats.org/officeDocument/2006/relationships/image" Target="media/2dmvw3cw.png" Id="Rd6551c1ae2a0437f" /><Relationship Type="http://schemas.openxmlformats.org/officeDocument/2006/relationships/image" Target="media/b4xfvtil.png" Id="R86f86ff955ae4f85" /><Relationship Type="http://schemas.openxmlformats.org/officeDocument/2006/relationships/image" Target="media/3elfvo3n.png" Id="R4be0a761446c4ad0" /><Relationship Type="http://schemas.openxmlformats.org/officeDocument/2006/relationships/image" Target="/word/media/image4.emf" Id="R798db9a0a4564cda" /><Relationship Type="http://schemas.openxmlformats.org/officeDocument/2006/relationships/package" Target="/word/embeddings/Microsoft_PowerPoint_Presentation.pptx" Id="Rdb992b8b2aee4e1d" /><Relationship Type="http://schemas.openxmlformats.org/officeDocument/2006/relationships/header" Target="header1.xml" Id="R0f2f4007cb4d4426" /><Relationship Type="http://schemas.openxmlformats.org/officeDocument/2006/relationships/footer" Target="footer1.xml" Id="Ra5a4bb8abefd431f" /><Relationship Type="http://schemas.openxmlformats.org/officeDocument/2006/relationships/customXml" Target="/customXml/item1.xml" Id="R60a00e442e0a4891" /><Relationship Type="http://schemas.openxmlformats.org/officeDocument/2006/relationships/customXml" Target="/customXml/item2.xml" Id="R050420049d234879" /><Relationship Type="http://schemas.openxmlformats.org/officeDocument/2006/relationships/customXml" Target="/customXml/item3.xml" Id="R80037da258d54a64" /><Relationship Type="http://schemas.openxmlformats.org/officeDocument/2006/relationships/styles" Target="styles.xml" Id="Ra7c3cb8c981d4c76" /><Relationship Type="http://schemas.openxmlformats.org/officeDocument/2006/relationships/fontTable" Target="fontTable.xml" Id="R53ccd35cd3684755" /><Relationship Type="http://schemas.openxmlformats.org/officeDocument/2006/relationships/settings" Target="settings.xml" Id="R5414f42e55b54702" /><Relationship Type="http://schemas.openxmlformats.org/officeDocument/2006/relationships/webSettings" Target="webSettings.xml" Id="Rcc46161f1b104fa2" /></Relationships>
</file>

<file path=word/_rels/footer1.xml.rels>&#65279;<?xml version="1.0" encoding="utf-8"?><Relationships xmlns="http://schemas.openxmlformats.org/package/2006/relationships"><Relationship Type="http://schemas.openxmlformats.org/officeDocument/2006/relationships/image" Target="media/iagayrvu.png" Id="R7fbe0f8c57a140cb" /></Relationships>
</file>

<file path=word/_rels/header1.xml.rels>&#65279;<?xml version="1.0" encoding="utf-8"?><Relationships xmlns="http://schemas.openxmlformats.org/package/2006/relationships"><Relationship Type="http://schemas.openxmlformats.org/officeDocument/2006/relationships/image" Target="media/agyqtyya.png" Id="R567a8cfa81f644da" /></Relationships>
</file>

<file path=word/theme/theme1.xml><?xml version="1.0" encoding="utf-8"?>
<a:theme xmlns:a="http://schemas.openxmlformats.org/drawingml/2006/main" name="Office Theme">
  <a:themeElements>
    <a:clrScheme name="Custom 1">
      <a:dk1>
        <a:srgbClr val="212133"/>
      </a:dk1>
      <a:lt1>
        <a:srgbClr val="F5F7FF"/>
      </a:lt1>
      <a:dk2>
        <a:srgbClr val="212133"/>
      </a:dk2>
      <a:lt2>
        <a:srgbClr val="F5F7FF"/>
      </a:lt2>
      <a:accent1>
        <a:srgbClr val="5947FC"/>
      </a:accent1>
      <a:accent2>
        <a:srgbClr val="6680FF"/>
      </a:accent2>
      <a:accent3>
        <a:srgbClr val="57BAE5"/>
      </a:accent3>
      <a:accent4>
        <a:srgbClr val="0F9ED5"/>
      </a:accent4>
      <a:accent5>
        <a:srgbClr val="ED45AB"/>
      </a:accent5>
      <a:accent6>
        <a:srgbClr val="00BF75"/>
      </a:accent6>
      <a:hlink>
        <a:srgbClr val="5947FC"/>
      </a:hlink>
      <a:folHlink>
        <a:srgbClr val="ED45A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&#65279;<?xml version="1.0" encoding="utf-8"?><Relationships xmlns="http://schemas.openxmlformats.org/package/2006/relationships"><Relationship Type="http://schemas.openxmlformats.org/officeDocument/2006/relationships/customXmlProps" Target="itemProps1.xml" Id="R2c815c9fac724d08" /></Relationships>
</file>

<file path=customXml/_rels/item2.xml.rels>&#65279;<?xml version="1.0" encoding="utf-8"?><Relationships xmlns="http://schemas.openxmlformats.org/package/2006/relationships"><Relationship Type="http://schemas.openxmlformats.org/officeDocument/2006/relationships/customXmlProps" Target="itemProps2.xml" Id="R7f9ca22a2896402d" /></Relationships>
</file>

<file path=customXml/_rels/item3.xml.rels>&#65279;<?xml version="1.0" encoding="utf-8"?><Relationships xmlns="http://schemas.openxmlformats.org/package/2006/relationships"><Relationship Type="http://schemas.openxmlformats.org/officeDocument/2006/relationships/customXmlProps" Target="itemProps3.xml" Id="R228c97e2a3c54c4c"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2648F0-D876-4245-AAE9-371B600B8F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B3829C-4E05-4613-8883-160535411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871B7E-5720-4C0A-998D-BE5A79D2FE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Application>Document .Net v.5.5.4.14</Application>
  <Pages>6</Pages>
  <Words>910</Words>
  <Characters>5187</Characters>
  <CharactersWithSpaces>6085</CharactersWithSpaces>
  <Lines>43</Lin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Clark</dc:creator>
  <cp:lastModifiedBy>Vikki Orsler</cp:lastModifiedBy>
  <dcterms:created xsi:type="dcterms:W3CDTF">2025-08-15T23:36:00Z</dcterms:created>
  <dcterms:modified xsi:type="dcterms:W3CDTF">2025-08-18T11:26:00Z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